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49136" w14:textId="334F7D42" w:rsidR="00400398" w:rsidRPr="007232E4" w:rsidRDefault="00CB0F73" w:rsidP="00014A0A">
      <w:pPr>
        <w:jc w:val="center"/>
        <w:outlineLvl w:val="0"/>
      </w:pPr>
      <w:r>
        <w:rPr>
          <w:noProof/>
          <w:sz w:val="24"/>
          <w:szCs w:val="24"/>
          <w:lang w:val="en-US" w:eastAsia="ko-KR"/>
        </w:rPr>
        <mc:AlternateContent>
          <mc:Choice Requires="wps">
            <w:drawing>
              <wp:anchor distT="0" distB="0" distL="114300" distR="114300" simplePos="0" relativeHeight="251659264" behindDoc="0" locked="0" layoutInCell="1" allowOverlap="1" wp14:anchorId="3E846F85" wp14:editId="5BA7114C">
                <wp:simplePos x="0" y="0"/>
                <wp:positionH relativeFrom="margin">
                  <wp:posOffset>0</wp:posOffset>
                </wp:positionH>
                <wp:positionV relativeFrom="paragraph">
                  <wp:posOffset>-635</wp:posOffset>
                </wp:positionV>
                <wp:extent cx="6731635" cy="1109980"/>
                <wp:effectExtent l="0" t="0" r="2476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0" cy="1109980"/>
                        </a:xfrm>
                        <a:prstGeom prst="rect">
                          <a:avLst/>
                        </a:prstGeom>
                        <a:solidFill>
                          <a:sysClr val="window" lastClr="FFFFFF"/>
                        </a:solidFill>
                        <a:ln w="6350">
                          <a:solidFill>
                            <a:prstClr val="black"/>
                          </a:solidFill>
                        </a:ln>
                      </wps:spPr>
                      <wps:txbx>
                        <w:txbxContent>
                          <w:p w14:paraId="79B71994" w14:textId="4791A534" w:rsidR="00CB0F73" w:rsidRDefault="00CB0F73" w:rsidP="00CB0F73">
                            <w:pPr>
                              <w:widowControl w:val="0"/>
                            </w:pPr>
                            <w:r>
                              <w:t>Este documento é a informação do medicamento aprovada para Aybintio, tendo sido destacadas as alterações desde o procedimento anterior que afetam a informação do medicamento (</w:t>
                            </w:r>
                            <w:r w:rsidRPr="00CB0F73">
                              <w:t>EMA/VR/0000281387</w:t>
                            </w:r>
                            <w:r>
                              <w:t>).</w:t>
                            </w:r>
                          </w:p>
                          <w:p w14:paraId="005D41EC" w14:textId="77777777" w:rsidR="00CB0F73" w:rsidRDefault="00CB0F73" w:rsidP="00CB0F73">
                            <w:pPr>
                              <w:widowControl w:val="0"/>
                            </w:pPr>
                          </w:p>
                          <w:p w14:paraId="14B6B7A7" w14:textId="77777777" w:rsidR="00CB0F73" w:rsidRDefault="00CB0F73" w:rsidP="00CB0F73">
                            <w:r>
                              <w:t>Para mais informações, consultar o sítio Web da Agência Europeia de Medicamentos: https://www.ema.europa.eu/en/medicines/human/EPAR/Aybintio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E846F85" id="_x0000_t202" coordsize="21600,21600" o:spt="202" path="m,l,21600r21600,l21600,xe">
                <v:stroke joinstyle="miter"/>
                <v:path gradientshapeok="t" o:connecttype="rect"/>
              </v:shapetype>
              <v:shape id="Text Box 4" o:spid="_x0000_s1026" type="#_x0000_t202" style="position:absolute;left:0;text-align:left;margin-left:0;margin-top:-.05pt;width:530.05pt;height:87.4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" fillcolor="window" strokeweight=".5pt">
                <v:path arrowok="t"/>
                <v:textbox>
                  <w:txbxContent>
                    <w:p w14:paraId="79B71994" w14:textId="4791A534" w:rsidR="00CB0F73" w:rsidRDefault="00CB0F73" w:rsidP="00CB0F73">
                      <w:pPr>
                        <w:widowControl w:val="0"/>
                      </w:pPr>
                      <w:r>
                        <w:t>Este documento é a informação do medicamento aprovada para Aybintio, tendo sido destacadas as alterações desde o procedimento anterior que afetam a informação do medicamento (</w:t>
                      </w:r>
                      <w:r w:rsidRPr="00CB0F73">
                        <w:t>EMA/VR/0000281387</w:t>
                      </w:r>
                      <w:r>
                        <w:t>).</w:t>
                      </w:r>
                    </w:p>
                    <w:p w14:paraId="005D41EC" w14:textId="77777777" w:rsidR="00CB0F73" w:rsidRDefault="00CB0F73" w:rsidP="00CB0F73">
                      <w:pPr>
                        <w:widowControl w:val="0"/>
                      </w:pPr>
                    </w:p>
                    <w:p w14:paraId="14B6B7A7" w14:textId="77777777" w:rsidR="00CB0F73" w:rsidRDefault="00CB0F73" w:rsidP="00CB0F73">
                      <w:r>
                        <w:t>Para mais informações, consultar o sítio Web da Agência Europeia de Medicamentos: https://www.ema.europa.eu/en/medicines/human/EPAR/Aybintio</w:t>
                      </w:r>
                    </w:p>
                  </w:txbxContent>
                </v:textbox>
                <w10:wrap anchorx="margin"/>
              </v:shape>
            </w:pict>
          </mc:Fallback>
        </mc:AlternateContent>
      </w:r>
    </w:p>
    <w:p w14:paraId="17E3C3D9" w14:textId="77777777" w:rsidR="00400398" w:rsidRPr="007232E4" w:rsidRDefault="00400398">
      <w:pPr>
        <w:jc w:val="center"/>
        <w:outlineLvl w:val="0"/>
      </w:pPr>
    </w:p>
    <w:p w14:paraId="17DD1FA5" w14:textId="77777777" w:rsidR="00400398" w:rsidRPr="007232E4" w:rsidRDefault="00400398">
      <w:pPr>
        <w:jc w:val="center"/>
        <w:outlineLvl w:val="0"/>
      </w:pPr>
    </w:p>
    <w:p w14:paraId="1913BF2E" w14:textId="77777777" w:rsidR="00400398" w:rsidRPr="007232E4" w:rsidRDefault="00400398">
      <w:pPr>
        <w:jc w:val="center"/>
        <w:outlineLvl w:val="0"/>
      </w:pPr>
    </w:p>
    <w:p w14:paraId="259A1111" w14:textId="77777777" w:rsidR="00400398" w:rsidRPr="007232E4" w:rsidRDefault="00400398">
      <w:pPr>
        <w:jc w:val="center"/>
        <w:outlineLvl w:val="0"/>
      </w:pPr>
    </w:p>
    <w:p w14:paraId="228D8C59" w14:textId="77777777" w:rsidR="00400398" w:rsidRPr="007232E4" w:rsidRDefault="00400398">
      <w:pPr>
        <w:jc w:val="center"/>
        <w:outlineLvl w:val="0"/>
      </w:pPr>
    </w:p>
    <w:p w14:paraId="2B4DFDA3" w14:textId="77777777" w:rsidR="00400398" w:rsidRPr="007232E4" w:rsidRDefault="00400398">
      <w:pPr>
        <w:jc w:val="center"/>
        <w:outlineLvl w:val="0"/>
      </w:pPr>
    </w:p>
    <w:p w14:paraId="6A081EBE" w14:textId="77777777" w:rsidR="00400398" w:rsidRPr="007232E4" w:rsidRDefault="00400398">
      <w:pPr>
        <w:jc w:val="center"/>
        <w:outlineLvl w:val="0"/>
      </w:pPr>
    </w:p>
    <w:p w14:paraId="549058A2" w14:textId="77777777" w:rsidR="00400398" w:rsidRPr="007232E4" w:rsidRDefault="00400398">
      <w:pPr>
        <w:jc w:val="center"/>
        <w:outlineLvl w:val="0"/>
      </w:pPr>
    </w:p>
    <w:p w14:paraId="40A51120" w14:textId="77777777" w:rsidR="00400398" w:rsidRPr="007232E4" w:rsidRDefault="00400398">
      <w:pPr>
        <w:jc w:val="center"/>
        <w:outlineLvl w:val="0"/>
      </w:pPr>
    </w:p>
    <w:p w14:paraId="178EBD0A" w14:textId="77777777" w:rsidR="00400398" w:rsidRPr="007232E4" w:rsidRDefault="00400398">
      <w:pPr>
        <w:jc w:val="center"/>
        <w:outlineLvl w:val="0"/>
      </w:pPr>
    </w:p>
    <w:p w14:paraId="59F6D5E3" w14:textId="77777777" w:rsidR="00400398" w:rsidRPr="007232E4" w:rsidRDefault="00400398">
      <w:pPr>
        <w:jc w:val="center"/>
        <w:outlineLvl w:val="0"/>
      </w:pPr>
    </w:p>
    <w:p w14:paraId="6D785A93" w14:textId="77777777" w:rsidR="00400398" w:rsidRPr="007232E4" w:rsidRDefault="00400398">
      <w:pPr>
        <w:jc w:val="center"/>
        <w:outlineLvl w:val="0"/>
      </w:pPr>
    </w:p>
    <w:p w14:paraId="3D37B5EF" w14:textId="77777777" w:rsidR="00400398" w:rsidRPr="007232E4" w:rsidRDefault="00400398">
      <w:pPr>
        <w:jc w:val="center"/>
        <w:outlineLvl w:val="0"/>
      </w:pPr>
    </w:p>
    <w:p w14:paraId="1D4B6778" w14:textId="77777777" w:rsidR="00400398" w:rsidRPr="007232E4" w:rsidRDefault="00400398">
      <w:pPr>
        <w:jc w:val="center"/>
        <w:outlineLvl w:val="0"/>
      </w:pPr>
    </w:p>
    <w:p w14:paraId="70CD31AB" w14:textId="77777777" w:rsidR="00400398" w:rsidRPr="007232E4" w:rsidRDefault="00400398">
      <w:pPr>
        <w:jc w:val="center"/>
        <w:outlineLvl w:val="0"/>
      </w:pPr>
    </w:p>
    <w:p w14:paraId="0AF76D7A" w14:textId="77777777" w:rsidR="00400398" w:rsidRPr="007232E4" w:rsidRDefault="00400398">
      <w:pPr>
        <w:jc w:val="center"/>
        <w:outlineLvl w:val="0"/>
      </w:pPr>
    </w:p>
    <w:p w14:paraId="512F9AA4" w14:textId="77777777" w:rsidR="00400398" w:rsidRPr="007232E4" w:rsidRDefault="00400398">
      <w:pPr>
        <w:jc w:val="center"/>
        <w:outlineLvl w:val="0"/>
      </w:pPr>
    </w:p>
    <w:p w14:paraId="2A4C5DB2" w14:textId="77777777" w:rsidR="00400398" w:rsidRPr="007232E4" w:rsidRDefault="00400398">
      <w:pPr>
        <w:jc w:val="center"/>
        <w:outlineLvl w:val="0"/>
      </w:pPr>
    </w:p>
    <w:p w14:paraId="4EB34084" w14:textId="77777777" w:rsidR="00400398" w:rsidRPr="007232E4" w:rsidRDefault="00400398">
      <w:pPr>
        <w:jc w:val="center"/>
        <w:outlineLvl w:val="0"/>
      </w:pPr>
    </w:p>
    <w:p w14:paraId="4DBEF366" w14:textId="77777777" w:rsidR="00400398" w:rsidRPr="007232E4" w:rsidRDefault="00400398">
      <w:pPr>
        <w:jc w:val="center"/>
        <w:outlineLvl w:val="0"/>
      </w:pPr>
    </w:p>
    <w:p w14:paraId="318C7C07" w14:textId="77777777" w:rsidR="00400398" w:rsidRPr="007232E4" w:rsidRDefault="00400398">
      <w:pPr>
        <w:jc w:val="center"/>
        <w:outlineLvl w:val="0"/>
      </w:pPr>
    </w:p>
    <w:p w14:paraId="757EE890" w14:textId="77777777" w:rsidR="00400398" w:rsidRPr="007232E4" w:rsidRDefault="00400398">
      <w:pPr>
        <w:jc w:val="center"/>
        <w:outlineLvl w:val="0"/>
      </w:pPr>
    </w:p>
    <w:p w14:paraId="20ACDC38" w14:textId="77777777" w:rsidR="00400398" w:rsidRPr="007232E4" w:rsidRDefault="00400398">
      <w:pPr>
        <w:jc w:val="center"/>
        <w:rPr>
          <w:b/>
        </w:rPr>
      </w:pPr>
      <w:r w:rsidRPr="007232E4">
        <w:rPr>
          <w:b/>
        </w:rPr>
        <w:t>ANEXO I</w:t>
      </w:r>
    </w:p>
    <w:p w14:paraId="22890638" w14:textId="77777777" w:rsidR="00400398" w:rsidRPr="007232E4" w:rsidRDefault="00400398">
      <w:pPr>
        <w:jc w:val="center"/>
        <w:rPr>
          <w:b/>
        </w:rPr>
      </w:pPr>
    </w:p>
    <w:p w14:paraId="7DC05CD2" w14:textId="77777777" w:rsidR="00400398" w:rsidRPr="007232E4" w:rsidRDefault="00400398">
      <w:pPr>
        <w:pStyle w:val="Annex"/>
      </w:pPr>
      <w:r w:rsidRPr="007232E4">
        <w:t>RESUMO DAS CARACTERÍSTICAS DO MEDICAMENTO</w:t>
      </w:r>
    </w:p>
    <w:p w14:paraId="57B5D342" w14:textId="77777777" w:rsidR="00400398" w:rsidRPr="007232E4" w:rsidRDefault="00400398">
      <w:pPr>
        <w:jc w:val="center"/>
        <w:outlineLvl w:val="0"/>
        <w:rPr>
          <w:b/>
        </w:rPr>
      </w:pPr>
    </w:p>
    <w:p w14:paraId="75766543" w14:textId="77777777" w:rsidR="00400398" w:rsidRPr="007232E4" w:rsidRDefault="00400398">
      <w:pPr>
        <w:jc w:val="center"/>
        <w:outlineLvl w:val="0"/>
        <w:rPr>
          <w:b/>
        </w:rPr>
      </w:pPr>
    </w:p>
    <w:p w14:paraId="5A17B6D2" w14:textId="77777777" w:rsidR="00400398" w:rsidRPr="007232E4" w:rsidRDefault="00205F7E">
      <w:pPr>
        <w:rPr>
          <w:b/>
        </w:rPr>
      </w:pPr>
      <w:r>
        <w:rPr>
          <w:b/>
        </w:rPr>
        <w:br w:type="page"/>
      </w:r>
      <w:r w:rsidR="00400398" w:rsidRPr="007232E4">
        <w:rPr>
          <w:b/>
        </w:rPr>
        <w:lastRenderedPageBreak/>
        <w:t>1.</w:t>
      </w:r>
      <w:r w:rsidR="00400398" w:rsidRPr="007232E4">
        <w:rPr>
          <w:b/>
        </w:rPr>
        <w:tab/>
        <w:t>NOME DO MEDICAMENTO</w:t>
      </w:r>
    </w:p>
    <w:p w14:paraId="5ACD7D50" w14:textId="77777777" w:rsidR="00400398" w:rsidRPr="007232E4" w:rsidRDefault="00400398">
      <w:pPr>
        <w:jc w:val="both"/>
      </w:pPr>
    </w:p>
    <w:p w14:paraId="184D5CE7" w14:textId="77777777" w:rsidR="00400398" w:rsidRPr="007232E4" w:rsidRDefault="00357CC5">
      <w:r>
        <w:t xml:space="preserve">Aybintio </w:t>
      </w:r>
      <w:r w:rsidR="00400398" w:rsidRPr="007232E4">
        <w:t>25 mg/ml concentrado para solução para perfusão</w:t>
      </w:r>
    </w:p>
    <w:p w14:paraId="6AF1C08A" w14:textId="77777777" w:rsidR="00400398" w:rsidRPr="007232E4" w:rsidRDefault="00400398"/>
    <w:p w14:paraId="577457EE" w14:textId="77777777" w:rsidR="00400398" w:rsidRPr="007232E4" w:rsidRDefault="00400398"/>
    <w:p w14:paraId="255E3196" w14:textId="77777777" w:rsidR="00400398" w:rsidRPr="007232E4" w:rsidRDefault="00400398">
      <w:pPr>
        <w:tabs>
          <w:tab w:val="left" w:pos="-1440"/>
          <w:tab w:val="left" w:pos="-720"/>
        </w:tabs>
        <w:rPr>
          <w:b/>
        </w:rPr>
      </w:pPr>
      <w:r w:rsidRPr="007232E4">
        <w:rPr>
          <w:b/>
        </w:rPr>
        <w:t>2.</w:t>
      </w:r>
      <w:r w:rsidRPr="007232E4">
        <w:rPr>
          <w:b/>
        </w:rPr>
        <w:tab/>
        <w:t>COMPOSIÇÃO QUALITATIVA E QUANTITATIVA</w:t>
      </w:r>
    </w:p>
    <w:p w14:paraId="29A0FF17" w14:textId="77777777" w:rsidR="00400398" w:rsidRPr="007232E4" w:rsidRDefault="00400398">
      <w:pPr>
        <w:rPr>
          <w:i/>
        </w:rPr>
      </w:pPr>
    </w:p>
    <w:p w14:paraId="2066E6A8" w14:textId="77777777" w:rsidR="00400398" w:rsidRPr="007232E4" w:rsidRDefault="00400398">
      <w:r w:rsidRPr="007232E4">
        <w:t xml:space="preserve">Cada ml de concentrado contém 25 mg de bevacizumab*. </w:t>
      </w:r>
    </w:p>
    <w:p w14:paraId="26AB7195" w14:textId="77777777" w:rsidR="00400398" w:rsidRPr="007232E4" w:rsidRDefault="00400398">
      <w:r w:rsidRPr="007232E4">
        <w:t>Cada frasco para injetáveis de 4 ml contém 100 mg de bevacizumab.</w:t>
      </w:r>
    </w:p>
    <w:p w14:paraId="1A311D99" w14:textId="77777777" w:rsidR="00400398" w:rsidRDefault="00400398" w:rsidP="000C334A">
      <w:r w:rsidRPr="007232E4">
        <w:t>Cada frasco para injetáveis de 16 ml contém 400 mg de bevacizumab.</w:t>
      </w:r>
    </w:p>
    <w:p w14:paraId="69494076" w14:textId="77777777" w:rsidR="00400398" w:rsidRPr="007232E4" w:rsidRDefault="00400398" w:rsidP="000C334A">
      <w:r>
        <w:t xml:space="preserve">Para diluição e outras recomendações de manuseamento, ver secção 6.6. </w:t>
      </w:r>
    </w:p>
    <w:p w14:paraId="3A3ACC74" w14:textId="77777777" w:rsidR="00400398" w:rsidRPr="007232E4" w:rsidRDefault="00400398"/>
    <w:p w14:paraId="7CC252F5" w14:textId="77777777" w:rsidR="00400398" w:rsidRPr="007232E4" w:rsidRDefault="00400398">
      <w:r w:rsidRPr="007232E4">
        <w:t>*Bevacizumab é um anticorpo monoclonal recombinante humanizado produzido por tecnologia de ADN em células de ovário de hamster chinês.</w:t>
      </w:r>
    </w:p>
    <w:p w14:paraId="45F57285" w14:textId="77777777" w:rsidR="00400398" w:rsidRDefault="00400398"/>
    <w:p w14:paraId="23D52179" w14:textId="77777777" w:rsidR="00096F93" w:rsidRPr="002432F6" w:rsidRDefault="00096F93" w:rsidP="00096F93">
      <w:pPr>
        <w:rPr>
          <w:u w:val="single"/>
        </w:rPr>
      </w:pPr>
      <w:r w:rsidRPr="00F8155E">
        <w:rPr>
          <w:u w:val="single"/>
        </w:rPr>
        <w:t>Excipiente</w:t>
      </w:r>
      <w:r w:rsidRPr="002432F6">
        <w:rPr>
          <w:u w:val="single"/>
        </w:rPr>
        <w:t xml:space="preserve"> com efeito conhecido</w:t>
      </w:r>
    </w:p>
    <w:p w14:paraId="4271E9BC" w14:textId="77777777" w:rsidR="00096F93" w:rsidRDefault="00096F93" w:rsidP="00096F93">
      <w:r>
        <w:t>Cada frasco para injetáveis de 4 ml contém 1,6 mg de polissorbato 20.</w:t>
      </w:r>
    </w:p>
    <w:p w14:paraId="2720B5C7" w14:textId="77777777" w:rsidR="00096F93" w:rsidRPr="007A3B0C" w:rsidRDefault="00096F93" w:rsidP="00096F93">
      <w:r>
        <w:t>Cada frasco para injetáveis de 16 ml contém 6,4 mg de polissorbato 20.</w:t>
      </w:r>
    </w:p>
    <w:p w14:paraId="2E0A7471" w14:textId="77777777" w:rsidR="00096F93" w:rsidRPr="007232E4" w:rsidRDefault="00096F93"/>
    <w:p w14:paraId="74373958" w14:textId="77777777" w:rsidR="00400398" w:rsidRPr="007232E4" w:rsidRDefault="00400398">
      <w:pPr>
        <w:outlineLvl w:val="0"/>
      </w:pPr>
      <w:r w:rsidRPr="007232E4">
        <w:t>Lista completa de excipientes, ver secção 6.1.</w:t>
      </w:r>
    </w:p>
    <w:p w14:paraId="059FEDCB" w14:textId="77777777" w:rsidR="00400398" w:rsidRPr="007232E4" w:rsidRDefault="00400398"/>
    <w:p w14:paraId="63722BEF" w14:textId="77777777" w:rsidR="00400398" w:rsidRPr="007232E4" w:rsidRDefault="00400398"/>
    <w:p w14:paraId="2E0C4997" w14:textId="77777777" w:rsidR="00400398" w:rsidRPr="007232E4" w:rsidRDefault="00400398">
      <w:pPr>
        <w:tabs>
          <w:tab w:val="left" w:pos="-1440"/>
          <w:tab w:val="left" w:pos="-720"/>
        </w:tabs>
        <w:rPr>
          <w:b/>
        </w:rPr>
      </w:pPr>
      <w:r w:rsidRPr="007232E4">
        <w:rPr>
          <w:b/>
        </w:rPr>
        <w:t>3.</w:t>
      </w:r>
      <w:r w:rsidRPr="007232E4">
        <w:rPr>
          <w:b/>
        </w:rPr>
        <w:tab/>
        <w:t>FORMA FARMACÊUTICA</w:t>
      </w:r>
    </w:p>
    <w:p w14:paraId="286FF090" w14:textId="77777777" w:rsidR="00400398" w:rsidRPr="007232E4" w:rsidRDefault="00400398"/>
    <w:p w14:paraId="696C7B75" w14:textId="77777777" w:rsidR="00400398" w:rsidRPr="007232E4" w:rsidRDefault="00400398">
      <w:r w:rsidRPr="007232E4">
        <w:t>Concentrado para solução para perfusão</w:t>
      </w:r>
      <w:r w:rsidR="00066027">
        <w:t xml:space="preserve"> (concentrado estéril)</w:t>
      </w:r>
      <w:r w:rsidRPr="007232E4">
        <w:t xml:space="preserve">. </w:t>
      </w:r>
    </w:p>
    <w:p w14:paraId="01C92BB9" w14:textId="77777777" w:rsidR="00400398" w:rsidRPr="007232E4" w:rsidRDefault="00400398"/>
    <w:p w14:paraId="1D9F011F" w14:textId="77777777" w:rsidR="00400398" w:rsidRPr="007232E4" w:rsidRDefault="00400398">
      <w:r w:rsidRPr="007232E4">
        <w:t xml:space="preserve">Líquido transparente a ligeiramente opalescente, incolor a castanho claro </w:t>
      </w:r>
    </w:p>
    <w:p w14:paraId="77FABC7B" w14:textId="77777777" w:rsidR="00400398" w:rsidRPr="007232E4" w:rsidRDefault="00400398"/>
    <w:p w14:paraId="691DB0B2" w14:textId="77777777" w:rsidR="00400398" w:rsidRPr="007232E4" w:rsidRDefault="00400398"/>
    <w:p w14:paraId="331079CD" w14:textId="77777777" w:rsidR="00400398" w:rsidRPr="007232E4" w:rsidRDefault="00400398">
      <w:pPr>
        <w:tabs>
          <w:tab w:val="left" w:pos="-1440"/>
          <w:tab w:val="left" w:pos="-720"/>
        </w:tabs>
        <w:rPr>
          <w:b/>
        </w:rPr>
      </w:pPr>
      <w:r w:rsidRPr="007232E4">
        <w:rPr>
          <w:b/>
        </w:rPr>
        <w:t>4.</w:t>
      </w:r>
      <w:r w:rsidRPr="007232E4">
        <w:rPr>
          <w:b/>
        </w:rPr>
        <w:tab/>
        <w:t>INFORMAÇÕES CLÍNICAS</w:t>
      </w:r>
    </w:p>
    <w:p w14:paraId="1A1D7ED9" w14:textId="77777777" w:rsidR="00400398" w:rsidRPr="007232E4" w:rsidRDefault="00400398"/>
    <w:p w14:paraId="78980858" w14:textId="77777777" w:rsidR="00400398" w:rsidRPr="007232E4" w:rsidRDefault="00400398">
      <w:pPr>
        <w:outlineLvl w:val="0"/>
        <w:rPr>
          <w:b/>
        </w:rPr>
      </w:pPr>
      <w:r w:rsidRPr="007232E4">
        <w:rPr>
          <w:b/>
        </w:rPr>
        <w:t>4.1</w:t>
      </w:r>
      <w:r w:rsidRPr="007232E4">
        <w:rPr>
          <w:b/>
        </w:rPr>
        <w:tab/>
        <w:t>Indicações terapêuticas</w:t>
      </w:r>
    </w:p>
    <w:p w14:paraId="7B851D0A" w14:textId="77777777" w:rsidR="00400398" w:rsidRPr="007232E4" w:rsidRDefault="00400398"/>
    <w:p w14:paraId="3CB7F940" w14:textId="77777777" w:rsidR="00400398" w:rsidRPr="007232E4" w:rsidRDefault="00357CC5">
      <w:r>
        <w:t>Aybintio</w:t>
      </w:r>
      <w:r w:rsidR="00400398" w:rsidRPr="007232E4">
        <w:t xml:space="preserve">, em associação com quimioterapia contendo fluoropirimidinas, está indicado no tratamento de doentes </w:t>
      </w:r>
      <w:bookmarkStart w:id="0" w:name="OLE_LINK1"/>
      <w:bookmarkStart w:id="1" w:name="OLE_LINK2"/>
      <w:r w:rsidR="00400398" w:rsidRPr="007232E4">
        <w:t>adultos com carcinoma metastizado do cólon ou do reto.</w:t>
      </w:r>
      <w:bookmarkEnd w:id="0"/>
      <w:bookmarkEnd w:id="1"/>
    </w:p>
    <w:p w14:paraId="78E1E663" w14:textId="77777777" w:rsidR="00400398" w:rsidRPr="007232E4" w:rsidRDefault="00400398"/>
    <w:p w14:paraId="0D505183" w14:textId="77777777" w:rsidR="00400398" w:rsidRPr="007232E4" w:rsidRDefault="00357CC5">
      <w:pPr>
        <w:outlineLvl w:val="0"/>
        <w:rPr>
          <w:bCs/>
        </w:rPr>
      </w:pPr>
      <w:r>
        <w:t>Aybintio</w:t>
      </w:r>
      <w:r w:rsidR="00400398" w:rsidRPr="007232E4">
        <w:rPr>
          <w:bCs/>
        </w:rPr>
        <w:t>, em associação com paclitaxel</w:t>
      </w:r>
      <w:bookmarkStart w:id="2" w:name="OLE_LINK3"/>
      <w:bookmarkStart w:id="3" w:name="OLE_LINK4"/>
      <w:r w:rsidR="00400398" w:rsidRPr="007232E4">
        <w:rPr>
          <w:bCs/>
        </w:rPr>
        <w:t xml:space="preserve">, está indicado no tratamento de primeira linha de doentes adultos com cancro da mama </w:t>
      </w:r>
      <w:r w:rsidR="00400398" w:rsidRPr="007232E4">
        <w:rPr>
          <w:rFonts w:eastAsia="SimSun"/>
          <w:szCs w:val="22"/>
          <w:lang w:eastAsia="zh-CN"/>
        </w:rPr>
        <w:t>metastizado</w:t>
      </w:r>
      <w:r w:rsidR="00400398" w:rsidRPr="007232E4">
        <w:rPr>
          <w:bCs/>
        </w:rPr>
        <w:t xml:space="preserve">. Para informação adicional acerca da determinação do </w:t>
      </w:r>
      <w:r w:rsidR="00400398" w:rsidRPr="007232E4">
        <w:t>recetor-2 do fator de crescimento epidérmico humano (</w:t>
      </w:r>
      <w:r w:rsidR="00400398" w:rsidRPr="007232E4">
        <w:rPr>
          <w:bCs/>
        </w:rPr>
        <w:t>HER2) por favor consulte a secção 5.1.</w:t>
      </w:r>
    </w:p>
    <w:bookmarkEnd w:id="2"/>
    <w:bookmarkEnd w:id="3"/>
    <w:p w14:paraId="5D53D7A5" w14:textId="77777777" w:rsidR="00400398" w:rsidRPr="007232E4" w:rsidRDefault="00400398"/>
    <w:p w14:paraId="7484B299" w14:textId="77777777" w:rsidR="00400398" w:rsidRPr="007232E4" w:rsidRDefault="00357CC5">
      <w:pPr>
        <w:outlineLvl w:val="0"/>
        <w:rPr>
          <w:bCs/>
        </w:rPr>
      </w:pPr>
      <w:r>
        <w:t>Aybintio</w:t>
      </w:r>
      <w:r w:rsidR="00400398" w:rsidRPr="007232E4">
        <w:rPr>
          <w:bCs/>
        </w:rPr>
        <w:t>, em associação com</w:t>
      </w:r>
      <w:r w:rsidR="00400398" w:rsidRPr="007232E4">
        <w:t xml:space="preserve"> capecitabina,</w:t>
      </w:r>
      <w:r w:rsidR="00400398" w:rsidRPr="007232E4">
        <w:rPr>
          <w:bCs/>
        </w:rPr>
        <w:t xml:space="preserve"> está indicado na primeira linha do tratamento de doentes adultos com cancro da mama </w:t>
      </w:r>
      <w:r w:rsidR="00400398" w:rsidRPr="007232E4">
        <w:rPr>
          <w:rFonts w:eastAsia="SimSun"/>
          <w:szCs w:val="22"/>
          <w:lang w:eastAsia="zh-CN"/>
        </w:rPr>
        <w:t>metastizado, nos quais o tratamento com outras opções de quimioterapia, incluindo taxanos ou antraciclinas, não é considerado apropriado</w:t>
      </w:r>
      <w:r w:rsidR="00400398" w:rsidRPr="007232E4">
        <w:rPr>
          <w:bCs/>
        </w:rPr>
        <w:t xml:space="preserve">. Doentes tratados com taxanos e regimes contendo antraciclinas em contexto adjuvante nos últimos 12 meses devem ser excluídos do tratamento com </w:t>
      </w:r>
      <w:r>
        <w:t>Aybintio</w:t>
      </w:r>
      <w:r w:rsidRPr="007232E4">
        <w:rPr>
          <w:bCs/>
        </w:rPr>
        <w:t xml:space="preserve"> </w:t>
      </w:r>
      <w:r w:rsidR="00400398" w:rsidRPr="007232E4">
        <w:rPr>
          <w:bCs/>
        </w:rPr>
        <w:t>em associação com capecitabina.</w:t>
      </w:r>
      <w:r w:rsidR="00400398" w:rsidRPr="007232E4">
        <w:t xml:space="preserve"> </w:t>
      </w:r>
      <w:r w:rsidR="00400398" w:rsidRPr="007232E4">
        <w:rPr>
          <w:bCs/>
        </w:rPr>
        <w:t>Para informação adicional acerca da determinação do HER2 por favor consulte a secção 5.1.</w:t>
      </w:r>
    </w:p>
    <w:p w14:paraId="21C499BC" w14:textId="77777777" w:rsidR="00400398" w:rsidRPr="007232E4" w:rsidRDefault="00400398">
      <w:pPr>
        <w:outlineLvl w:val="0"/>
        <w:rPr>
          <w:bCs/>
        </w:rPr>
      </w:pPr>
    </w:p>
    <w:p w14:paraId="0E4A8868" w14:textId="77777777" w:rsidR="00400398" w:rsidRDefault="00357CC5">
      <w:pPr>
        <w:rPr>
          <w:bCs/>
        </w:rPr>
      </w:pPr>
      <w:r>
        <w:t>Aybintio</w:t>
      </w:r>
      <w:r w:rsidR="00400398" w:rsidRPr="007232E4">
        <w:rPr>
          <w:bCs/>
        </w:rPr>
        <w:t>, em associação com quimioterapia</w:t>
      </w:r>
      <w:r w:rsidR="00400398" w:rsidRPr="007232E4">
        <w:rPr>
          <w:rFonts w:eastAsia="SimSun"/>
          <w:szCs w:val="22"/>
          <w:lang w:eastAsia="zh-CN"/>
        </w:rPr>
        <w:t xml:space="preserve"> contendo compostos de platina</w:t>
      </w:r>
      <w:r w:rsidR="00400398" w:rsidRPr="007232E4">
        <w:rPr>
          <w:bCs/>
        </w:rPr>
        <w:t xml:space="preserve">, está indicado no tratamento de primeira linha de doentes adultos com cancro do pulmão de células não pequenas, irressecável, avançado, </w:t>
      </w:r>
      <w:r w:rsidR="00400398" w:rsidRPr="007232E4">
        <w:rPr>
          <w:rFonts w:eastAsia="SimSun"/>
          <w:szCs w:val="22"/>
          <w:lang w:eastAsia="zh-CN"/>
        </w:rPr>
        <w:t>metastizado ou recidivado</w:t>
      </w:r>
      <w:r w:rsidR="00400398" w:rsidRPr="007232E4">
        <w:rPr>
          <w:bCs/>
        </w:rPr>
        <w:t xml:space="preserve">, </w:t>
      </w:r>
      <w:r w:rsidR="00400398" w:rsidRPr="007232E4">
        <w:t xml:space="preserve">excluindo histologia com predomínio </w:t>
      </w:r>
      <w:r w:rsidR="00400398" w:rsidRPr="007232E4">
        <w:rPr>
          <w:rFonts w:eastAsia="SimSun"/>
          <w:szCs w:val="22"/>
          <w:lang w:eastAsia="zh-CN"/>
        </w:rPr>
        <w:t>pavimentocelular</w:t>
      </w:r>
      <w:r w:rsidR="00400398" w:rsidRPr="007232E4">
        <w:rPr>
          <w:bCs/>
        </w:rPr>
        <w:t>.</w:t>
      </w:r>
    </w:p>
    <w:p w14:paraId="5C5FBFB7" w14:textId="77777777" w:rsidR="00C2273A" w:rsidRDefault="00C2273A">
      <w:pPr>
        <w:rPr>
          <w:bCs/>
        </w:rPr>
      </w:pPr>
    </w:p>
    <w:p w14:paraId="604AC9B0" w14:textId="77777777" w:rsidR="00C2273A" w:rsidRPr="007232E4" w:rsidRDefault="00357CC5">
      <w:pPr>
        <w:rPr>
          <w:rFonts w:eastAsia="SimSun"/>
          <w:szCs w:val="22"/>
          <w:lang w:eastAsia="zh-CN"/>
        </w:rPr>
      </w:pPr>
      <w:r>
        <w:t>Aybintio</w:t>
      </w:r>
      <w:r w:rsidR="00C2273A">
        <w:rPr>
          <w:bCs/>
        </w:rPr>
        <w:t xml:space="preserve">, em associação com erlotinib, está indicado no tratamento de primeira linha de doentes </w:t>
      </w:r>
      <w:r w:rsidR="00C2273A" w:rsidRPr="00D51D1F">
        <w:rPr>
          <w:bCs/>
        </w:rPr>
        <w:t xml:space="preserve">adultos com cancro </w:t>
      </w:r>
      <w:r w:rsidR="00C2273A" w:rsidRPr="004278E6">
        <w:rPr>
          <w:bCs/>
        </w:rPr>
        <w:t>do pulmão de células não pequenas</w:t>
      </w:r>
      <w:r w:rsidR="0084050F" w:rsidRPr="0084050F">
        <w:rPr>
          <w:bCs/>
        </w:rPr>
        <w:t xml:space="preserve"> </w:t>
      </w:r>
      <w:r w:rsidR="0084050F" w:rsidRPr="0068260D">
        <w:rPr>
          <w:bCs/>
        </w:rPr>
        <w:t xml:space="preserve">não </w:t>
      </w:r>
      <w:r w:rsidR="003E1526">
        <w:rPr>
          <w:bCs/>
        </w:rPr>
        <w:t>escamoso</w:t>
      </w:r>
      <w:r w:rsidR="007E4A0C">
        <w:rPr>
          <w:bCs/>
        </w:rPr>
        <w:t>,</w:t>
      </w:r>
      <w:r w:rsidR="00C2273A" w:rsidRPr="00993884">
        <w:rPr>
          <w:bCs/>
        </w:rPr>
        <w:t xml:space="preserve"> </w:t>
      </w:r>
      <w:r w:rsidR="007E4A0C">
        <w:rPr>
          <w:bCs/>
        </w:rPr>
        <w:t xml:space="preserve">avançado </w:t>
      </w:r>
      <w:r w:rsidR="00C2273A" w:rsidRPr="00993884">
        <w:rPr>
          <w:bCs/>
        </w:rPr>
        <w:t>i</w:t>
      </w:r>
      <w:r w:rsidR="00C2273A" w:rsidRPr="00514928">
        <w:rPr>
          <w:bCs/>
        </w:rPr>
        <w:t>r</w:t>
      </w:r>
      <w:r w:rsidR="00C2273A" w:rsidRPr="0094420F">
        <w:rPr>
          <w:bCs/>
        </w:rPr>
        <w:t>ressecá</w:t>
      </w:r>
      <w:r w:rsidR="00C2273A">
        <w:rPr>
          <w:bCs/>
        </w:rPr>
        <w:t xml:space="preserve">vel, metastizado ou </w:t>
      </w:r>
      <w:r w:rsidR="003E1526">
        <w:rPr>
          <w:bCs/>
        </w:rPr>
        <w:t>recidivado</w:t>
      </w:r>
      <w:r w:rsidR="007E4A0C">
        <w:rPr>
          <w:bCs/>
        </w:rPr>
        <w:t>,</w:t>
      </w:r>
      <w:r w:rsidR="00C2273A">
        <w:rPr>
          <w:bCs/>
        </w:rPr>
        <w:t xml:space="preserve"> com mutações ativadoras do Recetor do Fator de Crescimento Epidérmico (EGFR)</w:t>
      </w:r>
      <w:r w:rsidR="00A22A1A">
        <w:rPr>
          <w:bCs/>
        </w:rPr>
        <w:t xml:space="preserve"> (ver secção 5.1)</w:t>
      </w:r>
      <w:r w:rsidR="00C2273A">
        <w:rPr>
          <w:bCs/>
        </w:rPr>
        <w:t xml:space="preserve">. </w:t>
      </w:r>
    </w:p>
    <w:p w14:paraId="30284898" w14:textId="77777777" w:rsidR="00400398" w:rsidRPr="007232E4" w:rsidRDefault="00400398">
      <w:pPr>
        <w:rPr>
          <w:rFonts w:ascii="Arial" w:eastAsia="SimSun" w:hAnsi="Arial" w:cs="Arial"/>
          <w:sz w:val="20"/>
          <w:lang w:eastAsia="zh-CN"/>
        </w:rPr>
      </w:pPr>
    </w:p>
    <w:p w14:paraId="1475B907" w14:textId="77777777" w:rsidR="00400398" w:rsidRPr="007232E4" w:rsidRDefault="00357CC5">
      <w:pPr>
        <w:outlineLvl w:val="0"/>
      </w:pPr>
      <w:r>
        <w:lastRenderedPageBreak/>
        <w:t>Aybintio</w:t>
      </w:r>
      <w:r w:rsidR="00400398" w:rsidRPr="007232E4">
        <w:t>, em associação com interferão alfa-2a, está indicado no tratamento de primeira linha de doentes adultos com cancro de células renais avançado e/ou metastizado.</w:t>
      </w:r>
    </w:p>
    <w:p w14:paraId="0347F1CD" w14:textId="77777777" w:rsidR="00400398" w:rsidRPr="007232E4" w:rsidRDefault="00400398">
      <w:pPr>
        <w:outlineLvl w:val="0"/>
        <w:rPr>
          <w:b/>
        </w:rPr>
      </w:pPr>
    </w:p>
    <w:p w14:paraId="7A13F80C" w14:textId="77777777" w:rsidR="00400398" w:rsidRPr="007232E4" w:rsidRDefault="00357CC5">
      <w:pPr>
        <w:outlineLvl w:val="0"/>
      </w:pPr>
      <w:r>
        <w:t>Aybintio</w:t>
      </w:r>
      <w:r w:rsidR="00400398" w:rsidRPr="007232E4">
        <w:t xml:space="preserve">, em associação com carboplatina e paclitaxel, está indicado no tratamento de primeira linha de doentes adultos com cancro epitelial do ovário, da trompa de Falópio ou cancro peritoneal primário, avançados (estadios </w:t>
      </w:r>
      <w:r w:rsidR="00400398" w:rsidRPr="007232E4">
        <w:rPr>
          <w:i/>
        </w:rPr>
        <w:t>International Federation of Gynecology and Obstetrics</w:t>
      </w:r>
      <w:r w:rsidR="00400398" w:rsidRPr="007232E4">
        <w:t xml:space="preserve"> (FIGO) III B, III C e IV)</w:t>
      </w:r>
      <w:r w:rsidR="009556B7">
        <w:t xml:space="preserve"> (</w:t>
      </w:r>
      <w:r w:rsidR="00215594">
        <w:rPr>
          <w:rFonts w:hint="eastAsia"/>
          <w:lang w:eastAsia="ko-KR"/>
        </w:rPr>
        <w:t>v</w:t>
      </w:r>
      <w:r w:rsidR="009556B7">
        <w:t>er secção</w:t>
      </w:r>
      <w:r w:rsidR="00205F7E">
        <w:t> </w:t>
      </w:r>
      <w:r w:rsidR="009556B7">
        <w:t>5.1).</w:t>
      </w:r>
    </w:p>
    <w:p w14:paraId="6B1FD580" w14:textId="77777777" w:rsidR="00400398" w:rsidRPr="007232E4" w:rsidRDefault="00400398">
      <w:pPr>
        <w:outlineLvl w:val="0"/>
      </w:pPr>
    </w:p>
    <w:p w14:paraId="3F4E8B0F" w14:textId="77777777" w:rsidR="00400398" w:rsidRDefault="00357CC5" w:rsidP="00FA07DD">
      <w:r>
        <w:t>Aybintio</w:t>
      </w:r>
      <w:r w:rsidR="00400398" w:rsidRPr="007232E4">
        <w:t>, em associação com carboplatina e gemcitabina</w:t>
      </w:r>
      <w:r w:rsidR="009556B7">
        <w:t xml:space="preserve"> ou em </w:t>
      </w:r>
      <w:r w:rsidR="009556B7" w:rsidRPr="007232E4">
        <w:t>associação com carboplatina e</w:t>
      </w:r>
      <w:r w:rsidR="009556B7">
        <w:t xml:space="preserve"> paclitaxel,</w:t>
      </w:r>
      <w:r w:rsidR="00400398" w:rsidRPr="007232E4">
        <w:t xml:space="preserve"> está indicado no tratamento de doentes adultos com uma primeira recorrência de cancro epitelial do ovário, da trompa de Falópio ou cancro peritoneal primário, sensíveis a </w:t>
      </w:r>
      <w:r w:rsidR="00233EB7">
        <w:t>platina</w:t>
      </w:r>
      <w:r w:rsidR="00400398" w:rsidRPr="007232E4">
        <w:t>, que não receberam terapêutica prévia com bevacizumab ou outros inibidores do VEGF ou agentes dirigidos ao recetor do VEGF.</w:t>
      </w:r>
    </w:p>
    <w:p w14:paraId="43398628" w14:textId="77777777" w:rsidR="00400398" w:rsidRDefault="00400398" w:rsidP="00FA07DD"/>
    <w:p w14:paraId="10DC7FDB" w14:textId="77777777" w:rsidR="00400398" w:rsidRPr="007232E4" w:rsidRDefault="00357CC5" w:rsidP="00FA07DD">
      <w:r>
        <w:t xml:space="preserve">Aybintio </w:t>
      </w:r>
      <w:r w:rsidR="00400398">
        <w:t xml:space="preserve">em associação com </w:t>
      </w:r>
      <w:r w:rsidR="00E47633">
        <w:rPr>
          <w:szCs w:val="22"/>
        </w:rPr>
        <w:t xml:space="preserve">paclitaxel, </w:t>
      </w:r>
      <w:r w:rsidR="00400398">
        <w:t>topotecano, ou doxorrubicina lipossómica peguilada está indicado no tratamento de doentes adultos com cancro epitelial do ovário, da trompa de Falópio ou cancro peritoneal primário</w:t>
      </w:r>
      <w:r w:rsidR="00400398" w:rsidRPr="00E41D80">
        <w:t xml:space="preserve"> </w:t>
      </w:r>
      <w:r w:rsidR="00400398">
        <w:t>recorrentes, resistente</w:t>
      </w:r>
      <w:r w:rsidR="00400398" w:rsidRPr="0035221E">
        <w:t xml:space="preserve">s a </w:t>
      </w:r>
      <w:r w:rsidR="00233EB7">
        <w:t>platina</w:t>
      </w:r>
      <w:r w:rsidR="00400398" w:rsidRPr="0035221E">
        <w:t>, que receberam previamente não mais do que dois regimes de quimioterapia</w:t>
      </w:r>
      <w:r w:rsidR="00400398">
        <w:t xml:space="preserve"> e que não receberam terapêutica prévia com bevacizumab ou outros inibidores do VEGF ou agentes dirigidos ao recetor do VEGF (ver secção 5.1)</w:t>
      </w:r>
      <w:r w:rsidR="00400398" w:rsidRPr="0035221E">
        <w:t>.</w:t>
      </w:r>
    </w:p>
    <w:p w14:paraId="7621A76F" w14:textId="77777777" w:rsidR="00400398" w:rsidRDefault="00400398" w:rsidP="00C82494"/>
    <w:p w14:paraId="042133FB" w14:textId="77777777" w:rsidR="00400398" w:rsidRPr="00526E0A" w:rsidRDefault="00357CC5" w:rsidP="00FA07DD">
      <w:r>
        <w:t xml:space="preserve">Aybintio, </w:t>
      </w:r>
      <w:r w:rsidR="00400398" w:rsidRPr="00526E0A">
        <w:t xml:space="preserve">em associação com paclitaxel e cisplatina ou, </w:t>
      </w:r>
      <w:r w:rsidR="00400398">
        <w:t>em alternativa</w:t>
      </w:r>
      <w:r w:rsidR="00400398" w:rsidRPr="00526E0A">
        <w:t xml:space="preserve">, paclitaxel e topotecano em doentes que não podem receber terapêutica com </w:t>
      </w:r>
      <w:r w:rsidR="00233EB7">
        <w:t>platina</w:t>
      </w:r>
      <w:r w:rsidR="00400398" w:rsidRPr="00526E0A">
        <w:t>, está indicado par</w:t>
      </w:r>
      <w:r w:rsidR="00400398">
        <w:t>a o tratamento de doentes adulta</w:t>
      </w:r>
      <w:r w:rsidR="00400398" w:rsidRPr="00526E0A">
        <w:t xml:space="preserve">s com </w:t>
      </w:r>
      <w:r w:rsidR="00400398">
        <w:t xml:space="preserve">carcinoma do colo do útero com doença </w:t>
      </w:r>
      <w:r w:rsidR="00400398" w:rsidRPr="00526E0A">
        <w:t xml:space="preserve">persistente, recorrente ou </w:t>
      </w:r>
      <w:r w:rsidR="00400398">
        <w:t>metastizada (ver secção 5.1)</w:t>
      </w:r>
      <w:r w:rsidR="00400398" w:rsidRPr="00526E0A">
        <w:t xml:space="preserve">. </w:t>
      </w:r>
    </w:p>
    <w:p w14:paraId="08D3D1F8" w14:textId="77777777" w:rsidR="00400398" w:rsidRPr="00526E0A" w:rsidRDefault="00400398">
      <w:pPr>
        <w:outlineLvl w:val="0"/>
      </w:pPr>
    </w:p>
    <w:p w14:paraId="412AC9E5" w14:textId="77777777" w:rsidR="00400398" w:rsidRPr="007232E4" w:rsidRDefault="00400398" w:rsidP="002759BA">
      <w:pPr>
        <w:keepNext/>
        <w:keepLines/>
        <w:outlineLvl w:val="0"/>
        <w:rPr>
          <w:b/>
        </w:rPr>
      </w:pPr>
      <w:r w:rsidRPr="007232E4">
        <w:rPr>
          <w:b/>
        </w:rPr>
        <w:t>4.2</w:t>
      </w:r>
      <w:r w:rsidRPr="007232E4">
        <w:rPr>
          <w:b/>
        </w:rPr>
        <w:tab/>
        <w:t>Posologia e modo de administração</w:t>
      </w:r>
    </w:p>
    <w:p w14:paraId="219035E1" w14:textId="77777777" w:rsidR="00400398" w:rsidRDefault="00400398" w:rsidP="002759BA">
      <w:pPr>
        <w:keepNext/>
        <w:keepLines/>
      </w:pPr>
    </w:p>
    <w:p w14:paraId="346FAA7E" w14:textId="77777777" w:rsidR="00C6702F" w:rsidRDefault="00C6702F" w:rsidP="002759BA">
      <w:pPr>
        <w:keepNext/>
        <w:keepLines/>
      </w:pPr>
      <w:r>
        <w:t>Não agitar o frasco para injetáveis.</w:t>
      </w:r>
    </w:p>
    <w:p w14:paraId="3AEC6EA1" w14:textId="77777777" w:rsidR="00C6702F" w:rsidRPr="007232E4" w:rsidRDefault="00C6702F" w:rsidP="002759BA">
      <w:pPr>
        <w:keepNext/>
        <w:keepLines/>
      </w:pPr>
    </w:p>
    <w:p w14:paraId="1B5CDB93" w14:textId="77777777" w:rsidR="00400398" w:rsidRPr="007232E4" w:rsidRDefault="00357CC5" w:rsidP="002759BA">
      <w:pPr>
        <w:keepNext/>
        <w:keepLines/>
      </w:pPr>
      <w:r>
        <w:t xml:space="preserve">Aybintio </w:t>
      </w:r>
      <w:r w:rsidR="00B94FF3">
        <w:t>tem de</w:t>
      </w:r>
      <w:r w:rsidR="00400398" w:rsidRPr="007232E4">
        <w:t xml:space="preserve"> ser administrado sob supervisão de um médico com experiência na utilização de terapêuticas antineoplásicas.</w:t>
      </w:r>
    </w:p>
    <w:p w14:paraId="54605C03" w14:textId="77777777" w:rsidR="00400398" w:rsidRPr="007232E4" w:rsidRDefault="00400398">
      <w:pPr>
        <w:rPr>
          <w:u w:val="single"/>
        </w:rPr>
      </w:pPr>
    </w:p>
    <w:p w14:paraId="0FB6AF1E" w14:textId="77777777" w:rsidR="00400398" w:rsidRPr="007232E4" w:rsidRDefault="00400398">
      <w:pPr>
        <w:rPr>
          <w:u w:val="single"/>
        </w:rPr>
      </w:pPr>
      <w:r w:rsidRPr="007232E4">
        <w:rPr>
          <w:u w:val="single"/>
        </w:rPr>
        <w:t>Posologia</w:t>
      </w:r>
    </w:p>
    <w:p w14:paraId="6E68C512" w14:textId="77777777" w:rsidR="00400398" w:rsidRPr="007232E4" w:rsidRDefault="00400398">
      <w:pPr>
        <w:rPr>
          <w:u w:val="single"/>
        </w:rPr>
      </w:pPr>
    </w:p>
    <w:p w14:paraId="445D4610" w14:textId="77777777" w:rsidR="00400398" w:rsidRPr="007232E4" w:rsidRDefault="00400398">
      <w:pPr>
        <w:keepNext/>
        <w:keepLines/>
        <w:rPr>
          <w:bCs/>
          <w:i/>
          <w:iCs/>
          <w:u w:val="single"/>
        </w:rPr>
      </w:pPr>
      <w:r w:rsidRPr="007232E4">
        <w:rPr>
          <w:bCs/>
          <w:i/>
          <w:u w:val="single"/>
        </w:rPr>
        <w:t>Carcinoma metastizado do cólon ou do reto</w:t>
      </w:r>
      <w:r w:rsidRPr="007232E4">
        <w:rPr>
          <w:bCs/>
          <w:i/>
          <w:iCs/>
          <w:u w:val="single"/>
        </w:rPr>
        <w:t xml:space="preserve"> </w:t>
      </w:r>
      <w:r w:rsidRPr="007232E4">
        <w:rPr>
          <w:i/>
          <w:u w:val="single"/>
        </w:rPr>
        <w:t>(mCRC)</w:t>
      </w:r>
    </w:p>
    <w:p w14:paraId="4955BDD6" w14:textId="77777777" w:rsidR="00400398" w:rsidRPr="007232E4" w:rsidRDefault="00400398">
      <w:pPr>
        <w:keepNext/>
        <w:keepLines/>
        <w:rPr>
          <w:i/>
        </w:rPr>
      </w:pPr>
    </w:p>
    <w:p w14:paraId="79609567" w14:textId="77777777" w:rsidR="00400398" w:rsidRPr="007232E4" w:rsidRDefault="00400398">
      <w:r w:rsidRPr="007232E4">
        <w:t xml:space="preserve">A dose recomendada de </w:t>
      </w:r>
      <w:r w:rsidR="00357CC5">
        <w:t>Aybintio</w:t>
      </w:r>
      <w:r w:rsidRPr="007232E4">
        <w:t xml:space="preserve">, administrada sob a forma de perfusão intravenosa, é de 5 mg/kg ou 10 mg/kg de peso corporal, administrada </w:t>
      </w:r>
      <w:r w:rsidRPr="00A04D85">
        <w:t xml:space="preserve">uma vez </w:t>
      </w:r>
      <w:r w:rsidRPr="00AF2A1A">
        <w:rPr>
          <w:u w:val="single"/>
        </w:rPr>
        <w:t>de 2 em 2 semanas</w:t>
      </w:r>
      <w:r w:rsidRPr="007232E4">
        <w:t xml:space="preserve">, ou 7,5 mg/kg ou 15 mg/kg de peso corporal administrada </w:t>
      </w:r>
      <w:r w:rsidRPr="00A04D85">
        <w:t xml:space="preserve">uma vez </w:t>
      </w:r>
      <w:r w:rsidRPr="00755194">
        <w:rPr>
          <w:u w:val="single"/>
        </w:rPr>
        <w:t>de 3 em 3 semanas</w:t>
      </w:r>
      <w:r w:rsidRPr="007232E4">
        <w:t>.</w:t>
      </w:r>
    </w:p>
    <w:p w14:paraId="09508862" w14:textId="77777777" w:rsidR="00357CC5" w:rsidRDefault="00357CC5" w:rsidP="002A160C"/>
    <w:p w14:paraId="718CC3BB" w14:textId="77777777" w:rsidR="00400398" w:rsidRPr="007232E4" w:rsidRDefault="00400398" w:rsidP="002A160C">
      <w:r w:rsidRPr="007232E4">
        <w:t>Recomenda</w:t>
      </w:r>
      <w:r w:rsidRPr="007232E4">
        <w:noBreakHyphen/>
        <w:t xml:space="preserve">se a continuação da terapêutica até à progressão da doença subjacente ou até a toxicidade ser inaceitável. </w:t>
      </w:r>
    </w:p>
    <w:p w14:paraId="403DDC9D" w14:textId="77777777" w:rsidR="00400398" w:rsidRPr="007232E4" w:rsidRDefault="00400398" w:rsidP="002A160C"/>
    <w:p w14:paraId="20453A4B" w14:textId="77777777" w:rsidR="00400398" w:rsidRPr="007232E4" w:rsidRDefault="00400398">
      <w:pPr>
        <w:rPr>
          <w:i/>
          <w:u w:val="single"/>
        </w:rPr>
      </w:pPr>
      <w:r w:rsidRPr="007232E4">
        <w:rPr>
          <w:i/>
          <w:u w:val="single"/>
        </w:rPr>
        <w:t xml:space="preserve">Cancro da mama </w:t>
      </w:r>
      <w:r w:rsidRPr="007232E4">
        <w:rPr>
          <w:rFonts w:eastAsia="SimSun"/>
          <w:i/>
          <w:szCs w:val="22"/>
          <w:u w:val="single"/>
          <w:lang w:eastAsia="zh-CN"/>
        </w:rPr>
        <w:t>metastizado</w:t>
      </w:r>
      <w:r w:rsidRPr="007232E4">
        <w:rPr>
          <w:i/>
          <w:u w:val="single"/>
        </w:rPr>
        <w:t xml:space="preserve"> </w:t>
      </w:r>
      <w:r w:rsidRPr="007232E4">
        <w:rPr>
          <w:i/>
          <w:szCs w:val="22"/>
          <w:u w:val="single"/>
        </w:rPr>
        <w:t>(mBC)</w:t>
      </w:r>
    </w:p>
    <w:p w14:paraId="1ADA1F1F" w14:textId="77777777" w:rsidR="00400398" w:rsidRPr="007232E4" w:rsidRDefault="00400398">
      <w:pPr>
        <w:rPr>
          <w:b/>
        </w:rPr>
      </w:pPr>
    </w:p>
    <w:p w14:paraId="3CE8B3DD" w14:textId="77777777" w:rsidR="00400398" w:rsidRPr="007232E4" w:rsidRDefault="00400398">
      <w:r w:rsidRPr="007232E4">
        <w:t xml:space="preserve">A dose recomendada de </w:t>
      </w:r>
      <w:r w:rsidR="00357CC5">
        <w:t>Aybintio</w:t>
      </w:r>
      <w:r w:rsidRPr="007232E4">
        <w:t xml:space="preserve"> é de 10 mg/kg de peso corporal administrada uma vez, de duas em duas semanas, ou 15 mg/</w:t>
      </w:r>
      <w:r w:rsidR="009F113D">
        <w:t>k</w:t>
      </w:r>
      <w:r w:rsidRPr="007232E4">
        <w:t>g de peso corporal, administrada uma vez cada 3 semanas, sob a forma de perfusão intravenosa.</w:t>
      </w:r>
    </w:p>
    <w:p w14:paraId="464909B0" w14:textId="77777777" w:rsidR="00357CC5" w:rsidRDefault="00357CC5" w:rsidP="002A160C"/>
    <w:p w14:paraId="7B058E0F" w14:textId="77777777" w:rsidR="00400398" w:rsidRPr="007232E4" w:rsidRDefault="00400398" w:rsidP="002A160C">
      <w:r w:rsidRPr="007232E4">
        <w:t>Recomenda</w:t>
      </w:r>
      <w:r w:rsidRPr="007232E4">
        <w:noBreakHyphen/>
        <w:t xml:space="preserve">se a continuação da terapêutica até à progressão da doença subjacente ou até a toxicidade ser inaceitável. </w:t>
      </w:r>
    </w:p>
    <w:p w14:paraId="1F27CF96" w14:textId="77777777" w:rsidR="00400398" w:rsidRPr="007232E4" w:rsidRDefault="00400398"/>
    <w:p w14:paraId="555363F7" w14:textId="77777777" w:rsidR="00400398" w:rsidRPr="007232E4" w:rsidRDefault="00400398" w:rsidP="001E05C2">
      <w:pPr>
        <w:keepNext/>
        <w:rPr>
          <w:i/>
          <w:u w:val="single"/>
        </w:rPr>
      </w:pPr>
      <w:r w:rsidRPr="007232E4">
        <w:rPr>
          <w:i/>
          <w:u w:val="single"/>
        </w:rPr>
        <w:t>Cancro do pulmão de células não pequenas (NSCLC)</w:t>
      </w:r>
    </w:p>
    <w:p w14:paraId="7B2ED697" w14:textId="77777777" w:rsidR="00400398" w:rsidRDefault="00400398" w:rsidP="001E05C2">
      <w:pPr>
        <w:keepNext/>
        <w:rPr>
          <w:i/>
        </w:rPr>
      </w:pPr>
    </w:p>
    <w:p w14:paraId="4EEB5338" w14:textId="77777777" w:rsidR="00717FB4" w:rsidRPr="001E05C2" w:rsidRDefault="00717FB4" w:rsidP="001E05C2">
      <w:pPr>
        <w:keepNext/>
        <w:rPr>
          <w:i/>
        </w:rPr>
      </w:pPr>
      <w:r w:rsidRPr="001E05C2">
        <w:rPr>
          <w:i/>
        </w:rPr>
        <w:t xml:space="preserve">Tratamento de primeira linha de NSCLC </w:t>
      </w:r>
      <w:r w:rsidR="00A33084" w:rsidRPr="001E05C2">
        <w:rPr>
          <w:i/>
        </w:rPr>
        <w:t xml:space="preserve">não </w:t>
      </w:r>
      <w:r w:rsidR="003E1526" w:rsidRPr="001E05C2">
        <w:rPr>
          <w:i/>
        </w:rPr>
        <w:t>escamoso</w:t>
      </w:r>
      <w:r w:rsidR="00A33084" w:rsidRPr="001E05C2">
        <w:rPr>
          <w:i/>
        </w:rPr>
        <w:t xml:space="preserve"> </w:t>
      </w:r>
      <w:r w:rsidRPr="001E05C2">
        <w:rPr>
          <w:i/>
        </w:rPr>
        <w:t xml:space="preserve">em associação </w:t>
      </w:r>
      <w:r w:rsidR="009B7994" w:rsidRPr="001E05C2">
        <w:rPr>
          <w:i/>
        </w:rPr>
        <w:t>com quimioterapia</w:t>
      </w:r>
      <w:r w:rsidRPr="001E05C2">
        <w:rPr>
          <w:i/>
        </w:rPr>
        <w:t xml:space="preserve"> basead</w:t>
      </w:r>
      <w:r w:rsidR="00690371" w:rsidRPr="001E05C2">
        <w:rPr>
          <w:i/>
        </w:rPr>
        <w:t>a</w:t>
      </w:r>
      <w:r w:rsidRPr="001E05C2">
        <w:rPr>
          <w:i/>
        </w:rPr>
        <w:t xml:space="preserve"> em </w:t>
      </w:r>
      <w:r w:rsidR="00233EB7" w:rsidRPr="001E05C2">
        <w:rPr>
          <w:i/>
        </w:rPr>
        <w:t>platina</w:t>
      </w:r>
    </w:p>
    <w:p w14:paraId="34E468A1" w14:textId="77777777" w:rsidR="00717FB4" w:rsidRPr="007232E4" w:rsidRDefault="00717FB4">
      <w:pPr>
        <w:rPr>
          <w:i/>
        </w:rPr>
      </w:pPr>
    </w:p>
    <w:p w14:paraId="398EC7CC" w14:textId="77777777" w:rsidR="00400398" w:rsidRPr="007232E4" w:rsidRDefault="00357CC5">
      <w:r>
        <w:lastRenderedPageBreak/>
        <w:t>Aybintio</w:t>
      </w:r>
      <w:r w:rsidR="00400398" w:rsidRPr="007232E4">
        <w:t xml:space="preserve"> é administrado em associação a quimioterapia com base em </w:t>
      </w:r>
      <w:r w:rsidR="00233EB7">
        <w:t>platina</w:t>
      </w:r>
      <w:r w:rsidR="00400398" w:rsidRPr="007232E4">
        <w:t xml:space="preserve">, em até 6 ciclos de tratamento, seguidos de </w:t>
      </w:r>
      <w:r>
        <w:t>Aybintio</w:t>
      </w:r>
      <w:r w:rsidR="00400398" w:rsidRPr="007232E4">
        <w:t xml:space="preserve"> em monoterapia até progressão da doença.</w:t>
      </w:r>
    </w:p>
    <w:p w14:paraId="3593B8BF" w14:textId="77777777" w:rsidR="00357CC5" w:rsidRDefault="00357CC5"/>
    <w:p w14:paraId="7F2356D8" w14:textId="77777777" w:rsidR="00400398" w:rsidRPr="007232E4" w:rsidRDefault="00400398">
      <w:r w:rsidRPr="007232E4">
        <w:t xml:space="preserve">A dose recomendada de </w:t>
      </w:r>
      <w:r w:rsidR="00357CC5">
        <w:t>Aybintio</w:t>
      </w:r>
      <w:r w:rsidRPr="007232E4">
        <w:t xml:space="preserve"> é de 7,5 mg/kg ou 15 mg/kg de peso corporal, administrada uma vez em cada 3 semanas, por perfusão intravenosa.</w:t>
      </w:r>
    </w:p>
    <w:p w14:paraId="09C7860C" w14:textId="77777777" w:rsidR="00357CC5" w:rsidRDefault="00357CC5"/>
    <w:p w14:paraId="466E2B4A" w14:textId="77777777" w:rsidR="00400398" w:rsidRDefault="00400398">
      <w:pPr>
        <w:rPr>
          <w:bCs/>
        </w:rPr>
      </w:pPr>
      <w:r w:rsidRPr="007232E4">
        <w:t>O benefício clínico em doentes com do</w:t>
      </w:r>
      <w:r w:rsidRPr="007232E4">
        <w:rPr>
          <w:bCs/>
        </w:rPr>
        <w:t xml:space="preserve"> cancro do pulmão de células não pequenas foi demonstrado com ambas as doses de </w:t>
      </w:r>
      <w:r w:rsidRPr="007232E4">
        <w:t>7,5 mg/kg e 15 mg/kg</w:t>
      </w:r>
      <w:r>
        <w:t xml:space="preserve"> </w:t>
      </w:r>
      <w:r w:rsidRPr="00A47E11">
        <w:t>(ver secção 5.1</w:t>
      </w:r>
      <w:r w:rsidRPr="00A47E11">
        <w:rPr>
          <w:bCs/>
        </w:rPr>
        <w:t>).</w:t>
      </w:r>
    </w:p>
    <w:p w14:paraId="0B7F80D1" w14:textId="77777777" w:rsidR="00FC31B0" w:rsidRPr="007232E4" w:rsidRDefault="00FC31B0"/>
    <w:p w14:paraId="357D779E" w14:textId="77777777" w:rsidR="00400398" w:rsidRDefault="00400398" w:rsidP="002A160C">
      <w:r w:rsidRPr="007232E4">
        <w:t>Recomenda</w:t>
      </w:r>
      <w:r w:rsidRPr="007232E4">
        <w:noBreakHyphen/>
        <w:t xml:space="preserve">se a continuação da terapêutica até à progressão da doença subjacente ou até a toxicidade ser inaceitável. </w:t>
      </w:r>
    </w:p>
    <w:p w14:paraId="2962A9E3" w14:textId="77777777" w:rsidR="00690371" w:rsidRDefault="00690371" w:rsidP="002A160C"/>
    <w:p w14:paraId="491C39DD" w14:textId="77777777" w:rsidR="00690371" w:rsidRPr="001E05C2" w:rsidRDefault="00690371" w:rsidP="00690371">
      <w:pPr>
        <w:rPr>
          <w:i/>
        </w:rPr>
      </w:pPr>
      <w:r w:rsidRPr="001E05C2">
        <w:rPr>
          <w:i/>
        </w:rPr>
        <w:t xml:space="preserve">Tratamento de primeira linha de NSCLC </w:t>
      </w:r>
      <w:r w:rsidR="00A33084" w:rsidRPr="001E05C2">
        <w:rPr>
          <w:i/>
        </w:rPr>
        <w:t xml:space="preserve">não </w:t>
      </w:r>
      <w:r w:rsidR="003E1526" w:rsidRPr="001E05C2">
        <w:rPr>
          <w:i/>
        </w:rPr>
        <w:t>escamoso</w:t>
      </w:r>
      <w:r w:rsidR="00A33084" w:rsidRPr="001E05C2">
        <w:rPr>
          <w:i/>
        </w:rPr>
        <w:t xml:space="preserve"> </w:t>
      </w:r>
      <w:r w:rsidRPr="001E05C2">
        <w:rPr>
          <w:i/>
        </w:rPr>
        <w:t>com mutações ativadoras do EGFR</w:t>
      </w:r>
      <w:r w:rsidR="00F85B72" w:rsidRPr="001E05C2">
        <w:rPr>
          <w:i/>
        </w:rPr>
        <w:t xml:space="preserve"> em associação com </w:t>
      </w:r>
      <w:r w:rsidRPr="001E05C2">
        <w:rPr>
          <w:i/>
        </w:rPr>
        <w:t>erlotinib</w:t>
      </w:r>
    </w:p>
    <w:p w14:paraId="5AE4A94D" w14:textId="77777777" w:rsidR="00690371" w:rsidRDefault="00690371" w:rsidP="00690371">
      <w:pPr>
        <w:rPr>
          <w:i/>
          <w:u w:val="single"/>
        </w:rPr>
      </w:pPr>
    </w:p>
    <w:p w14:paraId="113FDCE5" w14:textId="77777777" w:rsidR="00A33084" w:rsidRDefault="003E1526" w:rsidP="00690371">
      <w:r>
        <w:t>D</w:t>
      </w:r>
      <w:r w:rsidR="00A33084">
        <w:t>everá realizar-se o teste da mutação do EGFR</w:t>
      </w:r>
      <w:r w:rsidRPr="003E1526">
        <w:t xml:space="preserve"> </w:t>
      </w:r>
      <w:r w:rsidR="001947DD">
        <w:t>a</w:t>
      </w:r>
      <w:r>
        <w:t xml:space="preserve">ntes do início do tratamento com a combinação de </w:t>
      </w:r>
      <w:r w:rsidR="00357CC5">
        <w:t>Aybintio</w:t>
      </w:r>
      <w:r>
        <w:t xml:space="preserve"> e</w:t>
      </w:r>
      <w:r w:rsidRPr="003E1526">
        <w:t xml:space="preserve"> </w:t>
      </w:r>
      <w:r>
        <w:t>erlotinib</w:t>
      </w:r>
      <w:r w:rsidR="00A33084">
        <w:t>. É importante escolher uma metodologia robusta e bem validada para evitar determinações de falsos negativos e falsos positivos.</w:t>
      </w:r>
    </w:p>
    <w:p w14:paraId="5A0A0293" w14:textId="77777777" w:rsidR="00A33084" w:rsidRDefault="00A33084" w:rsidP="00690371"/>
    <w:p w14:paraId="4D11A2E2" w14:textId="77777777" w:rsidR="00690371" w:rsidRPr="007232E4" w:rsidRDefault="00690371" w:rsidP="00690371">
      <w:r w:rsidRPr="007232E4">
        <w:t xml:space="preserve">A dose recomendada de </w:t>
      </w:r>
      <w:r w:rsidR="00357CC5">
        <w:t>Aybintio</w:t>
      </w:r>
      <w:r>
        <w:t xml:space="preserve">, quanto utilizado em </w:t>
      </w:r>
      <w:r w:rsidR="00360DBA">
        <w:t>associação</w:t>
      </w:r>
      <w:r>
        <w:t xml:space="preserve"> </w:t>
      </w:r>
      <w:r w:rsidR="00360DBA">
        <w:t>com</w:t>
      </w:r>
      <w:r>
        <w:t xml:space="preserve"> erlotinib,</w:t>
      </w:r>
      <w:r w:rsidRPr="007232E4">
        <w:t xml:space="preserve"> é de 1</w:t>
      </w:r>
      <w:r>
        <w:t>5</w:t>
      </w:r>
      <w:r w:rsidRPr="007232E4">
        <w:t xml:space="preserve"> mg/kg de peso corporal, administrada </w:t>
      </w:r>
      <w:r w:rsidR="00360DBA">
        <w:t xml:space="preserve">uma vez </w:t>
      </w:r>
      <w:r w:rsidR="001947DD">
        <w:t>a cada</w:t>
      </w:r>
      <w:r>
        <w:t xml:space="preserve"> 3</w:t>
      </w:r>
      <w:r w:rsidRPr="007232E4">
        <w:t xml:space="preserve"> semanas, por perfusão intravenosa.</w:t>
      </w:r>
    </w:p>
    <w:p w14:paraId="38A29E01" w14:textId="77777777" w:rsidR="00357CC5" w:rsidRDefault="00357CC5" w:rsidP="00690371"/>
    <w:p w14:paraId="51946767" w14:textId="77777777" w:rsidR="00690371" w:rsidRPr="00E03CDC" w:rsidRDefault="00690371" w:rsidP="00690371">
      <w:pPr>
        <w:rPr>
          <w:i/>
          <w:u w:val="single"/>
        </w:rPr>
      </w:pPr>
      <w:r w:rsidRPr="007232E4">
        <w:t>Recomenda</w:t>
      </w:r>
      <w:r w:rsidRPr="007232E4">
        <w:noBreakHyphen/>
        <w:t xml:space="preserve">se </w:t>
      </w:r>
      <w:r>
        <w:t xml:space="preserve">a </w:t>
      </w:r>
      <w:r w:rsidRPr="007232E4">
        <w:t>continuação d</w:t>
      </w:r>
      <w:r>
        <w:t xml:space="preserve">o tratamento de </w:t>
      </w:r>
      <w:r w:rsidR="00357CC5">
        <w:t>Aybintio</w:t>
      </w:r>
      <w:r w:rsidR="004A2C43">
        <w:t>,</w:t>
      </w:r>
      <w:r>
        <w:t xml:space="preserve"> em </w:t>
      </w:r>
      <w:r w:rsidR="00360DBA">
        <w:t>associação com</w:t>
      </w:r>
      <w:r>
        <w:t xml:space="preserve"> erlotinib</w:t>
      </w:r>
      <w:r w:rsidR="004A2C43">
        <w:t>,</w:t>
      </w:r>
      <w:r w:rsidRPr="007232E4">
        <w:t xml:space="preserve"> até à progressão da doença</w:t>
      </w:r>
      <w:r>
        <w:t>.</w:t>
      </w:r>
    </w:p>
    <w:p w14:paraId="454FA87E" w14:textId="77777777" w:rsidR="00A33084" w:rsidRDefault="00A33084" w:rsidP="002A160C"/>
    <w:p w14:paraId="1BFFCDF5" w14:textId="77777777" w:rsidR="00690371" w:rsidRPr="007232E4" w:rsidRDefault="00CF2827" w:rsidP="002A160C">
      <w:r>
        <w:t xml:space="preserve">Consultar o resumo das características do medicamento </w:t>
      </w:r>
      <w:r w:rsidR="00360DBA">
        <w:t xml:space="preserve">de </w:t>
      </w:r>
      <w:r>
        <w:t>erlotinib para</w:t>
      </w:r>
      <w:r w:rsidR="00A04D85">
        <w:t xml:space="preserve"> a</w:t>
      </w:r>
      <w:r>
        <w:t xml:space="preserve"> </w:t>
      </w:r>
      <w:r w:rsidR="00A33084">
        <w:t>posologia e modo de administração de erlotinib</w:t>
      </w:r>
      <w:r>
        <w:t xml:space="preserve">. </w:t>
      </w:r>
    </w:p>
    <w:p w14:paraId="3F8CDDDC" w14:textId="77777777" w:rsidR="00400398" w:rsidRPr="007232E4" w:rsidRDefault="00400398">
      <w:pPr>
        <w:rPr>
          <w:i/>
        </w:rPr>
      </w:pPr>
    </w:p>
    <w:p w14:paraId="1A28210F" w14:textId="77777777" w:rsidR="00400398" w:rsidRPr="007232E4" w:rsidRDefault="00400398">
      <w:pPr>
        <w:rPr>
          <w:i/>
          <w:u w:val="single"/>
        </w:rPr>
      </w:pPr>
      <w:r w:rsidRPr="007232E4">
        <w:rPr>
          <w:i/>
          <w:u w:val="single"/>
        </w:rPr>
        <w:t>Cancro de células renais avançado e/ou metastizado (mRCC)</w:t>
      </w:r>
    </w:p>
    <w:p w14:paraId="1088F1A7" w14:textId="77777777" w:rsidR="00400398" w:rsidRPr="007232E4" w:rsidRDefault="00400398"/>
    <w:p w14:paraId="70AB45CB" w14:textId="77777777" w:rsidR="00400398" w:rsidRPr="007232E4" w:rsidRDefault="00400398">
      <w:r w:rsidRPr="007232E4">
        <w:t xml:space="preserve">A dose recomendada de </w:t>
      </w:r>
      <w:r w:rsidR="00357CC5">
        <w:t>Aybintio</w:t>
      </w:r>
      <w:r w:rsidRPr="007232E4">
        <w:t xml:space="preserve"> é de 10 mg/kg de peso corporal, administrada uma vez em cada 2 semanas, por perfusão intravenosa.</w:t>
      </w:r>
    </w:p>
    <w:p w14:paraId="75A16A70" w14:textId="77777777" w:rsidR="00357CC5" w:rsidRDefault="00357CC5" w:rsidP="002A160C"/>
    <w:p w14:paraId="4C7D47E4" w14:textId="77777777" w:rsidR="00400398" w:rsidRPr="007232E4" w:rsidRDefault="00400398" w:rsidP="002A160C">
      <w:r w:rsidRPr="007232E4">
        <w:t>Recomenda</w:t>
      </w:r>
      <w:r w:rsidRPr="007232E4">
        <w:noBreakHyphen/>
        <w:t xml:space="preserve">se a continuação da terapêutica até à progressão da doença subjacente ou até a toxicidade ser inaceitável. </w:t>
      </w:r>
    </w:p>
    <w:p w14:paraId="7D3BE3BF" w14:textId="77777777" w:rsidR="00400398" w:rsidRPr="007232E4" w:rsidRDefault="00400398">
      <w:pPr>
        <w:rPr>
          <w:i/>
        </w:rPr>
      </w:pPr>
    </w:p>
    <w:p w14:paraId="7D9D0221" w14:textId="77777777" w:rsidR="00400398" w:rsidRPr="007232E4" w:rsidRDefault="00400398" w:rsidP="00A73A88">
      <w:pPr>
        <w:keepNext/>
        <w:keepLines/>
        <w:rPr>
          <w:i/>
          <w:iCs/>
          <w:u w:val="single"/>
        </w:rPr>
      </w:pPr>
      <w:r w:rsidRPr="007232E4">
        <w:rPr>
          <w:i/>
          <w:u w:val="single"/>
        </w:rPr>
        <w:t xml:space="preserve">Cancro epitelial do ovário, da trompa de Falópio </w:t>
      </w:r>
      <w:r>
        <w:rPr>
          <w:i/>
          <w:u w:val="single"/>
        </w:rPr>
        <w:t>e</w:t>
      </w:r>
      <w:r w:rsidRPr="007232E4">
        <w:rPr>
          <w:i/>
          <w:u w:val="single"/>
        </w:rPr>
        <w:t xml:space="preserve"> cancro peritoneal primário</w:t>
      </w:r>
    </w:p>
    <w:p w14:paraId="0B67B3FD" w14:textId="77777777" w:rsidR="00400398" w:rsidRPr="007232E4" w:rsidRDefault="00400398" w:rsidP="00A73A88">
      <w:pPr>
        <w:keepNext/>
        <w:keepLines/>
      </w:pPr>
    </w:p>
    <w:p w14:paraId="2470981A" w14:textId="77777777" w:rsidR="00357CC5" w:rsidRPr="00BE0481" w:rsidRDefault="00400398" w:rsidP="00A73A88">
      <w:pPr>
        <w:keepNext/>
        <w:keepLines/>
      </w:pPr>
      <w:r w:rsidRPr="001E05C2">
        <w:rPr>
          <w:i/>
        </w:rPr>
        <w:t>Tratamento de primeira linha</w:t>
      </w:r>
    </w:p>
    <w:p w14:paraId="0E87D0D9" w14:textId="77777777" w:rsidR="00400398" w:rsidRPr="007232E4" w:rsidRDefault="00357CC5" w:rsidP="00A73A88">
      <w:pPr>
        <w:keepNext/>
        <w:keepLines/>
      </w:pPr>
      <w:r>
        <w:t xml:space="preserve">Aybintio </w:t>
      </w:r>
      <w:r w:rsidR="00400398" w:rsidRPr="007232E4">
        <w:t>é administrado em associação com carboplatina e paclitaxel, até 6</w:t>
      </w:r>
      <w:r w:rsidR="00746812">
        <w:t> </w:t>
      </w:r>
      <w:r w:rsidR="00400398" w:rsidRPr="007232E4">
        <w:t xml:space="preserve">ciclos de tratamento, seguidos do uso continuado de </w:t>
      </w:r>
      <w:r>
        <w:t>Aybintio</w:t>
      </w:r>
      <w:r w:rsidR="00400398" w:rsidRPr="007232E4">
        <w:t xml:space="preserve"> como agente único até progressão da doença ou durante o máximo de 15 meses ou até a toxicidade ser inaceitável, consoante o que ocorrer primeiro. </w:t>
      </w:r>
    </w:p>
    <w:p w14:paraId="0B63DF8A" w14:textId="77777777" w:rsidR="00400398" w:rsidRPr="007232E4" w:rsidRDefault="00400398" w:rsidP="000D47A1">
      <w:pPr>
        <w:rPr>
          <w:i/>
        </w:rPr>
      </w:pPr>
      <w:r w:rsidRPr="007232E4">
        <w:t xml:space="preserve">A dose recomendada de </w:t>
      </w:r>
      <w:r w:rsidR="00357CC5">
        <w:t>Aybintio</w:t>
      </w:r>
      <w:r w:rsidRPr="007232E4">
        <w:t xml:space="preserve"> é de 15 mg/kg de peso corporal, administrada uma vez a cada 3 semanas, por perfusão intravenosa.</w:t>
      </w:r>
      <w:r w:rsidRPr="007232E4">
        <w:rPr>
          <w:i/>
        </w:rPr>
        <w:t xml:space="preserve"> </w:t>
      </w:r>
    </w:p>
    <w:p w14:paraId="11836848" w14:textId="77777777" w:rsidR="00400398" w:rsidRPr="007232E4" w:rsidRDefault="00400398" w:rsidP="000D47A1">
      <w:pPr>
        <w:rPr>
          <w:i/>
        </w:rPr>
      </w:pPr>
    </w:p>
    <w:p w14:paraId="79446001" w14:textId="77777777" w:rsidR="00357CC5" w:rsidRPr="00BE0481" w:rsidRDefault="00400398" w:rsidP="00711068">
      <w:r w:rsidRPr="001E05C2">
        <w:rPr>
          <w:i/>
        </w:rPr>
        <w:t xml:space="preserve">Tratamento da doença recorrente sensível a </w:t>
      </w:r>
      <w:r w:rsidR="00233EB7" w:rsidRPr="001E05C2">
        <w:rPr>
          <w:i/>
        </w:rPr>
        <w:t>platina</w:t>
      </w:r>
    </w:p>
    <w:p w14:paraId="4F23FC00" w14:textId="77777777" w:rsidR="00400398" w:rsidRDefault="00357CC5" w:rsidP="00711068">
      <w:pPr>
        <w:rPr>
          <w:i/>
        </w:rPr>
      </w:pPr>
      <w:r>
        <w:t xml:space="preserve">Aybintio </w:t>
      </w:r>
      <w:r w:rsidR="00400398" w:rsidRPr="007232E4">
        <w:t>é administrado em associação com carboplatina e gemcitabina durante 6 ciclos e até 10</w:t>
      </w:r>
      <w:r w:rsidR="00746812">
        <w:t> </w:t>
      </w:r>
      <w:r w:rsidR="00400398" w:rsidRPr="007232E4">
        <w:t>ciclos,</w:t>
      </w:r>
      <w:r w:rsidR="009556B7">
        <w:t xml:space="preserve"> ou </w:t>
      </w:r>
      <w:r w:rsidR="009556B7" w:rsidRPr="007232E4">
        <w:t xml:space="preserve">em associação com carboplatina e </w:t>
      </w:r>
      <w:r w:rsidR="009556B7">
        <w:t>paclitaxel</w:t>
      </w:r>
      <w:r w:rsidR="009556B7" w:rsidRPr="007232E4">
        <w:t xml:space="preserve"> durante 6 ciclos e até </w:t>
      </w:r>
      <w:r w:rsidR="009556B7">
        <w:t>8</w:t>
      </w:r>
      <w:r w:rsidR="009556B7" w:rsidRPr="007232E4">
        <w:t xml:space="preserve"> ciclos</w:t>
      </w:r>
      <w:r w:rsidR="009556B7">
        <w:t>,</w:t>
      </w:r>
      <w:r w:rsidR="00400398" w:rsidRPr="007232E4">
        <w:t xml:space="preserve"> seguidos do uso continuado de </w:t>
      </w:r>
      <w:r>
        <w:t>Aybintio</w:t>
      </w:r>
      <w:r w:rsidR="00400398" w:rsidRPr="007232E4">
        <w:t xml:space="preserve"> como agente único até progressão da doença. A dose recomendada de </w:t>
      </w:r>
      <w:r>
        <w:t>Aybintio</w:t>
      </w:r>
      <w:r w:rsidR="00400398" w:rsidRPr="007232E4">
        <w:t xml:space="preserve"> é de 15 mg/kg de peso corporal, administrada uma vez a cada 3 semanas, por perfusão intravenosa.</w:t>
      </w:r>
      <w:r w:rsidR="00400398" w:rsidRPr="007232E4">
        <w:rPr>
          <w:i/>
        </w:rPr>
        <w:t xml:space="preserve"> </w:t>
      </w:r>
    </w:p>
    <w:p w14:paraId="32876CBC" w14:textId="77777777" w:rsidR="00400398" w:rsidRDefault="00400398" w:rsidP="00711068">
      <w:pPr>
        <w:rPr>
          <w:i/>
        </w:rPr>
      </w:pPr>
    </w:p>
    <w:p w14:paraId="10632EE2" w14:textId="77777777" w:rsidR="00357CC5" w:rsidRPr="00BE0481" w:rsidRDefault="00400398" w:rsidP="00630861">
      <w:r w:rsidRPr="001E05C2">
        <w:rPr>
          <w:i/>
        </w:rPr>
        <w:t xml:space="preserve">Tratamento da doença recorrente resistente a </w:t>
      </w:r>
      <w:r w:rsidR="00233EB7" w:rsidRPr="001E05C2">
        <w:rPr>
          <w:i/>
        </w:rPr>
        <w:t>platina</w:t>
      </w:r>
    </w:p>
    <w:p w14:paraId="480A4BA0" w14:textId="77777777" w:rsidR="00400398" w:rsidRDefault="00357CC5" w:rsidP="00630861">
      <w:pPr>
        <w:rPr>
          <w:i/>
          <w:u w:val="single"/>
        </w:rPr>
      </w:pPr>
      <w:r>
        <w:t>Aybintio</w:t>
      </w:r>
      <w:r w:rsidR="00400398">
        <w:t xml:space="preserve"> é administrado em associação com um dos seguintes agentes –</w:t>
      </w:r>
      <w:r w:rsidR="00E47633">
        <w:t xml:space="preserve"> </w:t>
      </w:r>
      <w:r w:rsidR="00E47633">
        <w:rPr>
          <w:szCs w:val="22"/>
        </w:rPr>
        <w:t xml:space="preserve">paclitaxel, </w:t>
      </w:r>
      <w:r w:rsidR="00400398">
        <w:t xml:space="preserve">topotecano (administrado semanalmente) ou doxorrubicina lipossómica peguilada. A dose recomendada de </w:t>
      </w:r>
      <w:r w:rsidR="002D0221">
        <w:t>Aybintio</w:t>
      </w:r>
      <w:r w:rsidR="00400398">
        <w:t xml:space="preserve"> é de 10 mg/kg de peso corporal, administrada uma vez em cada 2 semanas, por perfusão intravenosa. Quando </w:t>
      </w:r>
      <w:r w:rsidR="002D0221">
        <w:t>Aybintio</w:t>
      </w:r>
      <w:r w:rsidR="00400398">
        <w:t xml:space="preserve"> é administrado em associação com topotecano (administrado nos dias </w:t>
      </w:r>
      <w:r w:rsidR="00400398">
        <w:lastRenderedPageBreak/>
        <w:t xml:space="preserve">1-5, em cada 3 semanas), a dose recomendada de </w:t>
      </w:r>
      <w:r w:rsidR="002D0221">
        <w:t>Aybintio</w:t>
      </w:r>
      <w:r w:rsidR="00400398">
        <w:t xml:space="preserve"> é de 15</w:t>
      </w:r>
      <w:r w:rsidR="00746812">
        <w:t> </w:t>
      </w:r>
      <w:r w:rsidR="00400398">
        <w:t xml:space="preserve">mg/kg de peso corporal administrado uma vez em cada 3 semanas, por perfusão intravenosa. É recomendado que o tratamento continue até à progressão da doença ou toxicidade inaceitável (ver secção 5.1, estudo MO22224). </w:t>
      </w:r>
    </w:p>
    <w:p w14:paraId="4E040374" w14:textId="77777777" w:rsidR="00400398" w:rsidRPr="007232E4" w:rsidRDefault="00400398" w:rsidP="00630861">
      <w:pPr>
        <w:rPr>
          <w:i/>
          <w:u w:val="single"/>
        </w:rPr>
      </w:pPr>
    </w:p>
    <w:p w14:paraId="0B055A2D" w14:textId="77777777" w:rsidR="00400398" w:rsidRDefault="00400398" w:rsidP="00630861">
      <w:pPr>
        <w:rPr>
          <w:i/>
          <w:u w:val="single"/>
        </w:rPr>
      </w:pPr>
      <w:r>
        <w:rPr>
          <w:i/>
          <w:u w:val="single"/>
        </w:rPr>
        <w:t>Cancro do colo do útero</w:t>
      </w:r>
    </w:p>
    <w:p w14:paraId="67612C70" w14:textId="77777777" w:rsidR="00400398" w:rsidRDefault="00400398" w:rsidP="00630861">
      <w:pPr>
        <w:rPr>
          <w:u w:val="single"/>
        </w:rPr>
      </w:pPr>
    </w:p>
    <w:p w14:paraId="15F2B874" w14:textId="77777777" w:rsidR="00400398" w:rsidRPr="00886D58" w:rsidRDefault="002D0221" w:rsidP="00630861">
      <w:r>
        <w:t xml:space="preserve">Aybintio </w:t>
      </w:r>
      <w:r w:rsidR="00400398" w:rsidRPr="00886D58">
        <w:t>é administrado em associação com um dos seguintes regimes de quimioterapia: paclitaxel e cisplatina ou paclitaxel e topotecano.</w:t>
      </w:r>
    </w:p>
    <w:p w14:paraId="1B9B05F8" w14:textId="77777777" w:rsidR="002D0221" w:rsidRDefault="002D0221" w:rsidP="00630861"/>
    <w:p w14:paraId="2540CE0B" w14:textId="77777777" w:rsidR="00400398" w:rsidRPr="00886D58" w:rsidRDefault="00400398" w:rsidP="00630861">
      <w:r w:rsidRPr="00886D58">
        <w:t xml:space="preserve">A dose recomendada de </w:t>
      </w:r>
      <w:r w:rsidR="002D0221">
        <w:t>Aybintio</w:t>
      </w:r>
      <w:r w:rsidRPr="00886D58">
        <w:t xml:space="preserve"> é de 15</w:t>
      </w:r>
      <w:r w:rsidR="00746812">
        <w:t> </w:t>
      </w:r>
      <w:r w:rsidRPr="00886D58">
        <w:t>mg/kg de peso corporal, administrada uma vez a cada 3 semanas, por perfusão intravenosa.</w:t>
      </w:r>
    </w:p>
    <w:p w14:paraId="422D3265" w14:textId="77777777" w:rsidR="002D0221" w:rsidRDefault="002D0221" w:rsidP="00630861"/>
    <w:p w14:paraId="5AF32195" w14:textId="77777777" w:rsidR="00400398" w:rsidRPr="00886D58" w:rsidRDefault="00400398" w:rsidP="00630861">
      <w:r w:rsidRPr="00886D58">
        <w:t xml:space="preserve">Recomenda-se a continuação do tratamento até progressão da doença subjacente ou até toxicidade inaceitável (ver secção 5.1). </w:t>
      </w:r>
    </w:p>
    <w:p w14:paraId="3C5C499D" w14:textId="77777777" w:rsidR="00400398" w:rsidRPr="00526E0A" w:rsidRDefault="00400398" w:rsidP="00630861">
      <w:pPr>
        <w:rPr>
          <w:i/>
          <w:u w:val="single"/>
        </w:rPr>
      </w:pPr>
    </w:p>
    <w:p w14:paraId="3B80E8DF" w14:textId="77777777" w:rsidR="00400398" w:rsidRPr="007232E4" w:rsidRDefault="00400398" w:rsidP="00654891">
      <w:pPr>
        <w:keepNext/>
        <w:rPr>
          <w:i/>
          <w:u w:val="single"/>
        </w:rPr>
      </w:pPr>
      <w:r w:rsidRPr="007232E4">
        <w:rPr>
          <w:i/>
          <w:u w:val="single"/>
        </w:rPr>
        <w:t>Populações especiais</w:t>
      </w:r>
    </w:p>
    <w:p w14:paraId="5B728EDF" w14:textId="77777777" w:rsidR="00400398" w:rsidRPr="007232E4" w:rsidRDefault="00400398" w:rsidP="00654891">
      <w:pPr>
        <w:keepNext/>
      </w:pPr>
    </w:p>
    <w:p w14:paraId="54DFF560" w14:textId="77777777" w:rsidR="009F113D" w:rsidRDefault="00400398" w:rsidP="00654891">
      <w:pPr>
        <w:keepNext/>
        <w:tabs>
          <w:tab w:val="left" w:pos="5695"/>
        </w:tabs>
        <w:rPr>
          <w:bCs/>
        </w:rPr>
      </w:pPr>
      <w:r w:rsidRPr="007232E4">
        <w:rPr>
          <w:bCs/>
          <w:i/>
        </w:rPr>
        <w:t>Doentes idosos</w:t>
      </w:r>
      <w:r w:rsidRPr="007232E4">
        <w:rPr>
          <w:bCs/>
        </w:rPr>
        <w:t xml:space="preserve"> </w:t>
      </w:r>
    </w:p>
    <w:p w14:paraId="2ED54116" w14:textId="77777777" w:rsidR="00400398" w:rsidRPr="007232E4" w:rsidRDefault="00400398" w:rsidP="00654891">
      <w:pPr>
        <w:keepNext/>
        <w:tabs>
          <w:tab w:val="left" w:pos="5695"/>
        </w:tabs>
      </w:pPr>
      <w:r w:rsidRPr="007232E4">
        <w:t xml:space="preserve">Não é necessário ajuste da dose em doentes </w:t>
      </w:r>
      <w:r w:rsidR="00087936">
        <w:t xml:space="preserve">com idade </w:t>
      </w:r>
      <w:r w:rsidR="007B5884">
        <w:t>superior</w:t>
      </w:r>
      <w:r w:rsidR="00087936" w:rsidRPr="00087936">
        <w:t xml:space="preserve"> ou igual</w:t>
      </w:r>
      <w:r w:rsidR="00087936" w:rsidRPr="00A56411">
        <w:t xml:space="preserve"> a 65 anos</w:t>
      </w:r>
      <w:r w:rsidRPr="007232E4">
        <w:t>.</w:t>
      </w:r>
    </w:p>
    <w:p w14:paraId="462EC155" w14:textId="77777777" w:rsidR="00400398" w:rsidRPr="007232E4" w:rsidRDefault="00400398" w:rsidP="00654891">
      <w:pPr>
        <w:keepNext/>
      </w:pPr>
    </w:p>
    <w:p w14:paraId="0ABBB9A4" w14:textId="77777777" w:rsidR="002D0221" w:rsidRDefault="00400398">
      <w:pPr>
        <w:rPr>
          <w:bCs/>
        </w:rPr>
      </w:pPr>
      <w:r w:rsidRPr="007232E4">
        <w:rPr>
          <w:bCs/>
          <w:i/>
        </w:rPr>
        <w:t>Doentes com compromisso renal</w:t>
      </w:r>
    </w:p>
    <w:p w14:paraId="5ECD814C" w14:textId="77777777" w:rsidR="00400398" w:rsidRPr="007232E4" w:rsidRDefault="00400398">
      <w:pPr>
        <w:rPr>
          <w:bCs/>
        </w:rPr>
      </w:pPr>
      <w:r w:rsidRPr="007232E4">
        <w:rPr>
          <w:bCs/>
        </w:rPr>
        <w:t>A segurança e a eficácia não foram estudadas em doentes com compromisso renal (ver secção 5.2).</w:t>
      </w:r>
    </w:p>
    <w:p w14:paraId="0CE62DB5" w14:textId="77777777" w:rsidR="00400398" w:rsidRPr="007232E4" w:rsidRDefault="00400398">
      <w:pPr>
        <w:rPr>
          <w:bCs/>
        </w:rPr>
      </w:pPr>
    </w:p>
    <w:p w14:paraId="75743E36" w14:textId="77777777" w:rsidR="002D0221" w:rsidRDefault="00400398">
      <w:pPr>
        <w:rPr>
          <w:bCs/>
        </w:rPr>
      </w:pPr>
      <w:r w:rsidRPr="007232E4">
        <w:rPr>
          <w:bCs/>
          <w:i/>
        </w:rPr>
        <w:t xml:space="preserve">Doentes com </w:t>
      </w:r>
      <w:r>
        <w:rPr>
          <w:bCs/>
          <w:i/>
        </w:rPr>
        <w:t>compromisso</w:t>
      </w:r>
      <w:r w:rsidRPr="007232E4">
        <w:rPr>
          <w:bCs/>
          <w:i/>
        </w:rPr>
        <w:t xml:space="preserve"> hepátic</w:t>
      </w:r>
      <w:r>
        <w:rPr>
          <w:bCs/>
          <w:i/>
        </w:rPr>
        <w:t>o</w:t>
      </w:r>
    </w:p>
    <w:p w14:paraId="07838612" w14:textId="77777777" w:rsidR="00400398" w:rsidRPr="007232E4" w:rsidRDefault="00400398">
      <w:pPr>
        <w:rPr>
          <w:bCs/>
        </w:rPr>
      </w:pPr>
      <w:r w:rsidRPr="007232E4">
        <w:rPr>
          <w:bCs/>
        </w:rPr>
        <w:t xml:space="preserve">A segurança e a eficácia não foram estudadas em doentes com </w:t>
      </w:r>
      <w:r>
        <w:rPr>
          <w:bCs/>
        </w:rPr>
        <w:t>compromisso</w:t>
      </w:r>
      <w:r w:rsidRPr="007232E4">
        <w:rPr>
          <w:bCs/>
        </w:rPr>
        <w:t xml:space="preserve"> hepátic</w:t>
      </w:r>
      <w:r>
        <w:rPr>
          <w:bCs/>
        </w:rPr>
        <w:t>o</w:t>
      </w:r>
      <w:r w:rsidRPr="007232E4">
        <w:rPr>
          <w:bCs/>
        </w:rPr>
        <w:t xml:space="preserve"> (ver secção 5.2).</w:t>
      </w:r>
    </w:p>
    <w:p w14:paraId="5BBB1C1B" w14:textId="77777777" w:rsidR="00400398" w:rsidRPr="007232E4" w:rsidRDefault="00400398"/>
    <w:p w14:paraId="34322129" w14:textId="77777777" w:rsidR="00400398" w:rsidRPr="007232E4" w:rsidRDefault="00400398">
      <w:r w:rsidRPr="001E05C2">
        <w:rPr>
          <w:i/>
        </w:rPr>
        <w:t>População pediátrica</w:t>
      </w:r>
    </w:p>
    <w:p w14:paraId="022EE436" w14:textId="77777777" w:rsidR="00A87CA3" w:rsidRDefault="00400398" w:rsidP="00C82494">
      <w:r w:rsidRPr="007232E4">
        <w:t xml:space="preserve">A segurança e eficácia de bevacizumab em crianças </w:t>
      </w:r>
      <w:r w:rsidR="00254BAB">
        <w:t xml:space="preserve">com </w:t>
      </w:r>
      <w:r w:rsidR="00087936">
        <w:t>idade inferior a</w:t>
      </w:r>
      <w:r w:rsidR="00254BAB">
        <w:t xml:space="preserve"> 18 anos de idade</w:t>
      </w:r>
      <w:r w:rsidRPr="007232E4">
        <w:t xml:space="preserve"> não foram estabelecidas.</w:t>
      </w:r>
      <w:r w:rsidR="00886D58">
        <w:t xml:space="preserve"> </w:t>
      </w:r>
      <w:r w:rsidR="00053FD3">
        <w:t xml:space="preserve">Os dados atualmente disponíveis encontram-se descritos nas secções 4.8, 5.1 e 5.2 mas </w:t>
      </w:r>
      <w:r w:rsidR="00254BAB">
        <w:t>não pode ser feita qualquer recomendação posológica</w:t>
      </w:r>
      <w:r w:rsidRPr="007232E4">
        <w:t>.</w:t>
      </w:r>
    </w:p>
    <w:p w14:paraId="5BF59593" w14:textId="77777777" w:rsidR="00053FD3" w:rsidRDefault="00053FD3" w:rsidP="00C82494"/>
    <w:p w14:paraId="77781DD0" w14:textId="77777777" w:rsidR="00053FD3" w:rsidRDefault="00053FD3" w:rsidP="00C82494">
      <w:r>
        <w:t>Não há utilização relevante de bevacizumab na população pediátrica nas indicações para o tratamento de cancros do cólon, do reto, da mama, do pulmão, do ovário, da trompa de Falópio, do peritoneu, do colo do útero e do rim.</w:t>
      </w:r>
    </w:p>
    <w:p w14:paraId="561CBD9B" w14:textId="77777777" w:rsidR="00DE3F64" w:rsidRDefault="00DE3F64" w:rsidP="00C82494"/>
    <w:p w14:paraId="27A2C5B1" w14:textId="77777777" w:rsidR="00400398" w:rsidRPr="007232E4" w:rsidRDefault="00400398">
      <w:pPr>
        <w:rPr>
          <w:u w:val="single"/>
        </w:rPr>
      </w:pPr>
      <w:r w:rsidRPr="007232E4">
        <w:rPr>
          <w:u w:val="single"/>
        </w:rPr>
        <w:t>Modo de administração</w:t>
      </w:r>
    </w:p>
    <w:p w14:paraId="2A86DDBC" w14:textId="77777777" w:rsidR="00400398" w:rsidRPr="007232E4" w:rsidRDefault="00400398">
      <w:pPr>
        <w:rPr>
          <w:i/>
        </w:rPr>
      </w:pPr>
    </w:p>
    <w:p w14:paraId="12F54540" w14:textId="77777777" w:rsidR="00400398" w:rsidRPr="007232E4" w:rsidRDefault="002D0221">
      <w:r>
        <w:t xml:space="preserve">Aybintio é para utilização </w:t>
      </w:r>
      <w:r w:rsidR="00442951">
        <w:t xml:space="preserve">por via </w:t>
      </w:r>
      <w:r>
        <w:t xml:space="preserve">intravenosa. </w:t>
      </w:r>
      <w:r w:rsidR="00400398" w:rsidRPr="007232E4">
        <w:t>A dose inicial deve ser administrada sob a forma de perfusão intravenosa durante 90 minutos. Se a primeira perfusão for bem tolerada, a administração da segunda perfusão pode ser feita durante 60 minutos. Se a perfusão com duração de 60 minutos for bem tolerada, todas as perfusões seguintes poderão ser administradas durante 30 minutos.</w:t>
      </w:r>
    </w:p>
    <w:p w14:paraId="666E5475" w14:textId="77777777" w:rsidR="00400398" w:rsidRPr="007232E4" w:rsidRDefault="00400398"/>
    <w:p w14:paraId="31AAECCA" w14:textId="77777777" w:rsidR="00400398" w:rsidRDefault="00400398">
      <w:pPr>
        <w:outlineLvl w:val="0"/>
        <w:rPr>
          <w:bCs/>
          <w:iCs/>
        </w:rPr>
      </w:pPr>
      <w:r w:rsidRPr="007232E4">
        <w:rPr>
          <w:bCs/>
          <w:iCs/>
        </w:rPr>
        <w:t>Não deve ser administrado sob a forma de injeção intravenosa rápida ou bólus.</w:t>
      </w:r>
    </w:p>
    <w:p w14:paraId="054AC486" w14:textId="77777777" w:rsidR="00B55229" w:rsidRDefault="00B55229">
      <w:pPr>
        <w:outlineLvl w:val="0"/>
        <w:rPr>
          <w:bCs/>
          <w:iCs/>
        </w:rPr>
      </w:pPr>
    </w:p>
    <w:p w14:paraId="2061F291" w14:textId="77777777" w:rsidR="00502AA2" w:rsidRPr="00502AA2" w:rsidRDefault="00502AA2" w:rsidP="00502AA2">
      <w:r w:rsidRPr="00502AA2">
        <w:t>A redução de dose devido a reações adve</w:t>
      </w:r>
      <w:r>
        <w:t>rsas não é recomendada. S</w:t>
      </w:r>
      <w:r w:rsidRPr="00502AA2">
        <w:t>e indicado, a terapêutica deverá ser temporariamente suspensa ou permanentemente descontinuada, tal como descrito na secção</w:t>
      </w:r>
      <w:r w:rsidR="00746812">
        <w:t> </w:t>
      </w:r>
      <w:r w:rsidRPr="00502AA2">
        <w:t>4.4.</w:t>
      </w:r>
    </w:p>
    <w:p w14:paraId="68A36CC1" w14:textId="77777777" w:rsidR="00400398" w:rsidRPr="007232E4" w:rsidRDefault="00400398">
      <w:pPr>
        <w:outlineLvl w:val="0"/>
        <w:rPr>
          <w:bCs/>
          <w:iCs/>
        </w:rPr>
      </w:pPr>
    </w:p>
    <w:p w14:paraId="60901E46" w14:textId="77777777" w:rsidR="00400398" w:rsidRPr="007232E4" w:rsidRDefault="00400398">
      <w:pPr>
        <w:keepNext/>
        <w:keepLines/>
        <w:spacing w:after="120"/>
        <w:rPr>
          <w:i/>
          <w:u w:val="single"/>
        </w:rPr>
      </w:pPr>
      <w:r w:rsidRPr="007232E4">
        <w:rPr>
          <w:i/>
          <w:u w:val="single"/>
        </w:rPr>
        <w:t>Precauções a ter em conta antes de manusear ou administrar o medicamento</w:t>
      </w:r>
    </w:p>
    <w:p w14:paraId="13E64E6E" w14:textId="77777777" w:rsidR="00400398" w:rsidRPr="007232E4" w:rsidRDefault="00400398">
      <w:pPr>
        <w:keepNext/>
        <w:keepLines/>
        <w:outlineLvl w:val="0"/>
        <w:rPr>
          <w:bCs/>
          <w:iCs/>
        </w:rPr>
      </w:pPr>
      <w:r w:rsidRPr="007232E4">
        <w:rPr>
          <w:szCs w:val="22"/>
        </w:rPr>
        <w:t>Para instruções acerca da diluição do medicamento antes da administração, ver</w:t>
      </w:r>
      <w:r w:rsidRPr="007232E4">
        <w:rPr>
          <w:bCs/>
          <w:iCs/>
        </w:rPr>
        <w:t xml:space="preserve"> secção 6.6. A perfusão de </w:t>
      </w:r>
      <w:r w:rsidR="002D0221">
        <w:t>Aybintio</w:t>
      </w:r>
      <w:r w:rsidRPr="007232E4">
        <w:rPr>
          <w:bCs/>
          <w:iCs/>
        </w:rPr>
        <w:t xml:space="preserve"> não deve ser misturada nem administrada juntamente com soluções de glucose. Este medicamento não </w:t>
      </w:r>
      <w:r w:rsidR="00B94FF3">
        <w:rPr>
          <w:bCs/>
          <w:iCs/>
        </w:rPr>
        <w:t>pode</w:t>
      </w:r>
      <w:r w:rsidRPr="007232E4">
        <w:rPr>
          <w:bCs/>
          <w:iCs/>
        </w:rPr>
        <w:t xml:space="preserve"> ser misturado com outros medicamentos, exceto os mencionados na secção 6.6.</w:t>
      </w:r>
    </w:p>
    <w:p w14:paraId="055B9420" w14:textId="77777777" w:rsidR="00400398" w:rsidRPr="007232E4" w:rsidRDefault="00400398">
      <w:pPr>
        <w:outlineLvl w:val="0"/>
        <w:rPr>
          <w:bCs/>
          <w:iCs/>
        </w:rPr>
      </w:pPr>
    </w:p>
    <w:p w14:paraId="254E5203" w14:textId="77777777" w:rsidR="00400398" w:rsidRPr="007232E4" w:rsidRDefault="00400398">
      <w:pPr>
        <w:outlineLvl w:val="0"/>
        <w:rPr>
          <w:b/>
        </w:rPr>
      </w:pPr>
      <w:r w:rsidRPr="007232E4">
        <w:rPr>
          <w:b/>
        </w:rPr>
        <w:t>4.3</w:t>
      </w:r>
      <w:r w:rsidRPr="007232E4">
        <w:rPr>
          <w:b/>
        </w:rPr>
        <w:tab/>
        <w:t>Contraindicações</w:t>
      </w:r>
    </w:p>
    <w:p w14:paraId="48AD1462" w14:textId="77777777" w:rsidR="00400398" w:rsidRPr="007232E4" w:rsidRDefault="00400398"/>
    <w:p w14:paraId="32F3BE88" w14:textId="77777777" w:rsidR="00400398" w:rsidRPr="007232E4" w:rsidRDefault="00400398" w:rsidP="00701AD7">
      <w:pPr>
        <w:ind w:left="567" w:hanging="567"/>
      </w:pPr>
      <w:r w:rsidRPr="007232E4">
        <w:t>•</w:t>
      </w:r>
      <w:r w:rsidRPr="007232E4">
        <w:tab/>
        <w:t>Hipersensibilidade à substância ativa ou a qualquer um dos exc</w:t>
      </w:r>
      <w:r w:rsidR="00701AD7">
        <w:t>ipientes mencionados na secção</w:t>
      </w:r>
      <w:r w:rsidR="00746812">
        <w:t> </w:t>
      </w:r>
      <w:r w:rsidRPr="007232E4">
        <w:t>6.1.</w:t>
      </w:r>
    </w:p>
    <w:p w14:paraId="4BE13375" w14:textId="77777777" w:rsidR="00400398" w:rsidRPr="007232E4" w:rsidRDefault="00400398">
      <w:pPr>
        <w:ind w:left="600" w:hanging="600"/>
      </w:pPr>
      <w:r w:rsidRPr="007232E4">
        <w:lastRenderedPageBreak/>
        <w:t>•</w:t>
      </w:r>
      <w:r w:rsidRPr="007232E4">
        <w:tab/>
        <w:t>Hipersensibilidade a produtos derivados de células de ovário de hamster chinês (CHO) ou a outros anticorpos recombinantes humanos ou humanizados.</w:t>
      </w:r>
    </w:p>
    <w:p w14:paraId="197FF75B" w14:textId="77777777" w:rsidR="00400398" w:rsidRPr="007232E4" w:rsidRDefault="00400398">
      <w:r w:rsidRPr="007232E4">
        <w:t>•</w:t>
      </w:r>
      <w:r w:rsidRPr="007232E4">
        <w:tab/>
        <w:t>Gravidez (ver secção 4.6).</w:t>
      </w:r>
    </w:p>
    <w:p w14:paraId="5D412E75" w14:textId="77777777" w:rsidR="00400398" w:rsidRPr="007232E4" w:rsidRDefault="00400398">
      <w:pPr>
        <w:tabs>
          <w:tab w:val="left" w:pos="360"/>
        </w:tabs>
      </w:pPr>
    </w:p>
    <w:p w14:paraId="28A01486" w14:textId="77777777" w:rsidR="00400398" w:rsidRPr="007232E4" w:rsidRDefault="00400398" w:rsidP="007232E4">
      <w:pPr>
        <w:outlineLvl w:val="0"/>
        <w:rPr>
          <w:b/>
        </w:rPr>
      </w:pPr>
      <w:r w:rsidRPr="007232E4">
        <w:rPr>
          <w:b/>
        </w:rPr>
        <w:t>4.4</w:t>
      </w:r>
      <w:r w:rsidRPr="007232E4">
        <w:rPr>
          <w:b/>
        </w:rPr>
        <w:tab/>
        <w:t>Advertências e precauções especiais de utilização</w:t>
      </w:r>
    </w:p>
    <w:p w14:paraId="2040203D" w14:textId="77777777" w:rsidR="00400398" w:rsidRDefault="00400398" w:rsidP="007232E4">
      <w:pPr>
        <w:rPr>
          <w:b/>
          <w:i/>
        </w:rPr>
      </w:pPr>
    </w:p>
    <w:p w14:paraId="5721898B" w14:textId="77777777" w:rsidR="00087936" w:rsidRPr="001E05C2" w:rsidRDefault="00087936" w:rsidP="007232E4">
      <w:pPr>
        <w:rPr>
          <w:b/>
          <w:u w:val="single"/>
        </w:rPr>
      </w:pPr>
      <w:r w:rsidRPr="001E05C2">
        <w:rPr>
          <w:u w:val="single"/>
        </w:rPr>
        <w:t>Rastreabilidade</w:t>
      </w:r>
    </w:p>
    <w:p w14:paraId="3CA67AFA" w14:textId="77777777" w:rsidR="00400398" w:rsidRPr="007232E4" w:rsidRDefault="00400398" w:rsidP="007232E4">
      <w:r w:rsidRPr="007232E4">
        <w:t xml:space="preserve">De modo a melhorar a rastreabilidade dos medicamentos biológicos, o nome </w:t>
      </w:r>
      <w:r w:rsidR="00FD5578">
        <w:rPr>
          <w:noProof/>
        </w:rPr>
        <w:t>e o número d</w:t>
      </w:r>
      <w:r w:rsidR="002535A3">
        <w:rPr>
          <w:noProof/>
        </w:rPr>
        <w:t>e</w:t>
      </w:r>
      <w:r w:rsidR="00FD5578">
        <w:rPr>
          <w:noProof/>
        </w:rPr>
        <w:t xml:space="preserve"> lote</w:t>
      </w:r>
      <w:r w:rsidR="00FD5578" w:rsidRPr="007232E4">
        <w:t xml:space="preserve"> </w:t>
      </w:r>
      <w:r w:rsidRPr="007232E4">
        <w:t xml:space="preserve">do </w:t>
      </w:r>
      <w:r w:rsidRPr="00C82494">
        <w:rPr>
          <w:noProof/>
        </w:rPr>
        <w:t xml:space="preserve">medicamento </w:t>
      </w:r>
      <w:r w:rsidRPr="007232E4">
        <w:t>administrado deve</w:t>
      </w:r>
      <w:r w:rsidR="00F46ECE">
        <w:rPr>
          <w:rFonts w:hint="eastAsia"/>
          <w:lang w:eastAsia="ko-KR"/>
        </w:rPr>
        <w:t>m</w:t>
      </w:r>
      <w:r w:rsidRPr="007232E4">
        <w:t xml:space="preserve"> ser registado</w:t>
      </w:r>
      <w:r w:rsidR="002535A3">
        <w:t>s</w:t>
      </w:r>
      <w:r w:rsidR="00536887">
        <w:t xml:space="preserve"> de forma clara</w:t>
      </w:r>
      <w:r w:rsidRPr="007232E4">
        <w:t>.</w:t>
      </w:r>
    </w:p>
    <w:p w14:paraId="59C8AEB9" w14:textId="77777777" w:rsidR="00400398" w:rsidRPr="007232E4" w:rsidRDefault="00400398" w:rsidP="001E05C2">
      <w:pPr>
        <w:keepLines/>
      </w:pPr>
    </w:p>
    <w:p w14:paraId="02E3CA40" w14:textId="77777777" w:rsidR="00746812" w:rsidRPr="000A0027" w:rsidRDefault="00400398" w:rsidP="00AC23F0">
      <w:pPr>
        <w:keepNext/>
        <w:keepLines/>
        <w:rPr>
          <w:i/>
        </w:rPr>
      </w:pPr>
      <w:r w:rsidRPr="001E05C2">
        <w:rPr>
          <w:u w:val="single"/>
        </w:rPr>
        <w:t xml:space="preserve">Perfuração gastrointestinal </w:t>
      </w:r>
      <w:r w:rsidRPr="001E05C2">
        <w:rPr>
          <w:noProof/>
          <w:u w:val="single"/>
        </w:rPr>
        <w:t>(</w:t>
      </w:r>
      <w:r w:rsidRPr="001E05C2">
        <w:rPr>
          <w:u w:val="single"/>
        </w:rPr>
        <w:t xml:space="preserve">GI) e Fístulas </w:t>
      </w:r>
      <w:r w:rsidRPr="001E05C2">
        <w:rPr>
          <w:iCs/>
          <w:u w:val="single"/>
        </w:rPr>
        <w:t>(</w:t>
      </w:r>
      <w:r w:rsidRPr="001E05C2">
        <w:rPr>
          <w:u w:val="single"/>
        </w:rPr>
        <w:t>ver secção 4.8)</w:t>
      </w:r>
    </w:p>
    <w:p w14:paraId="77D2A0F5" w14:textId="77777777" w:rsidR="00400398" w:rsidRPr="007232E4" w:rsidRDefault="00400398">
      <w:r w:rsidRPr="007232E4">
        <w:t xml:space="preserve">Os doentes tratados com </w:t>
      </w:r>
      <w:r w:rsidR="002D0221">
        <w:t>bevacizumab</w:t>
      </w:r>
      <w:r w:rsidR="002D0221" w:rsidRPr="007232E4">
        <w:t xml:space="preserve"> </w:t>
      </w:r>
      <w:r w:rsidRPr="007232E4">
        <w:t>podem estar em risco aumentado de desenvolver perfuração gastrointestinal e perfuração da vesícula biliar. Em doentes com carcinoma metastizado do cólon ou do reto, um processo inflamatório intra</w:t>
      </w:r>
      <w:r w:rsidRPr="007232E4">
        <w:noBreakHyphen/>
        <w:t>abdominal pode ser um fator de risco para ocorrência de perfuração gastrointestinal, por conseguinte, deve ter</w:t>
      </w:r>
      <w:r w:rsidRPr="007232E4">
        <w:noBreakHyphen/>
        <w:t xml:space="preserve">se cuidado ao tratar estes doentes. </w:t>
      </w:r>
      <w:r>
        <w:t xml:space="preserve">A radiação prévia é um fator de risco para perfuração GI em doentes tratadas com </w:t>
      </w:r>
      <w:r w:rsidR="002D0221">
        <w:t xml:space="preserve">bevacizumab </w:t>
      </w:r>
      <w:r>
        <w:t xml:space="preserve">para o cancro do colo do útero com doença persistente, recorrente ou metastizada e todos os doentes com perfuração GI tinham antecedentes de radioterapia prévia. </w:t>
      </w:r>
      <w:r w:rsidRPr="007232E4">
        <w:t>A terapêutica deve ser interrompida definitivamente nos doentes que desenvolvam perfuração gastrointestinal.</w:t>
      </w:r>
    </w:p>
    <w:p w14:paraId="6675E18C" w14:textId="77777777" w:rsidR="00400398" w:rsidRPr="007232E4" w:rsidRDefault="00400398"/>
    <w:p w14:paraId="535AA315" w14:textId="77777777" w:rsidR="00400398" w:rsidRPr="001E05C2" w:rsidRDefault="00400398" w:rsidP="00F60614">
      <w:pPr>
        <w:keepNext/>
        <w:keepLines/>
        <w:rPr>
          <w:u w:val="single"/>
        </w:rPr>
      </w:pPr>
      <w:r w:rsidRPr="001E05C2">
        <w:rPr>
          <w:noProof/>
          <w:u w:val="single"/>
        </w:rPr>
        <w:t>Fístulas</w:t>
      </w:r>
      <w:r w:rsidRPr="001E05C2">
        <w:rPr>
          <w:u w:val="single"/>
        </w:rPr>
        <w:t xml:space="preserve"> entre o trato GI e a vagina no estudo GOG-0240</w:t>
      </w:r>
    </w:p>
    <w:p w14:paraId="572F33B2" w14:textId="77777777" w:rsidR="00400398" w:rsidRDefault="00400398" w:rsidP="00F60614">
      <w:pPr>
        <w:keepNext/>
        <w:keepLines/>
      </w:pPr>
      <w:r>
        <w:t xml:space="preserve">As doentes tratadas com </w:t>
      </w:r>
      <w:r w:rsidR="002D0221">
        <w:t xml:space="preserve">bevacizumab </w:t>
      </w:r>
      <w:r>
        <w:t>para o cancro do colo do útero com doença persistente, recorrente ou metastizada apresentam um risco aumentado de desenvolver fístulas entre a vagina e qualquer região do trato GI (fístula do trato GI para a vagina). A radiação prévia é um fator de risco major para o desenvolvimento de fístulas do trato GI para a vagina e todas as doentes com fístulas entre o trato GI e a vagina tinham história de radiação prévia. A recorrência do cancro na área previamente irradiada é um fator de risco adicional importante para o desenvolvimento de fístulas entre o trato GI e a vagina</w:t>
      </w:r>
    </w:p>
    <w:p w14:paraId="48DF100D" w14:textId="77777777" w:rsidR="00400398" w:rsidRPr="007232E4" w:rsidRDefault="00400398"/>
    <w:p w14:paraId="30779B24" w14:textId="77777777" w:rsidR="00400398" w:rsidRPr="001E05C2" w:rsidRDefault="00400398">
      <w:pPr>
        <w:rPr>
          <w:u w:val="single"/>
        </w:rPr>
      </w:pPr>
      <w:r w:rsidRPr="001E05C2">
        <w:rPr>
          <w:u w:val="single"/>
        </w:rPr>
        <w:t xml:space="preserve">Fístulas não-GI </w:t>
      </w:r>
      <w:r w:rsidRPr="001E05C2">
        <w:rPr>
          <w:iCs/>
          <w:u w:val="single"/>
        </w:rPr>
        <w:t>(ver secção 4.8)</w:t>
      </w:r>
    </w:p>
    <w:p w14:paraId="77877470" w14:textId="77777777" w:rsidR="00B8353C" w:rsidRDefault="00400398">
      <w:pPr>
        <w:rPr>
          <w:rFonts w:eastAsia="MS Mincho"/>
        </w:rPr>
      </w:pPr>
      <w:r w:rsidRPr="007232E4">
        <w:t xml:space="preserve">Quando tratados com </w:t>
      </w:r>
      <w:r w:rsidR="00EC1CB2">
        <w:t>bevacizumab</w:t>
      </w:r>
      <w:r w:rsidR="00EC1CB2" w:rsidRPr="007232E4">
        <w:t xml:space="preserve"> </w:t>
      </w:r>
      <w:r w:rsidRPr="007232E4">
        <w:t xml:space="preserve">os doentes podem apresentar um risco aumentado de desenvolver </w:t>
      </w:r>
      <w:r w:rsidRPr="007232E4">
        <w:rPr>
          <w:rFonts w:eastAsia="MS Mincho"/>
        </w:rPr>
        <w:t>fístulas.</w:t>
      </w:r>
      <w:r w:rsidR="00B8353C">
        <w:rPr>
          <w:rFonts w:eastAsia="MS Mincho"/>
        </w:rPr>
        <w:t xml:space="preserve"> </w:t>
      </w:r>
      <w:r w:rsidRPr="007232E4">
        <w:rPr>
          <w:rFonts w:eastAsia="MS Mincho"/>
        </w:rPr>
        <w:t xml:space="preserve">Descontinuar permanentemente o tratamento com </w:t>
      </w:r>
      <w:r w:rsidR="00EC1CB2">
        <w:t>Aybintio</w:t>
      </w:r>
      <w:r w:rsidRPr="007232E4">
        <w:rPr>
          <w:rFonts w:eastAsia="MS Mincho"/>
        </w:rPr>
        <w:t xml:space="preserve"> em doentes com fístula traqueoesofágica (TE) ou qualquer fístula de Grau 4 </w:t>
      </w:r>
      <w:r w:rsidRPr="007232E4">
        <w:t>[US National Cancer Institute-Common Terminology Criteria for Adverse Events (NCI-CTCAE v.3)]</w:t>
      </w:r>
      <w:r w:rsidRPr="007232E4">
        <w:rPr>
          <w:rFonts w:eastAsia="MS Mincho"/>
        </w:rPr>
        <w:t xml:space="preserve">. A informação disponível relativa ao uso continuado de </w:t>
      </w:r>
      <w:r w:rsidR="00EC1CB2">
        <w:rPr>
          <w:rFonts w:eastAsia="MS Mincho"/>
        </w:rPr>
        <w:t>bevacizumab</w:t>
      </w:r>
      <w:r w:rsidR="00EC1CB2" w:rsidRPr="007232E4">
        <w:rPr>
          <w:rFonts w:eastAsia="MS Mincho"/>
        </w:rPr>
        <w:t xml:space="preserve"> </w:t>
      </w:r>
      <w:r w:rsidRPr="007232E4">
        <w:rPr>
          <w:rFonts w:eastAsia="MS Mincho"/>
        </w:rPr>
        <w:t xml:space="preserve">em doentes com outras fístulas é limitada. </w:t>
      </w:r>
    </w:p>
    <w:p w14:paraId="228AEE04" w14:textId="77777777" w:rsidR="00400398" w:rsidRPr="007232E4" w:rsidRDefault="00400398">
      <w:pPr>
        <w:rPr>
          <w:rFonts w:eastAsia="MS Mincho"/>
        </w:rPr>
      </w:pPr>
      <w:r w:rsidRPr="007232E4">
        <w:rPr>
          <w:rFonts w:eastAsia="MS Mincho"/>
        </w:rPr>
        <w:t>Deve considerar</w:t>
      </w:r>
      <w:r w:rsidRPr="007232E4">
        <w:rPr>
          <w:rFonts w:eastAsia="MS Mincho"/>
        </w:rPr>
        <w:noBreakHyphen/>
        <w:t xml:space="preserve">se a descontinuação do tratamento com </w:t>
      </w:r>
      <w:r w:rsidR="00EC1CB2">
        <w:t>Aybintio</w:t>
      </w:r>
      <w:r w:rsidRPr="007232E4">
        <w:rPr>
          <w:rFonts w:eastAsia="MS Mincho"/>
        </w:rPr>
        <w:t xml:space="preserve"> em casos de fístula interna não originada no trato gastrointestinal</w:t>
      </w:r>
      <w:r w:rsidRPr="00526E0A">
        <w:rPr>
          <w:rFonts w:eastAsia="MS Mincho"/>
        </w:rPr>
        <w:t>.</w:t>
      </w:r>
    </w:p>
    <w:p w14:paraId="46D9D6B6" w14:textId="77777777" w:rsidR="00400398" w:rsidRPr="007232E4" w:rsidRDefault="00400398">
      <w:pPr>
        <w:rPr>
          <w:rFonts w:eastAsia="MS Mincho"/>
        </w:rPr>
      </w:pPr>
    </w:p>
    <w:p w14:paraId="2E0ED3FE" w14:textId="77777777" w:rsidR="00400398" w:rsidRPr="001E05C2" w:rsidRDefault="00400398">
      <w:pPr>
        <w:rPr>
          <w:iCs/>
          <w:u w:val="single"/>
        </w:rPr>
      </w:pPr>
      <w:r w:rsidRPr="001E05C2">
        <w:rPr>
          <w:u w:val="single"/>
        </w:rPr>
        <w:t xml:space="preserve">Complicações na cicatrização das feridas </w:t>
      </w:r>
      <w:r w:rsidRPr="001E05C2">
        <w:rPr>
          <w:iCs/>
          <w:u w:val="single"/>
        </w:rPr>
        <w:t>(ver secção 4.8)</w:t>
      </w:r>
    </w:p>
    <w:p w14:paraId="09E782E1" w14:textId="77777777" w:rsidR="00400398" w:rsidRDefault="00400398">
      <w:pPr>
        <w:rPr>
          <w:rFonts w:eastAsia="MS Mincho"/>
        </w:rPr>
      </w:pPr>
      <w:r w:rsidRPr="007232E4">
        <w:rPr>
          <w:rFonts w:eastAsia="MS Mincho"/>
        </w:rPr>
        <w:t xml:space="preserve">O </w:t>
      </w:r>
      <w:r w:rsidR="00EC1CB2">
        <w:rPr>
          <w:rFonts w:eastAsia="MS Mincho"/>
        </w:rPr>
        <w:t>bevacizumab</w:t>
      </w:r>
      <w:r w:rsidR="00EC1CB2" w:rsidRPr="007232E4">
        <w:rPr>
          <w:rFonts w:eastAsia="MS Mincho"/>
        </w:rPr>
        <w:t xml:space="preserve"> </w:t>
      </w:r>
      <w:r w:rsidRPr="007232E4">
        <w:rPr>
          <w:rFonts w:eastAsia="MS Mincho"/>
        </w:rPr>
        <w:t xml:space="preserve">pode influenciar adversamente o processo de cicatrização das feridas. </w:t>
      </w:r>
      <w:r>
        <w:rPr>
          <w:rFonts w:eastAsia="MS Mincho"/>
        </w:rPr>
        <w:t>Foram notificadas complicações graves na cicatrização de feridas com consequências fatais, incluindo complicações anastomóticas</w:t>
      </w:r>
      <w:r w:rsidRPr="007232E4">
        <w:rPr>
          <w:rFonts w:eastAsia="MS Mincho"/>
        </w:rPr>
        <w:t xml:space="preserve"> A terapêutica não pode ser iniciada antes de decorridos pelo menos 28 dias depois de uma grande cirurgia ou até cicatrização completa da ferida cirúrgica. Nos doentes que apresentarem complicações da cicatrização de feridas durante o tratamento, este deve ser suspenso até cicatrização completa da ferida. A terapêutica deve ser suspensa antes da cirurgia eletiva.</w:t>
      </w:r>
    </w:p>
    <w:p w14:paraId="1194AFC8" w14:textId="77777777" w:rsidR="00400398" w:rsidRDefault="00400398">
      <w:pPr>
        <w:rPr>
          <w:rFonts w:eastAsia="MS Mincho"/>
        </w:rPr>
      </w:pPr>
    </w:p>
    <w:p w14:paraId="10284E6C" w14:textId="77777777" w:rsidR="00400398" w:rsidRPr="00605459" w:rsidRDefault="00400398">
      <w:pPr>
        <w:rPr>
          <w:rFonts w:eastAsia="MS Mincho"/>
        </w:rPr>
      </w:pPr>
      <w:r>
        <w:rPr>
          <w:rFonts w:eastAsia="MS Mincho"/>
        </w:rPr>
        <w:t>F</w:t>
      </w:r>
      <w:r w:rsidRPr="00605459">
        <w:rPr>
          <w:rFonts w:eastAsia="MS Mincho"/>
        </w:rPr>
        <w:t>oram notificados</w:t>
      </w:r>
      <w:r>
        <w:rPr>
          <w:rFonts w:eastAsia="MS Mincho"/>
        </w:rPr>
        <w:t xml:space="preserve"> c</w:t>
      </w:r>
      <w:r w:rsidRPr="00605459">
        <w:rPr>
          <w:rFonts w:eastAsia="MS Mincho"/>
        </w:rPr>
        <w:t>asos</w:t>
      </w:r>
      <w:r>
        <w:rPr>
          <w:rFonts w:eastAsia="MS Mincho"/>
        </w:rPr>
        <w:t xml:space="preserve"> raros</w:t>
      </w:r>
      <w:r w:rsidRPr="00605459">
        <w:rPr>
          <w:rFonts w:eastAsia="MS Mincho"/>
        </w:rPr>
        <w:t xml:space="preserve"> de fasciite necrotizante, incluindo casos fatais, em doentes tratados com </w:t>
      </w:r>
      <w:r w:rsidR="00EC1CB2">
        <w:rPr>
          <w:rFonts w:eastAsia="MS Mincho"/>
        </w:rPr>
        <w:t>bevacizumab</w:t>
      </w:r>
      <w:r w:rsidRPr="00605459">
        <w:rPr>
          <w:rFonts w:eastAsia="MS Mincho"/>
        </w:rPr>
        <w:t xml:space="preserve">. Esta é normalmente secundária a complicações na cicatrização de feridas, perfuração gastrointestinal ou formação de fístulas. A terapêutica com </w:t>
      </w:r>
      <w:r w:rsidR="00EC1CB2">
        <w:t>Aybintio</w:t>
      </w:r>
      <w:r w:rsidRPr="00605459">
        <w:rPr>
          <w:rFonts w:eastAsia="MS Mincho"/>
        </w:rPr>
        <w:t xml:space="preserve"> deve ser interrompida nos doentes que desenvolvem fasciite necrotizante e deve ser </w:t>
      </w:r>
      <w:r>
        <w:rPr>
          <w:rFonts w:eastAsia="MS Mincho"/>
        </w:rPr>
        <w:t>rapidamente</w:t>
      </w:r>
      <w:r w:rsidRPr="00605459">
        <w:rPr>
          <w:rFonts w:eastAsia="MS Mincho"/>
        </w:rPr>
        <w:t xml:space="preserve"> iniciad</w:t>
      </w:r>
      <w:r>
        <w:rPr>
          <w:rFonts w:eastAsia="MS Mincho"/>
        </w:rPr>
        <w:t>o um</w:t>
      </w:r>
      <w:r w:rsidRPr="00605459">
        <w:rPr>
          <w:rFonts w:eastAsia="MS Mincho"/>
        </w:rPr>
        <w:t xml:space="preserve"> t</w:t>
      </w:r>
      <w:r>
        <w:rPr>
          <w:rFonts w:eastAsia="MS Mincho"/>
        </w:rPr>
        <w:t>ratamento apropriado.</w:t>
      </w:r>
    </w:p>
    <w:p w14:paraId="755532A3" w14:textId="77777777" w:rsidR="00400398" w:rsidRPr="007232E4" w:rsidRDefault="00400398"/>
    <w:p w14:paraId="60849A43" w14:textId="77777777" w:rsidR="00400398" w:rsidRPr="001E05C2" w:rsidRDefault="00400398" w:rsidP="00014A0A">
      <w:pPr>
        <w:keepNext/>
        <w:keepLines/>
        <w:rPr>
          <w:iCs/>
          <w:u w:val="single"/>
        </w:rPr>
      </w:pPr>
      <w:r w:rsidRPr="001E05C2">
        <w:rPr>
          <w:u w:val="single"/>
        </w:rPr>
        <w:lastRenderedPageBreak/>
        <w:t xml:space="preserve">Hipertensão arterial </w:t>
      </w:r>
      <w:r w:rsidRPr="001E05C2">
        <w:rPr>
          <w:iCs/>
          <w:u w:val="single"/>
        </w:rPr>
        <w:t>(ver secção 4.8)</w:t>
      </w:r>
    </w:p>
    <w:p w14:paraId="5A1EF0B4" w14:textId="77777777" w:rsidR="00B8353C" w:rsidRDefault="00400398" w:rsidP="00014A0A">
      <w:pPr>
        <w:keepNext/>
        <w:keepLines/>
      </w:pPr>
      <w:r w:rsidRPr="007232E4">
        <w:t>Observou</w:t>
      </w:r>
      <w:r w:rsidRPr="00060CC1">
        <w:noBreakHyphen/>
        <w:t>se uma incidência aumentada de hipertensão</w:t>
      </w:r>
      <w:r w:rsidRPr="00FD3231">
        <w:t xml:space="preserve"> </w:t>
      </w:r>
      <w:r w:rsidRPr="00060CC1">
        <w:t xml:space="preserve">arterial </w:t>
      </w:r>
      <w:r w:rsidRPr="00FD3231">
        <w:t xml:space="preserve">em doentes submetidos a tratamento com </w:t>
      </w:r>
      <w:r w:rsidR="00EC1CB2">
        <w:t>bevacizumab</w:t>
      </w:r>
      <w:r w:rsidRPr="00FD3231">
        <w:t xml:space="preserve">. Os dados de segurança clínica sugerem que a incidência de hipertensão </w:t>
      </w:r>
      <w:r w:rsidRPr="00060CC1">
        <w:t xml:space="preserve">arterial </w:t>
      </w:r>
      <w:r w:rsidRPr="00FD3231">
        <w:t>está provavelmente relacionada com a dose. A hipe</w:t>
      </w:r>
      <w:r w:rsidRPr="00C33975">
        <w:t xml:space="preserve">rtensão </w:t>
      </w:r>
      <w:r w:rsidRPr="00060CC1">
        <w:t xml:space="preserve">arterial </w:t>
      </w:r>
      <w:r w:rsidRPr="00FD3231">
        <w:t>pré</w:t>
      </w:r>
      <w:r w:rsidRPr="00FD3231">
        <w:noBreakHyphen/>
        <w:t xml:space="preserve">existente deve ser adequadamente controlada antes do início do tratamento com </w:t>
      </w:r>
      <w:r w:rsidR="00EC1CB2">
        <w:t>Aybintio</w:t>
      </w:r>
      <w:r w:rsidRPr="00FD3231">
        <w:t xml:space="preserve">. Não existem informações acerca do efeito do </w:t>
      </w:r>
      <w:r w:rsidR="00EC1CB2">
        <w:t>bevacizumab</w:t>
      </w:r>
      <w:r w:rsidR="00EC1CB2" w:rsidRPr="00FD3231">
        <w:t xml:space="preserve"> </w:t>
      </w:r>
      <w:r w:rsidRPr="00FD3231">
        <w:t xml:space="preserve">em doentes com hipertensão </w:t>
      </w:r>
      <w:r w:rsidRPr="00060CC1">
        <w:t xml:space="preserve">arterial </w:t>
      </w:r>
      <w:r w:rsidRPr="00FD3231">
        <w:t xml:space="preserve">não controlada à data de início da terapêutica. </w:t>
      </w:r>
    </w:p>
    <w:p w14:paraId="70050699" w14:textId="77777777" w:rsidR="00B8353C" w:rsidRDefault="00B8353C" w:rsidP="00014A0A">
      <w:pPr>
        <w:keepNext/>
        <w:keepLines/>
      </w:pPr>
    </w:p>
    <w:p w14:paraId="0BDB1A4A" w14:textId="77777777" w:rsidR="00400398" w:rsidRPr="00C33975" w:rsidRDefault="00400398" w:rsidP="00014A0A">
      <w:pPr>
        <w:keepNext/>
        <w:keepLines/>
      </w:pPr>
      <w:r w:rsidRPr="00FD3231">
        <w:t>É geralmente recomendada a mon</w:t>
      </w:r>
      <w:r w:rsidRPr="00C33975">
        <w:t>itorização da tensão arterial durante a terapêutica.</w:t>
      </w:r>
    </w:p>
    <w:p w14:paraId="6F8C425A" w14:textId="77777777" w:rsidR="00400398" w:rsidRPr="00BA0395" w:rsidRDefault="00400398"/>
    <w:p w14:paraId="72DA5CBF" w14:textId="77777777" w:rsidR="00400398" w:rsidRPr="00BA0395" w:rsidRDefault="00400398">
      <w:r w:rsidRPr="00BA0395">
        <w:t xml:space="preserve">Na maioria dos casos a hipertensão </w:t>
      </w:r>
      <w:r w:rsidRPr="00060CC1">
        <w:t xml:space="preserve">arterial </w:t>
      </w:r>
      <w:r w:rsidRPr="00FD3231">
        <w:t>foi controlada adequadamente através de tratamento anti</w:t>
      </w:r>
      <w:r w:rsidRPr="00FD3231">
        <w:noBreakHyphen/>
        <w:t>hiperten</w:t>
      </w:r>
      <w:r w:rsidRPr="00C33975">
        <w:t>sor recomendado</w:t>
      </w:r>
      <w:r w:rsidRPr="00BA0395">
        <w:t xml:space="preserve">, apropriado à situação individual do doente. Não se aconselha a utilização de diuréticos para controlo da hipertensão </w:t>
      </w:r>
      <w:r w:rsidRPr="00060CC1">
        <w:t>arterial em doentes que estejam a fazer regimes de quimioterapia com base em cisplatina. Caso a hipertensão arterial seja clinicamente significativa e não possa ser adequadamente controlada com terapêutica anti</w:t>
      </w:r>
      <w:r w:rsidRPr="00060CC1">
        <w:noBreakHyphen/>
        <w:t>hipertens</w:t>
      </w:r>
      <w:r w:rsidRPr="00FD3231">
        <w:t>or</w:t>
      </w:r>
      <w:r w:rsidRPr="00C33975">
        <w:t xml:space="preserve"> ou caso o doente des</w:t>
      </w:r>
      <w:r w:rsidRPr="00BA0395">
        <w:t>envolva uma crise hipertensiva ou encefalopatia hipertensiva, deve suspender</w:t>
      </w:r>
      <w:r w:rsidRPr="00BA0395">
        <w:noBreakHyphen/>
        <w:t xml:space="preserve">se definitivamente o tratamento com </w:t>
      </w:r>
      <w:r w:rsidR="00EC1CB2">
        <w:t>Aybintio</w:t>
      </w:r>
      <w:r w:rsidRPr="00BA0395">
        <w:t>.</w:t>
      </w:r>
    </w:p>
    <w:p w14:paraId="3E24F483" w14:textId="77777777" w:rsidR="00400398" w:rsidRPr="00C92BA9" w:rsidRDefault="00400398"/>
    <w:p w14:paraId="2AC51970" w14:textId="77777777" w:rsidR="00400398" w:rsidRPr="001E05C2" w:rsidRDefault="00400398">
      <w:pPr>
        <w:rPr>
          <w:u w:val="single"/>
        </w:rPr>
      </w:pPr>
      <w:r w:rsidRPr="001E05C2">
        <w:rPr>
          <w:u w:val="single"/>
        </w:rPr>
        <w:t xml:space="preserve">Síndrome de </w:t>
      </w:r>
      <w:r w:rsidR="00B8353C" w:rsidRPr="001E05C2">
        <w:rPr>
          <w:u w:val="single"/>
        </w:rPr>
        <w:t>e</w:t>
      </w:r>
      <w:r w:rsidRPr="001E05C2">
        <w:rPr>
          <w:u w:val="single"/>
        </w:rPr>
        <w:t xml:space="preserve">ncefalopatia </w:t>
      </w:r>
      <w:r w:rsidR="00B8353C" w:rsidRPr="001E05C2">
        <w:rPr>
          <w:u w:val="single"/>
        </w:rPr>
        <w:t>p</w:t>
      </w:r>
      <w:r w:rsidRPr="001E05C2">
        <w:rPr>
          <w:u w:val="single"/>
        </w:rPr>
        <w:t xml:space="preserve">osterior </w:t>
      </w:r>
      <w:r w:rsidR="00B8353C" w:rsidRPr="001E05C2">
        <w:rPr>
          <w:u w:val="single"/>
        </w:rPr>
        <w:t>r</w:t>
      </w:r>
      <w:r w:rsidRPr="001E05C2">
        <w:rPr>
          <w:u w:val="single"/>
        </w:rPr>
        <w:t>eversível (SEPR) (ver secção 4.8)</w:t>
      </w:r>
    </w:p>
    <w:p w14:paraId="666D9AFA" w14:textId="77777777" w:rsidR="00400398" w:rsidRPr="007232E4" w:rsidRDefault="00400398">
      <w:r w:rsidRPr="00FD3231">
        <w:t xml:space="preserve">Têm sido notificados casos raros de doentes tratados com </w:t>
      </w:r>
      <w:r w:rsidR="00EC1CB2">
        <w:t>bevacizumab</w:t>
      </w:r>
      <w:r w:rsidR="00EC1CB2" w:rsidRPr="00C33975">
        <w:t xml:space="preserve"> </w:t>
      </w:r>
      <w:r w:rsidRPr="00C33975">
        <w:t xml:space="preserve">que desenvolveram sinais e sintomas consistentes com </w:t>
      </w:r>
      <w:r w:rsidRPr="00BA0395">
        <w:t xml:space="preserve">SEPR, uma doença neurológica rara, que pode apresentar, entre outros, os seguintes sinais e sintomas: </w:t>
      </w:r>
      <w:r w:rsidRPr="00C92BA9">
        <w:t xml:space="preserve">convulsões, </w:t>
      </w:r>
      <w:r w:rsidRPr="00C8207B">
        <w:t xml:space="preserve">cefaleia, alterações do estado mental, perturbações visuais ou cegueira cortical, com ou sem hipertensão associada. O diagnóstico de </w:t>
      </w:r>
      <w:r w:rsidRPr="00002502">
        <w:t>SEPR requer confirmação por imagiologia cerebral</w:t>
      </w:r>
      <w:r w:rsidRPr="004D2086">
        <w:t>, preferencialmente imagiologia de ressonância magnética (MRI)</w:t>
      </w:r>
      <w:r w:rsidRPr="00C516C1">
        <w:t>.</w:t>
      </w:r>
      <w:r w:rsidRPr="00B556B3">
        <w:t xml:space="preserve"> Nos doentes que desenvolvam </w:t>
      </w:r>
      <w:r w:rsidRPr="000D181B">
        <w:t>SEPR</w:t>
      </w:r>
      <w:r w:rsidRPr="00DB1E4F">
        <w:t>, recomenda</w:t>
      </w:r>
      <w:r w:rsidRPr="00DB1E4F">
        <w:noBreakHyphen/>
        <w:t>se o tratamento</w:t>
      </w:r>
      <w:r w:rsidRPr="007232E4">
        <w:t xml:space="preserve"> de sintomas específicos incluindo o controlo da hipertensão</w:t>
      </w:r>
      <w:r>
        <w:t xml:space="preserve"> </w:t>
      </w:r>
      <w:r w:rsidRPr="00060CC1">
        <w:t>arterial</w:t>
      </w:r>
      <w:r w:rsidRPr="007232E4">
        <w:t xml:space="preserve">, juntamente com a interrupção do </w:t>
      </w:r>
      <w:r w:rsidR="00EC1CB2">
        <w:t>Aybintio</w:t>
      </w:r>
      <w:r w:rsidRPr="007232E4">
        <w:t>. Desconhece</w:t>
      </w:r>
      <w:r w:rsidRPr="007232E4">
        <w:noBreakHyphen/>
        <w:t xml:space="preserve">se a segurança de reiniciar a terapêutica com </w:t>
      </w:r>
      <w:r w:rsidR="00EC1CB2">
        <w:t>bevacizumab</w:t>
      </w:r>
      <w:r w:rsidR="00EC1CB2" w:rsidRPr="007232E4">
        <w:t xml:space="preserve"> </w:t>
      </w:r>
      <w:r w:rsidRPr="007232E4">
        <w:t xml:space="preserve">em doentes que tenham sofrido de SEPR. </w:t>
      </w:r>
    </w:p>
    <w:p w14:paraId="15DF58FE" w14:textId="77777777" w:rsidR="00400398" w:rsidRPr="007232E4" w:rsidRDefault="00400398"/>
    <w:p w14:paraId="3465B887" w14:textId="77777777" w:rsidR="00400398" w:rsidRPr="001E05C2" w:rsidRDefault="00400398" w:rsidP="00897B6E">
      <w:pPr>
        <w:keepNext/>
        <w:rPr>
          <w:iCs/>
          <w:u w:val="single"/>
        </w:rPr>
      </w:pPr>
      <w:r w:rsidRPr="001E05C2">
        <w:rPr>
          <w:u w:val="single"/>
        </w:rPr>
        <w:t xml:space="preserve">Proteinúria </w:t>
      </w:r>
      <w:r w:rsidRPr="001E05C2">
        <w:rPr>
          <w:iCs/>
          <w:u w:val="single"/>
        </w:rPr>
        <w:t>(ver secção 4.8)</w:t>
      </w:r>
    </w:p>
    <w:p w14:paraId="3D64EBFC" w14:textId="77777777" w:rsidR="00400398" w:rsidRPr="007232E4" w:rsidRDefault="00400398">
      <w:pPr>
        <w:rPr>
          <w:i/>
        </w:rPr>
      </w:pPr>
      <w:r w:rsidRPr="007232E4">
        <w:t xml:space="preserve">O doente com história clínica de hipertensão </w:t>
      </w:r>
      <w:r w:rsidRPr="00F939C3">
        <w:t>arterial</w:t>
      </w:r>
      <w:r w:rsidRPr="007232E4">
        <w:t xml:space="preserve"> pode estar em risco aumentado de desenvolver proteinúria quando submetido a tratamento com </w:t>
      </w:r>
      <w:r w:rsidR="00EC1CB2">
        <w:t>bevacizumab</w:t>
      </w:r>
      <w:r w:rsidRPr="007232E4">
        <w:t xml:space="preserve">. Há indícios que apontam para a possibilidade de a proteinúria de qualquer Grau [US National Cancer Institute-Common Terminology Criteria for Adverse Events </w:t>
      </w:r>
      <w:r>
        <w:t>[</w:t>
      </w:r>
      <w:r w:rsidRPr="007232E4">
        <w:t>NCI-CTCAE v.3</w:t>
      </w:r>
      <w:r w:rsidRPr="00526E0A">
        <w:t>]</w:t>
      </w:r>
      <w:r w:rsidRPr="007232E4">
        <w:t xml:space="preserve"> poder estar relacionada com a dose. Recomenda</w:t>
      </w:r>
      <w:r w:rsidRPr="007232E4">
        <w:noBreakHyphen/>
        <w:t xml:space="preserve">se a monitorização da proteinúria por meio de análise da urina com fitas reativas antes do início e durante a terapêutica. </w:t>
      </w:r>
      <w:r w:rsidR="00701AD7">
        <w:t xml:space="preserve">Foi observada proteinúria de grau 4 (síndroma nefrótico) em até 1,4% dos doentes tratados com </w:t>
      </w:r>
      <w:r w:rsidR="00EC1CB2">
        <w:t>bevacizumab</w:t>
      </w:r>
      <w:r w:rsidR="00701AD7">
        <w:t xml:space="preserve">. </w:t>
      </w:r>
      <w:r w:rsidR="00EC1CB2">
        <w:t xml:space="preserve">O bevacizumab </w:t>
      </w:r>
      <w:r w:rsidRPr="007232E4">
        <w:t>deve ser interrompido definitivamente nos doentes que desenvolvam</w:t>
      </w:r>
      <w:r w:rsidR="00A22A1A">
        <w:t xml:space="preserve"> </w:t>
      </w:r>
      <w:r w:rsidRPr="007232E4">
        <w:t>síndroma nefrótico (NCI-CTCAE v.3).</w:t>
      </w:r>
    </w:p>
    <w:p w14:paraId="63BDED53" w14:textId="77777777" w:rsidR="00400398" w:rsidRPr="007232E4" w:rsidRDefault="00400398"/>
    <w:p w14:paraId="08466DA3" w14:textId="77777777" w:rsidR="00400398" w:rsidRPr="001E05C2" w:rsidRDefault="00400398" w:rsidP="009A236A">
      <w:pPr>
        <w:keepNext/>
        <w:keepLines/>
        <w:rPr>
          <w:iCs/>
          <w:u w:val="single"/>
        </w:rPr>
      </w:pPr>
      <w:r w:rsidRPr="001E05C2">
        <w:rPr>
          <w:u w:val="single"/>
        </w:rPr>
        <w:t xml:space="preserve">Tromboembolismo arterial </w:t>
      </w:r>
      <w:r w:rsidRPr="001E05C2">
        <w:rPr>
          <w:iCs/>
          <w:u w:val="single"/>
        </w:rPr>
        <w:t>(ver secção 4.8)</w:t>
      </w:r>
    </w:p>
    <w:p w14:paraId="10E8A996" w14:textId="77777777" w:rsidR="00400398" w:rsidRPr="007232E4" w:rsidRDefault="00400398">
      <w:r w:rsidRPr="007232E4">
        <w:t xml:space="preserve">Em ensaios clínicos, a incidência de reações tromboembólicas arteriais, incluindo acidente vascular cerebral (AVC), acidente isquémico transitório (AIT) e enfarte do miocárdio (EM), foi maior nos doentes submetidos a tratamento com </w:t>
      </w:r>
      <w:r w:rsidR="00EC1CB2">
        <w:t>bevacizumab</w:t>
      </w:r>
      <w:r w:rsidR="00EC1CB2" w:rsidRPr="007232E4">
        <w:t xml:space="preserve"> </w:t>
      </w:r>
      <w:r w:rsidRPr="007232E4">
        <w:t>em associação com quimioterapia do que nos doentes a fazer apenas quimioterapia.</w:t>
      </w:r>
    </w:p>
    <w:p w14:paraId="48BE88C7" w14:textId="77777777" w:rsidR="00400398" w:rsidRPr="007232E4" w:rsidRDefault="00400398"/>
    <w:p w14:paraId="5092175A" w14:textId="77777777" w:rsidR="00400398" w:rsidRPr="007232E4" w:rsidRDefault="00400398">
      <w:r w:rsidRPr="007232E4">
        <w:t>Doente</w:t>
      </w:r>
      <w:r>
        <w:t xml:space="preserve">s em tratamento com </w:t>
      </w:r>
      <w:r w:rsidR="00EC1CB2">
        <w:t xml:space="preserve">bevacizumab </w:t>
      </w:r>
      <w:r>
        <w:t>mais quimioterapia e com história clínica de tromboembolismo arterial, diabetes ou idade superior a 65 anos apresentam um risco aumentado de desenvolvimento de reações tromboem</w:t>
      </w:r>
      <w:r w:rsidRPr="007232E4">
        <w:t>bólicas arteriais durante a terapêutica. Deve ter</w:t>
      </w:r>
      <w:r w:rsidRPr="007232E4">
        <w:noBreakHyphen/>
        <w:t xml:space="preserve">se precaução ao tratar estes doentes com </w:t>
      </w:r>
      <w:r w:rsidR="00EC1CB2">
        <w:t>Aybintio</w:t>
      </w:r>
      <w:r w:rsidRPr="007232E4">
        <w:t xml:space="preserve">. </w:t>
      </w:r>
    </w:p>
    <w:p w14:paraId="0F96C877" w14:textId="77777777" w:rsidR="00400398" w:rsidRPr="007232E4" w:rsidRDefault="00400398"/>
    <w:p w14:paraId="26953EDF" w14:textId="77777777" w:rsidR="00400398" w:rsidRPr="007232E4" w:rsidRDefault="00400398">
      <w:r w:rsidRPr="007232E4">
        <w:t>A terapêutica deve ser interrompida definitivamente nos doentes que desenvolvam reações tromboembólicas arteriais.</w:t>
      </w:r>
    </w:p>
    <w:p w14:paraId="4699A8FC" w14:textId="77777777" w:rsidR="00400398" w:rsidRPr="007232E4" w:rsidRDefault="00400398"/>
    <w:p w14:paraId="0FF49953" w14:textId="77777777" w:rsidR="00400398" w:rsidRPr="001E05C2" w:rsidRDefault="00400398" w:rsidP="00712E12">
      <w:pPr>
        <w:rPr>
          <w:iCs/>
          <w:u w:val="single"/>
        </w:rPr>
      </w:pPr>
      <w:r w:rsidRPr="001E05C2">
        <w:rPr>
          <w:u w:val="single"/>
        </w:rPr>
        <w:t xml:space="preserve">Tromboembolismo venoso </w:t>
      </w:r>
      <w:r w:rsidRPr="001E05C2">
        <w:rPr>
          <w:iCs/>
          <w:u w:val="single"/>
        </w:rPr>
        <w:t>(ver secção 4.8)</w:t>
      </w:r>
    </w:p>
    <w:p w14:paraId="35AACD76" w14:textId="77777777" w:rsidR="00400398" w:rsidRDefault="00400398" w:rsidP="00712E12">
      <w:r w:rsidRPr="007232E4">
        <w:t xml:space="preserve">Doentes em tratamento com </w:t>
      </w:r>
      <w:r w:rsidR="00EC1CB2">
        <w:t>bevacizumab</w:t>
      </w:r>
      <w:r w:rsidR="00EC1CB2" w:rsidRPr="007232E4">
        <w:t xml:space="preserve"> </w:t>
      </w:r>
      <w:r w:rsidRPr="007232E4">
        <w:t xml:space="preserve">podem estar em risco de desenvolverem reações tromboembólicas venosas, incluindo embolia pulmonar. </w:t>
      </w:r>
    </w:p>
    <w:p w14:paraId="7498E634" w14:textId="77777777" w:rsidR="00EC1CB2" w:rsidRDefault="00EC1CB2" w:rsidP="00712E12"/>
    <w:p w14:paraId="28C45DE4" w14:textId="77777777" w:rsidR="00400398" w:rsidRDefault="00400398" w:rsidP="00712E12">
      <w:r>
        <w:lastRenderedPageBreak/>
        <w:t xml:space="preserve">Doentes tratadas para o cancro do colo do útero com doença persistente, recorrente ou metastizada com </w:t>
      </w:r>
      <w:r w:rsidR="00EC1CB2">
        <w:t xml:space="preserve">bevacizumab </w:t>
      </w:r>
      <w:r>
        <w:t>em associação com paclitaxel e cisplatina podem ter um risco aumentado de acontecimentos tromboembólicos.</w:t>
      </w:r>
    </w:p>
    <w:p w14:paraId="1052B731" w14:textId="77777777" w:rsidR="00EC1CB2" w:rsidRDefault="00EC1CB2" w:rsidP="00712E12"/>
    <w:p w14:paraId="504A9197" w14:textId="77777777" w:rsidR="00400398" w:rsidRPr="007232E4" w:rsidRDefault="00EC1CB2" w:rsidP="00712E12">
      <w:pPr>
        <w:rPr>
          <w:i/>
        </w:rPr>
      </w:pPr>
      <w:r>
        <w:t>Aybintio</w:t>
      </w:r>
      <w:r w:rsidR="00400398" w:rsidRPr="007232E4">
        <w:t xml:space="preserve"> deve ser interrompido em doentes com reações tromboembólicas potencialmente fatais (Grau 4), incluindo embolia pulmonar (NCI-CTCAE v.3). Doentes com reações tromboembólicas de Grau ≤ 3 devem ser monitorizados de perto (NCI-CTCAE v.3). </w:t>
      </w:r>
    </w:p>
    <w:p w14:paraId="57C02FEF" w14:textId="77777777" w:rsidR="00400398" w:rsidRPr="007232E4" w:rsidRDefault="00400398" w:rsidP="00712E12">
      <w:pPr>
        <w:rPr>
          <w:i/>
        </w:rPr>
      </w:pPr>
    </w:p>
    <w:p w14:paraId="02FBDB1D" w14:textId="77777777" w:rsidR="00400398" w:rsidRPr="001E05C2" w:rsidRDefault="00400398" w:rsidP="00712E12">
      <w:pPr>
        <w:rPr>
          <w:iCs/>
          <w:u w:val="single"/>
        </w:rPr>
      </w:pPr>
      <w:r w:rsidRPr="001E05C2">
        <w:rPr>
          <w:u w:val="single"/>
        </w:rPr>
        <w:t>Hemorragia</w:t>
      </w:r>
      <w:r w:rsidRPr="001E05C2">
        <w:rPr>
          <w:iCs/>
          <w:u w:val="single"/>
        </w:rPr>
        <w:t xml:space="preserve"> </w:t>
      </w:r>
    </w:p>
    <w:p w14:paraId="1311A19C" w14:textId="77777777" w:rsidR="00400398" w:rsidRPr="007232E4" w:rsidRDefault="00400398" w:rsidP="00712E12">
      <w:r w:rsidRPr="007232E4">
        <w:t xml:space="preserve">Os doentes tratados com </w:t>
      </w:r>
      <w:r w:rsidR="007D302E">
        <w:t>bevacizumab</w:t>
      </w:r>
      <w:r w:rsidR="007D302E" w:rsidRPr="007232E4">
        <w:t xml:space="preserve"> </w:t>
      </w:r>
      <w:r w:rsidRPr="007232E4">
        <w:t xml:space="preserve">apresentam um risco aumentado de hemorragia, principalmente hemorragia relacionada com o tumor. </w:t>
      </w:r>
      <w:r w:rsidR="007D302E">
        <w:t>Aybintio</w:t>
      </w:r>
      <w:r w:rsidRPr="007232E4">
        <w:t xml:space="preserve"> deve ser interrompido definitivamente nos doentes em que surjam hemorragias de Grau 3 ou 4 no decurso da terapêutica </w:t>
      </w:r>
      <w:r w:rsidR="007D302E">
        <w:t xml:space="preserve">com bevacizumab </w:t>
      </w:r>
      <w:r w:rsidRPr="007232E4">
        <w:t>(NCI-CTCAE v.3) (ver secção 4.8).</w:t>
      </w:r>
    </w:p>
    <w:p w14:paraId="26718863" w14:textId="77777777" w:rsidR="00400398" w:rsidRPr="007232E4" w:rsidRDefault="00400398" w:rsidP="00712E12"/>
    <w:p w14:paraId="6C89F69C" w14:textId="77777777" w:rsidR="00400398" w:rsidRPr="007232E4" w:rsidRDefault="00400398" w:rsidP="00712E12">
      <w:r w:rsidRPr="007232E4">
        <w:t xml:space="preserve">Os doentes com metástases do SNC não tratadas foram excluídos dos ensaios clínicos com </w:t>
      </w:r>
      <w:r w:rsidR="007D302E">
        <w:t>bevacizumab</w:t>
      </w:r>
      <w:r w:rsidR="007D302E" w:rsidRPr="007232E4">
        <w:t xml:space="preserve"> </w:t>
      </w:r>
      <w:r w:rsidRPr="007232E4">
        <w:t xml:space="preserve">por rotina, com base em procedimentos imagiológicos ou sinais e sintomas. Assim, o risco de hemorragia do SNC nestes doentes não foi avaliado prospectivamente em ensaios clínicos aleatorizados (ver secção 4.8). Os doentes devem ser monitorizados quanto a sinais e sintomas de hemorragia do SNC, e o tratamento com </w:t>
      </w:r>
      <w:r w:rsidR="007D302E">
        <w:t>Aybintio</w:t>
      </w:r>
      <w:r w:rsidRPr="007232E4">
        <w:t xml:space="preserve"> deve ser descontinuado em casos de hemorragia intracraniana. </w:t>
      </w:r>
    </w:p>
    <w:p w14:paraId="03C6A4CE" w14:textId="77777777" w:rsidR="00400398" w:rsidRPr="007232E4" w:rsidRDefault="00400398"/>
    <w:p w14:paraId="76AD1620" w14:textId="77777777" w:rsidR="00400398" w:rsidRPr="007232E4" w:rsidRDefault="00400398">
      <w:pPr>
        <w:outlineLvl w:val="0"/>
      </w:pPr>
      <w:r w:rsidRPr="007232E4">
        <w:t xml:space="preserve">Não existem informações sobre o perfil de segurança do </w:t>
      </w:r>
      <w:r w:rsidR="007D302E">
        <w:t>bevacizumab</w:t>
      </w:r>
      <w:r w:rsidR="007D302E" w:rsidRPr="007232E4">
        <w:t xml:space="preserve"> </w:t>
      </w:r>
      <w:r w:rsidRPr="007232E4">
        <w:t xml:space="preserve">em doentes com diátese hemorrágica congénita, com coagulopatia adquirida ou que estejam em tratamento com anticoagulantes (na dose habitual máxima) para terapêutica do tromboembolismo antes da instituição do </w:t>
      </w:r>
      <w:r w:rsidR="007D302E">
        <w:t>bevacizumab</w:t>
      </w:r>
      <w:r w:rsidRPr="007232E4">
        <w:t xml:space="preserve">, uma vez que esses doentes foram excluídos dos ensaios clínicos. Por conseguinte, a decisão de instituir a terapêutica nestes doentes deve ser bem ponderada. No entanto, aparentemente os doentes que desenvolvem trombose venosa ao receber o tratamento não apresentam uma incidência mais elevada de hemorragias de Grau igual ou superior a 3 quando submetidos a tratamento concomitante com </w:t>
      </w:r>
      <w:r w:rsidR="007D302E">
        <w:t>bevacizumab</w:t>
      </w:r>
      <w:r w:rsidR="007D302E" w:rsidRPr="007232E4">
        <w:t xml:space="preserve"> </w:t>
      </w:r>
      <w:r w:rsidRPr="007232E4">
        <w:t>e varfarina (NCI-CTCAE v.3).</w:t>
      </w:r>
    </w:p>
    <w:p w14:paraId="6936B8AB" w14:textId="77777777" w:rsidR="00400398" w:rsidRPr="007232E4" w:rsidRDefault="00400398"/>
    <w:p w14:paraId="73575973" w14:textId="77777777" w:rsidR="00400398" w:rsidRPr="001E05C2" w:rsidRDefault="00400398">
      <w:pPr>
        <w:keepNext/>
        <w:rPr>
          <w:u w:val="single"/>
        </w:rPr>
      </w:pPr>
      <w:r w:rsidRPr="001E05C2">
        <w:rPr>
          <w:u w:val="single"/>
        </w:rPr>
        <w:t>Hemorragia pulmonar/Hemoptise</w:t>
      </w:r>
    </w:p>
    <w:p w14:paraId="790F8F1A" w14:textId="77777777" w:rsidR="00400398" w:rsidRPr="007232E4" w:rsidRDefault="00400398">
      <w:pPr>
        <w:keepNext/>
      </w:pPr>
      <w:r w:rsidRPr="007232E4">
        <w:t xml:space="preserve">Doentes com cancro do pulmão de células não pequenas tratados com </w:t>
      </w:r>
      <w:r w:rsidR="007D302E">
        <w:t>bevacizumab</w:t>
      </w:r>
      <w:r w:rsidR="007D302E" w:rsidRPr="007232E4">
        <w:t xml:space="preserve"> </w:t>
      </w:r>
      <w:r w:rsidRPr="007232E4">
        <w:t xml:space="preserve">podem ter um risco aumentado de desenvolver hemorragia pulmonar/ hemoptise grave e em alguns casos fatal. Doentes com hemorragia pulmonar/ hemoptise (volume de sangue &gt; 2,5 ml) não devem ser tratados com </w:t>
      </w:r>
      <w:r w:rsidR="007D302E">
        <w:t>bevacizumab</w:t>
      </w:r>
      <w:r w:rsidRPr="007232E4">
        <w:t>.</w:t>
      </w:r>
    </w:p>
    <w:p w14:paraId="64F1E23D" w14:textId="77777777" w:rsidR="00400398" w:rsidRDefault="00400398"/>
    <w:p w14:paraId="2E811980" w14:textId="77777777" w:rsidR="0035751C" w:rsidRPr="001E05C2" w:rsidRDefault="0035751C">
      <w:pPr>
        <w:rPr>
          <w:u w:val="single"/>
        </w:rPr>
      </w:pPr>
      <w:r w:rsidRPr="001E05C2">
        <w:rPr>
          <w:u w:val="single"/>
        </w:rPr>
        <w:t xml:space="preserve">Aneurismas e dissecções </w:t>
      </w:r>
      <w:r w:rsidR="00987330" w:rsidRPr="001E05C2">
        <w:rPr>
          <w:u w:val="single"/>
        </w:rPr>
        <w:t>das artérias</w:t>
      </w:r>
    </w:p>
    <w:p w14:paraId="29BC0716" w14:textId="77777777" w:rsidR="004720B2" w:rsidRPr="004720B2" w:rsidRDefault="004720B2" w:rsidP="004720B2">
      <w:r w:rsidRPr="004720B2">
        <w:t xml:space="preserve">A utilização de inibidores do VEGF em doentes que sofram ou não de hipertensão arterial poderá </w:t>
      </w:r>
    </w:p>
    <w:p w14:paraId="2D68AAB0" w14:textId="77777777" w:rsidR="004720B2" w:rsidRPr="004720B2" w:rsidRDefault="004720B2" w:rsidP="004720B2">
      <w:r w:rsidRPr="004720B2">
        <w:t>promover a formação de aneurismas e/ou dissecções das artérias. Este risco deve ser cuidadosamente</w:t>
      </w:r>
      <w:r>
        <w:t xml:space="preserve"> </w:t>
      </w:r>
      <w:r w:rsidRPr="004720B2">
        <w:t xml:space="preserve">considerado em doentes com fatores de risco, como por exemplo hipertensão arterial ou historial de </w:t>
      </w:r>
    </w:p>
    <w:p w14:paraId="2368F7A8" w14:textId="77777777" w:rsidR="004720B2" w:rsidRDefault="004720B2" w:rsidP="004720B2">
      <w:r w:rsidRPr="004720B2">
        <w:t>aneurisma, antes de se iniciar a terap</w:t>
      </w:r>
      <w:r>
        <w:t xml:space="preserve">êutica com </w:t>
      </w:r>
      <w:r w:rsidR="007D302E">
        <w:t>Aybintio</w:t>
      </w:r>
      <w:r w:rsidRPr="004720B2">
        <w:t>.</w:t>
      </w:r>
    </w:p>
    <w:p w14:paraId="0CF1BA15" w14:textId="77777777" w:rsidR="0035751C" w:rsidRPr="007232E4" w:rsidRDefault="0035751C" w:rsidP="004720B2"/>
    <w:p w14:paraId="307C6722" w14:textId="77777777" w:rsidR="00D539A5" w:rsidRPr="001E05C2" w:rsidRDefault="00400398">
      <w:pPr>
        <w:keepNext/>
        <w:keepLines/>
        <w:rPr>
          <w:iCs/>
          <w:u w:val="single"/>
        </w:rPr>
      </w:pPr>
      <w:r w:rsidRPr="001E05C2">
        <w:rPr>
          <w:u w:val="single"/>
        </w:rPr>
        <w:t xml:space="preserve">Insuficiência cardíaca congestiva (ICC) </w:t>
      </w:r>
      <w:r w:rsidRPr="001E05C2">
        <w:rPr>
          <w:iCs/>
          <w:u w:val="single"/>
        </w:rPr>
        <w:t>(ver secção 4.8)</w:t>
      </w:r>
    </w:p>
    <w:p w14:paraId="2F8D6356" w14:textId="77777777" w:rsidR="00400398" w:rsidRPr="007232E4" w:rsidRDefault="00400398">
      <w:r w:rsidRPr="007232E4">
        <w:t>Em ensaios clínicos foram notificadas reações consistentes com ICC. As ocorrências variaram desde diminuição assintomática na fração de ejeção ventricular esquerda até ICC sintomática que necessitou de tratamento ou hospitalização. Deve ter</w:t>
      </w:r>
      <w:r w:rsidRPr="007232E4">
        <w:noBreakHyphen/>
        <w:t xml:space="preserve">se precaução ao tratar com </w:t>
      </w:r>
      <w:r w:rsidR="007D302E">
        <w:t>bevacizumab</w:t>
      </w:r>
      <w:r w:rsidR="007D302E" w:rsidRPr="007232E4">
        <w:t xml:space="preserve"> </w:t>
      </w:r>
      <w:r w:rsidRPr="007232E4">
        <w:t>doentes com patologia cardiovascular clinicamente significativa, tal como doença arterial coronária pré-existente ou insuficiência cardíaca congestiva.</w:t>
      </w:r>
    </w:p>
    <w:p w14:paraId="5E28A7DE" w14:textId="77777777" w:rsidR="00400398" w:rsidRPr="007232E4" w:rsidRDefault="00400398"/>
    <w:p w14:paraId="58BCD061" w14:textId="77777777" w:rsidR="00400398" w:rsidRPr="007232E4" w:rsidRDefault="00400398">
      <w:r w:rsidRPr="007232E4">
        <w:t xml:space="preserve">A maioria dos doentes que teve ICC tinha cancro da mama </w:t>
      </w:r>
      <w:r w:rsidRPr="007232E4">
        <w:rPr>
          <w:rFonts w:eastAsia="SimSun"/>
          <w:szCs w:val="22"/>
          <w:lang w:eastAsia="zh-CN"/>
        </w:rPr>
        <w:t>metastizado</w:t>
      </w:r>
      <w:r w:rsidRPr="007232E4">
        <w:t xml:space="preserve"> e tinha sido anteriormente tratada com antraciclinas, tinha feito radioterapia à parede torácica esquerda ou tinha outro fator de risco para a ICC.</w:t>
      </w:r>
    </w:p>
    <w:p w14:paraId="5E93062F" w14:textId="77777777" w:rsidR="00400398" w:rsidRPr="007232E4" w:rsidRDefault="00400398">
      <w:pPr>
        <w:tabs>
          <w:tab w:val="left" w:pos="4995"/>
        </w:tabs>
      </w:pPr>
    </w:p>
    <w:p w14:paraId="496116F6" w14:textId="77777777" w:rsidR="00400398" w:rsidRPr="007232E4" w:rsidRDefault="00400398">
      <w:bookmarkStart w:id="4" w:name="OLE_LINK15"/>
      <w:r w:rsidRPr="007232E4">
        <w:rPr>
          <w:rFonts w:eastAsia="SimSun"/>
          <w:bCs/>
          <w:iCs/>
          <w:lang w:eastAsia="zh-CN"/>
        </w:rPr>
        <w:t xml:space="preserve">Em doentes no ensaio AVF3694g que receberam tratamento com antraciclinas e que não tinham recebido antraciclinas anteriormente, não foi observada incidência aumentada de ICC de qualquer Grau no grupo bevacizumab + antraciclina comparativamente ao tratamento com antraciclinas apenas. Reações de ICC de Grau 3 ou superior foram de certa forma mais frequentes em doentes a receber </w:t>
      </w:r>
      <w:r w:rsidRPr="007232E4">
        <w:rPr>
          <w:rFonts w:eastAsia="SimSun"/>
          <w:bCs/>
          <w:iCs/>
          <w:lang w:eastAsia="zh-CN"/>
        </w:rPr>
        <w:lastRenderedPageBreak/>
        <w:t xml:space="preserve">bevacizumab em associação com quimioterapia do que em doentes a receber apenas quimioterapia. Tal facto é consistente com os resultados obtidos em doentes de outros estudos em cancro da mama metastizado que não receberam tratamento concomitante com antraciclinas </w:t>
      </w:r>
      <w:r w:rsidRPr="007232E4">
        <w:t>(NCI-CTCAE v.3) (ver secção 4.8)</w:t>
      </w:r>
      <w:r w:rsidRPr="007232E4">
        <w:rPr>
          <w:rFonts w:eastAsia="SimSun"/>
          <w:bCs/>
          <w:iCs/>
          <w:lang w:eastAsia="zh-CN"/>
        </w:rPr>
        <w:t>.</w:t>
      </w:r>
      <w:bookmarkEnd w:id="4"/>
    </w:p>
    <w:p w14:paraId="2CBAA5B3" w14:textId="77777777" w:rsidR="00400398" w:rsidRPr="007232E4" w:rsidRDefault="00400398"/>
    <w:p w14:paraId="0F737EB3" w14:textId="77777777" w:rsidR="00400398" w:rsidRPr="001E05C2" w:rsidRDefault="00400398">
      <w:pPr>
        <w:rPr>
          <w:iCs/>
          <w:u w:val="single"/>
        </w:rPr>
      </w:pPr>
      <w:r w:rsidRPr="001E05C2">
        <w:rPr>
          <w:u w:val="single"/>
        </w:rPr>
        <w:t>Neutropenia</w:t>
      </w:r>
      <w:r w:rsidRPr="001E05C2">
        <w:rPr>
          <w:iCs/>
          <w:u w:val="single"/>
        </w:rPr>
        <w:t xml:space="preserve"> </w:t>
      </w:r>
      <w:r w:rsidRPr="001E05C2">
        <w:rPr>
          <w:u w:val="single"/>
        </w:rPr>
        <w:t>e infeções</w:t>
      </w:r>
      <w:r w:rsidRPr="001E05C2">
        <w:rPr>
          <w:iCs/>
          <w:u w:val="single"/>
        </w:rPr>
        <w:t xml:space="preserve"> (ver secção 4.8)</w:t>
      </w:r>
    </w:p>
    <w:p w14:paraId="5CD0551E" w14:textId="77777777" w:rsidR="00400398" w:rsidRPr="007232E4" w:rsidRDefault="00400398">
      <w:pPr>
        <w:rPr>
          <w:bCs/>
        </w:rPr>
      </w:pPr>
      <w:r w:rsidRPr="007232E4">
        <w:t xml:space="preserve">Em doentes tratados com alguns regimes de quimioterapia mielotóxica mais </w:t>
      </w:r>
      <w:r w:rsidR="007D302E">
        <w:t>bevacizumab</w:t>
      </w:r>
      <w:r w:rsidR="007D302E" w:rsidRPr="007232E4">
        <w:t xml:space="preserve"> </w:t>
      </w:r>
      <w:r w:rsidRPr="007232E4">
        <w:t>observou</w:t>
      </w:r>
      <w:r w:rsidRPr="007232E4">
        <w:noBreakHyphen/>
        <w:t xml:space="preserve">se uma taxa aumentada de neutropenia grave, neutropenia febril ou infeção com ou sem neutropenia grave (incluindo alguns casos fatais), comparativamente com a observada com regimes contendo apenas quimioterapia. Tal foi observado principalmente no tratamento do </w:t>
      </w:r>
      <w:r w:rsidRPr="007232E4">
        <w:rPr>
          <w:bCs/>
        </w:rPr>
        <w:t>cancro do pulmão de células não pequenas e</w:t>
      </w:r>
      <w:r w:rsidRPr="007232E4">
        <w:t xml:space="preserve"> do cancro da mama </w:t>
      </w:r>
      <w:r w:rsidRPr="007232E4">
        <w:rPr>
          <w:rFonts w:eastAsia="SimSun"/>
          <w:szCs w:val="22"/>
          <w:lang w:eastAsia="zh-CN"/>
        </w:rPr>
        <w:t>metastizado</w:t>
      </w:r>
      <w:r w:rsidRPr="007232E4">
        <w:t xml:space="preserve">, em associação com </w:t>
      </w:r>
      <w:r w:rsidRPr="007232E4">
        <w:rPr>
          <w:bCs/>
        </w:rPr>
        <w:t>terapêuticas</w:t>
      </w:r>
      <w:r w:rsidRPr="007232E4">
        <w:rPr>
          <w:rFonts w:eastAsia="SimSun"/>
          <w:szCs w:val="22"/>
          <w:lang w:eastAsia="zh-CN"/>
        </w:rPr>
        <w:t xml:space="preserve"> contendo compostos de platina</w:t>
      </w:r>
      <w:r w:rsidRPr="007232E4">
        <w:rPr>
          <w:bCs/>
        </w:rPr>
        <w:t xml:space="preserve"> ou com taxanos</w:t>
      </w:r>
      <w:r>
        <w:rPr>
          <w:bCs/>
        </w:rPr>
        <w:t xml:space="preserve"> e no tratamento do cancro do colo do útero com doença persistente, recorrente ou metastizada em associação com paclitaxel e topotecano</w:t>
      </w:r>
      <w:r w:rsidRPr="007232E4">
        <w:rPr>
          <w:bCs/>
        </w:rPr>
        <w:t>.</w:t>
      </w:r>
    </w:p>
    <w:p w14:paraId="3F5E53AA" w14:textId="77777777" w:rsidR="00400398" w:rsidRPr="007232E4" w:rsidRDefault="00400398">
      <w:pPr>
        <w:rPr>
          <w:bCs/>
        </w:rPr>
      </w:pPr>
    </w:p>
    <w:p w14:paraId="20BC6C96" w14:textId="77777777" w:rsidR="00400398" w:rsidRPr="001E05C2" w:rsidRDefault="00400398">
      <w:pPr>
        <w:rPr>
          <w:iCs/>
          <w:u w:val="single"/>
        </w:rPr>
      </w:pPr>
      <w:r w:rsidRPr="001E05C2">
        <w:rPr>
          <w:u w:val="single"/>
        </w:rPr>
        <w:t>Reações de hipersensibilidade</w:t>
      </w:r>
      <w:r w:rsidR="00185520">
        <w:rPr>
          <w:u w:val="single"/>
        </w:rPr>
        <w:t xml:space="preserve"> </w:t>
      </w:r>
      <w:r w:rsidR="00185520" w:rsidRPr="00185520">
        <w:rPr>
          <w:u w:val="single"/>
        </w:rPr>
        <w:t>(incluindo choque anafilático)</w:t>
      </w:r>
      <w:r w:rsidRPr="001E05C2">
        <w:rPr>
          <w:u w:val="single"/>
        </w:rPr>
        <w:t xml:space="preserve">/reações à perfusão </w:t>
      </w:r>
      <w:r w:rsidRPr="001E05C2">
        <w:rPr>
          <w:iCs/>
          <w:u w:val="single"/>
        </w:rPr>
        <w:t>(ver secção 4.8)</w:t>
      </w:r>
    </w:p>
    <w:p w14:paraId="779E896F" w14:textId="77777777" w:rsidR="00400398" w:rsidRPr="007232E4" w:rsidRDefault="00400398">
      <w:pPr>
        <w:rPr>
          <w:szCs w:val="22"/>
        </w:rPr>
      </w:pPr>
      <w:r w:rsidRPr="007232E4">
        <w:rPr>
          <w:szCs w:val="22"/>
        </w:rPr>
        <w:t>Os doentes podem estar em risco de desenvolver reações de hipersensibilidade</w:t>
      </w:r>
      <w:r w:rsidR="00185520">
        <w:rPr>
          <w:szCs w:val="22"/>
        </w:rPr>
        <w:t xml:space="preserve"> </w:t>
      </w:r>
      <w:r w:rsidR="00185520" w:rsidRPr="00185520">
        <w:rPr>
          <w:szCs w:val="22"/>
        </w:rPr>
        <w:t>(incluindo choque anafilático)</w:t>
      </w:r>
      <w:r w:rsidRPr="007232E4">
        <w:rPr>
          <w:szCs w:val="22"/>
        </w:rPr>
        <w:t>/reações à perfusão. É recomendada uma monitorização contínua do doente durante e após a administração de bevacizumab, tal como esperado para a perfusão de qualquer terapêutica com um anticorpo monoclonal humanizado. Se ocorrer uma reação à perfusão, esta deverá ser interrompida e deverão ser administradas as terapêuticas medicamentosas apropriadas. Não é necessária pré</w:t>
      </w:r>
      <w:r w:rsidRPr="007232E4">
        <w:rPr>
          <w:szCs w:val="22"/>
        </w:rPr>
        <w:noBreakHyphen/>
        <w:t xml:space="preserve">medicação sistemática. </w:t>
      </w:r>
    </w:p>
    <w:p w14:paraId="180B6A74" w14:textId="77777777" w:rsidR="00400398" w:rsidRPr="007232E4" w:rsidRDefault="00400398">
      <w:pPr>
        <w:rPr>
          <w:szCs w:val="22"/>
        </w:rPr>
      </w:pPr>
    </w:p>
    <w:p w14:paraId="08FF92D3" w14:textId="77777777" w:rsidR="00400398" w:rsidRPr="001E05C2" w:rsidRDefault="00400398" w:rsidP="00014A0A">
      <w:pPr>
        <w:tabs>
          <w:tab w:val="left" w:pos="9356"/>
        </w:tabs>
        <w:autoSpaceDE w:val="0"/>
        <w:autoSpaceDN w:val="0"/>
        <w:adjustRightInd w:val="0"/>
        <w:ind w:right="-138"/>
        <w:rPr>
          <w:iCs/>
          <w:u w:val="single"/>
        </w:rPr>
      </w:pPr>
      <w:r w:rsidRPr="001E05C2">
        <w:rPr>
          <w:u w:val="single"/>
        </w:rPr>
        <w:t xml:space="preserve">Osteonecrose da mandíbula (ONM) </w:t>
      </w:r>
      <w:r w:rsidRPr="001E05C2">
        <w:rPr>
          <w:iCs/>
          <w:u w:val="single"/>
        </w:rPr>
        <w:t>(ver secção 4.8)</w:t>
      </w:r>
    </w:p>
    <w:p w14:paraId="4FB06259" w14:textId="77777777" w:rsidR="00400398" w:rsidRPr="007232E4" w:rsidRDefault="00400398">
      <w:pPr>
        <w:tabs>
          <w:tab w:val="left" w:pos="9356"/>
        </w:tabs>
        <w:autoSpaceDE w:val="0"/>
        <w:autoSpaceDN w:val="0"/>
        <w:adjustRightInd w:val="0"/>
        <w:ind w:right="-138"/>
        <w:rPr>
          <w:szCs w:val="22"/>
        </w:rPr>
      </w:pPr>
      <w:r w:rsidRPr="007232E4">
        <w:rPr>
          <w:rFonts w:cs="Arial"/>
          <w:szCs w:val="22"/>
        </w:rPr>
        <w:t xml:space="preserve">Foram notificados casos de </w:t>
      </w:r>
      <w:r w:rsidRPr="007232E4">
        <w:rPr>
          <w:szCs w:val="22"/>
        </w:rPr>
        <w:t xml:space="preserve">osteonecrose da mandíbula (ONM) em doentes oncológicos tratados com </w:t>
      </w:r>
      <w:r w:rsidR="007D302E">
        <w:rPr>
          <w:szCs w:val="22"/>
        </w:rPr>
        <w:t>bevacizumab</w:t>
      </w:r>
      <w:r w:rsidRPr="007232E4">
        <w:rPr>
          <w:szCs w:val="22"/>
        </w:rPr>
        <w:t>, a maioria dos quais tinha recebido tratamento intravenoso prévio ou concomitante com bifosfonatos, para o qual a ONM é um risco identificado. Deve ter</w:t>
      </w:r>
      <w:r w:rsidRPr="007232E4">
        <w:rPr>
          <w:szCs w:val="22"/>
        </w:rPr>
        <w:noBreakHyphen/>
        <w:t xml:space="preserve">se precaução quando </w:t>
      </w:r>
      <w:r w:rsidR="007D302E">
        <w:rPr>
          <w:szCs w:val="22"/>
        </w:rPr>
        <w:t>bevacizumab</w:t>
      </w:r>
      <w:r w:rsidR="007D302E" w:rsidRPr="007232E4">
        <w:rPr>
          <w:szCs w:val="22"/>
        </w:rPr>
        <w:t xml:space="preserve"> </w:t>
      </w:r>
      <w:r w:rsidRPr="007232E4">
        <w:rPr>
          <w:szCs w:val="22"/>
        </w:rPr>
        <w:t>e bifosfonatos intravenosos são administrados simultaneamente ou sequencialmente.</w:t>
      </w:r>
    </w:p>
    <w:p w14:paraId="3CB9C4ED" w14:textId="77777777" w:rsidR="007D302E" w:rsidRDefault="00400398">
      <w:pPr>
        <w:tabs>
          <w:tab w:val="left" w:pos="9356"/>
        </w:tabs>
        <w:autoSpaceDE w:val="0"/>
        <w:autoSpaceDN w:val="0"/>
        <w:adjustRightInd w:val="0"/>
        <w:ind w:right="-138"/>
        <w:rPr>
          <w:szCs w:val="22"/>
        </w:rPr>
      </w:pPr>
      <w:r w:rsidRPr="007232E4">
        <w:rPr>
          <w:szCs w:val="22"/>
        </w:rPr>
        <w:t>Procedimentos dentários invasivos são também um fator de risco identificado.</w:t>
      </w:r>
    </w:p>
    <w:p w14:paraId="3DC494B6" w14:textId="77777777" w:rsidR="007D302E" w:rsidRDefault="007D302E">
      <w:pPr>
        <w:tabs>
          <w:tab w:val="left" w:pos="9356"/>
        </w:tabs>
        <w:autoSpaceDE w:val="0"/>
        <w:autoSpaceDN w:val="0"/>
        <w:adjustRightInd w:val="0"/>
        <w:ind w:right="-138"/>
        <w:rPr>
          <w:szCs w:val="22"/>
        </w:rPr>
      </w:pPr>
    </w:p>
    <w:p w14:paraId="3989D113" w14:textId="77777777" w:rsidR="00400398" w:rsidRPr="007232E4" w:rsidRDefault="00400398">
      <w:pPr>
        <w:tabs>
          <w:tab w:val="left" w:pos="9356"/>
        </w:tabs>
        <w:autoSpaceDE w:val="0"/>
        <w:autoSpaceDN w:val="0"/>
        <w:adjustRightInd w:val="0"/>
        <w:ind w:right="-138"/>
        <w:rPr>
          <w:szCs w:val="22"/>
        </w:rPr>
      </w:pPr>
      <w:r w:rsidRPr="007232E4">
        <w:rPr>
          <w:szCs w:val="22"/>
        </w:rPr>
        <w:t>Deve considerar</w:t>
      </w:r>
      <w:r w:rsidRPr="007232E4">
        <w:rPr>
          <w:szCs w:val="22"/>
        </w:rPr>
        <w:noBreakHyphen/>
        <w:t xml:space="preserve">se a realização de um exame dentário e acompanhamento dentário preventivo apropriado antes iniciar tratamento com </w:t>
      </w:r>
      <w:r w:rsidR="007D302E">
        <w:t>Aybintio</w:t>
      </w:r>
      <w:r w:rsidRPr="007232E4">
        <w:rPr>
          <w:szCs w:val="22"/>
        </w:rPr>
        <w:t>. Se possível devem ser evitados procedimentos dentários invasivos em doentes que receberam anteriormente ou que estão a receber bifosfonatos intravenosos.</w:t>
      </w:r>
    </w:p>
    <w:p w14:paraId="7726A043" w14:textId="77777777" w:rsidR="00400398" w:rsidRPr="007232E4" w:rsidRDefault="00400398"/>
    <w:p w14:paraId="1FDF2CCB" w14:textId="77777777" w:rsidR="00400398" w:rsidRPr="001E05C2" w:rsidRDefault="00400398" w:rsidP="00A63CE3">
      <w:pPr>
        <w:rPr>
          <w:iCs/>
          <w:u w:val="single"/>
        </w:rPr>
      </w:pPr>
      <w:r w:rsidRPr="001E05C2">
        <w:rPr>
          <w:u w:val="single"/>
        </w:rPr>
        <w:t>Utilização intravítrea</w:t>
      </w:r>
    </w:p>
    <w:p w14:paraId="4FC6245D" w14:textId="77777777" w:rsidR="00400398" w:rsidRPr="007232E4" w:rsidRDefault="007D302E" w:rsidP="00A63CE3">
      <w:pPr>
        <w:rPr>
          <w:i/>
        </w:rPr>
      </w:pPr>
      <w:r>
        <w:t>Aybintio</w:t>
      </w:r>
      <w:r w:rsidR="00400398" w:rsidRPr="007232E4">
        <w:t xml:space="preserve"> não é formulado para utilização intravítrea.</w:t>
      </w:r>
    </w:p>
    <w:p w14:paraId="7F6DDB99" w14:textId="77777777" w:rsidR="00400398" w:rsidRPr="007232E4" w:rsidRDefault="00400398">
      <w:pPr>
        <w:rPr>
          <w:i/>
        </w:rPr>
      </w:pPr>
    </w:p>
    <w:p w14:paraId="348E784A" w14:textId="77777777" w:rsidR="00400398" w:rsidRPr="001E05C2" w:rsidRDefault="00400398" w:rsidP="00F049B1">
      <w:pPr>
        <w:keepNext/>
        <w:keepLines/>
        <w:rPr>
          <w:u w:val="single"/>
        </w:rPr>
      </w:pPr>
      <w:r w:rsidRPr="001E05C2">
        <w:rPr>
          <w:u w:val="single"/>
        </w:rPr>
        <w:t>Afeções oculares</w:t>
      </w:r>
    </w:p>
    <w:p w14:paraId="58A98486" w14:textId="77777777" w:rsidR="00400398" w:rsidRPr="007232E4" w:rsidRDefault="00400398">
      <w:r w:rsidRPr="007232E4">
        <w:t xml:space="preserve">Foram notificados casos individuais e conjuntos de reações adversas oculares graves após a utilização intravítrea não aprovada de </w:t>
      </w:r>
      <w:r w:rsidR="007D302E">
        <w:t>bevacizumab</w:t>
      </w:r>
      <w:r w:rsidR="007D302E" w:rsidRPr="007232E4">
        <w:t xml:space="preserve"> </w:t>
      </w:r>
      <w:r w:rsidRPr="007232E4">
        <w:t>manipulado a partir de frascos para injetáveis aprovados para administração intravenosa em doentes oncológicos. Estas reações incluíram endoftalmite infeciosa, inflamação intraocular tal como endoftalmite estéril, uveíte e vitrite, descolamento da retina, rutura epitelial da pigmentação da retina, pressão intraocular aumentada, hemorragia intraocular tal como hemorragia no vítreo ou hemorragia retiniana e hemorragia da conjuntiva. Algumas destas reações resultaram em perda de visão de vários Graus, incluindo cegueira permanente.</w:t>
      </w:r>
    </w:p>
    <w:p w14:paraId="7A4DFA1E" w14:textId="77777777" w:rsidR="00400398" w:rsidRPr="007232E4" w:rsidRDefault="00400398"/>
    <w:p w14:paraId="1C815141" w14:textId="77777777" w:rsidR="00400398" w:rsidRPr="001E05C2" w:rsidRDefault="00400398" w:rsidP="00A63CE3">
      <w:pPr>
        <w:rPr>
          <w:u w:val="single"/>
        </w:rPr>
      </w:pPr>
      <w:r w:rsidRPr="001E05C2">
        <w:rPr>
          <w:u w:val="single"/>
        </w:rPr>
        <w:t>Efeitos sistémicos após utilização intravítrea</w:t>
      </w:r>
    </w:p>
    <w:p w14:paraId="2816E3EF" w14:textId="77777777" w:rsidR="00400398" w:rsidRPr="007232E4" w:rsidRDefault="00400398" w:rsidP="00A63CE3">
      <w:r w:rsidRPr="007232E4">
        <w:t>Foi demonstrada uma diminuição da concentração do VEGF circulante após terapêutica anti-VEGF intravítrea. Foram notificadas reações adversas sistémicas após injeção intravítrea de inibidores do VEGF, incluindo hemorragias não oculares e reações tromboembólicas arteriais.</w:t>
      </w:r>
    </w:p>
    <w:p w14:paraId="11331FF1" w14:textId="77777777" w:rsidR="00400398" w:rsidRPr="007232E4" w:rsidRDefault="00400398" w:rsidP="00A60B6E"/>
    <w:p w14:paraId="715D2B67" w14:textId="77777777" w:rsidR="00400398" w:rsidRPr="001E05C2" w:rsidRDefault="00400398" w:rsidP="009A236A">
      <w:pPr>
        <w:keepNext/>
        <w:keepLines/>
        <w:rPr>
          <w:u w:val="single"/>
        </w:rPr>
      </w:pPr>
      <w:r w:rsidRPr="001E05C2">
        <w:rPr>
          <w:u w:val="single"/>
        </w:rPr>
        <w:t>Insuficiência ovárica/ fertilidade</w:t>
      </w:r>
    </w:p>
    <w:p w14:paraId="1E56F9DE" w14:textId="77777777" w:rsidR="00400398" w:rsidRPr="007232E4" w:rsidRDefault="000B28D5">
      <w:r>
        <w:t xml:space="preserve">O bevacizumab </w:t>
      </w:r>
      <w:r w:rsidR="00400398" w:rsidRPr="007232E4">
        <w:t xml:space="preserve">pode comprometer a fertilidade feminina (ver secção 4.6 e 4.8). Por esse motivo, estratégias de preservação da fertilidade devem ser discutidas com as mulheres com potencial para engravidar antes do início do tratamento com </w:t>
      </w:r>
      <w:r>
        <w:t>bevacizumab</w:t>
      </w:r>
      <w:r w:rsidR="00400398" w:rsidRPr="007232E4">
        <w:t xml:space="preserve">. </w:t>
      </w:r>
    </w:p>
    <w:p w14:paraId="09BC7F69" w14:textId="77777777" w:rsidR="00066027" w:rsidRDefault="00066027" w:rsidP="00066027"/>
    <w:p w14:paraId="5B5CEA5B" w14:textId="77777777" w:rsidR="00096F93" w:rsidRPr="00845F46" w:rsidRDefault="00096F93" w:rsidP="00096F93">
      <w:pPr>
        <w:rPr>
          <w:iCs/>
          <w:u w:val="single"/>
        </w:rPr>
      </w:pPr>
      <w:r w:rsidRPr="00845F46">
        <w:rPr>
          <w:iCs/>
          <w:u w:val="single"/>
        </w:rPr>
        <w:t>Excipientes</w:t>
      </w:r>
    </w:p>
    <w:p w14:paraId="3D53C852" w14:textId="77777777" w:rsidR="00066027" w:rsidRDefault="00066027" w:rsidP="00066027">
      <w:r>
        <w:lastRenderedPageBreak/>
        <w:t>Este medicamento contém menos do que 1 mmol (23 mg) de sódio por frasco para injetáveis ou seja, é praticamente “isento de sódio”.</w:t>
      </w:r>
    </w:p>
    <w:p w14:paraId="5238CEB3" w14:textId="77777777" w:rsidR="00665D08" w:rsidRDefault="00665D08" w:rsidP="00066027"/>
    <w:p w14:paraId="0C4F867A" w14:textId="41CB5530" w:rsidR="00096F93" w:rsidRDefault="00096F93" w:rsidP="00066027">
      <w:r>
        <w:t>Este medicamento contém 1,6 </w:t>
      </w:r>
      <w:r w:rsidRPr="008159B7">
        <w:t>mg de polissorbato</w:t>
      </w:r>
      <w:r>
        <w:t> 20</w:t>
      </w:r>
      <w:r w:rsidRPr="008159B7">
        <w:t xml:space="preserve"> em cada </w:t>
      </w:r>
      <w:r>
        <w:t xml:space="preserve">frasco para injetáveis de 100 mg/4 ml e </w:t>
      </w:r>
      <w:r>
        <w:rPr>
          <w:lang w:eastAsia="en-US"/>
        </w:rPr>
        <w:t>6,</w:t>
      </w:r>
      <w:r w:rsidRPr="000E4C7B">
        <w:rPr>
          <w:lang w:eastAsia="en-US"/>
        </w:rPr>
        <w:t xml:space="preserve">4 mg </w:t>
      </w:r>
      <w:r w:rsidRPr="008159B7">
        <w:t xml:space="preserve">em cada </w:t>
      </w:r>
      <w:r>
        <w:t>frasco para injetáveis de</w:t>
      </w:r>
      <w:r w:rsidRPr="000E4C7B">
        <w:rPr>
          <w:lang w:eastAsia="en-US"/>
        </w:rPr>
        <w:t xml:space="preserve"> 400 mg/16 ml</w:t>
      </w:r>
      <w:r>
        <w:t>, o que</w:t>
      </w:r>
      <w:r w:rsidRPr="008159B7">
        <w:t xml:space="preserve"> equivale a </w:t>
      </w:r>
      <w:r>
        <w:t>0,4 </w:t>
      </w:r>
      <w:r w:rsidRPr="008159B7">
        <w:t>mg/</w:t>
      </w:r>
      <w:r>
        <w:t>ml</w:t>
      </w:r>
      <w:r w:rsidRPr="008159B7">
        <w:t>. Os polissorbatos podem causar reações alérgicas.</w:t>
      </w:r>
    </w:p>
    <w:p w14:paraId="5F571AFE" w14:textId="77777777" w:rsidR="00096F93" w:rsidRDefault="00096F93" w:rsidP="00066027"/>
    <w:p w14:paraId="685E8BDB" w14:textId="77777777" w:rsidR="00400398" w:rsidRPr="007232E4" w:rsidRDefault="00400398" w:rsidP="001E05C2">
      <w:pPr>
        <w:keepNext/>
        <w:outlineLvl w:val="0"/>
      </w:pPr>
      <w:r w:rsidRPr="007232E4">
        <w:rPr>
          <w:b/>
        </w:rPr>
        <w:t>4.5</w:t>
      </w:r>
      <w:r w:rsidRPr="007232E4">
        <w:rPr>
          <w:b/>
        </w:rPr>
        <w:tab/>
        <w:t>Interações medicamentosas e outras formas de interação</w:t>
      </w:r>
    </w:p>
    <w:p w14:paraId="0E2840CE" w14:textId="77777777" w:rsidR="00400398" w:rsidRPr="007232E4" w:rsidRDefault="00400398" w:rsidP="001E05C2">
      <w:pPr>
        <w:keepNext/>
      </w:pPr>
    </w:p>
    <w:p w14:paraId="394AD60F" w14:textId="77777777" w:rsidR="00400398" w:rsidRPr="001E05C2" w:rsidRDefault="00400398">
      <w:pPr>
        <w:rPr>
          <w:u w:val="single"/>
        </w:rPr>
      </w:pPr>
      <w:r w:rsidRPr="001E05C2">
        <w:rPr>
          <w:u w:val="single"/>
        </w:rPr>
        <w:t>Efeito de fármacos antineoplásicos na farmacocinética do bevacizumab</w:t>
      </w:r>
    </w:p>
    <w:p w14:paraId="0702D246" w14:textId="77777777" w:rsidR="00400398" w:rsidRPr="007232E4" w:rsidRDefault="00400398">
      <w:r w:rsidRPr="007232E4">
        <w:t xml:space="preserve">Com base nos resultados da análise farmacocinética populacional, não </w:t>
      </w:r>
      <w:r w:rsidR="009D6176">
        <w:t>foram</w:t>
      </w:r>
      <w:r w:rsidR="009D6176" w:rsidRPr="007232E4">
        <w:t xml:space="preserve"> </w:t>
      </w:r>
      <w:r w:rsidRPr="007232E4">
        <w:t>observa</w:t>
      </w:r>
      <w:r w:rsidR="009D6176">
        <w:t>das</w:t>
      </w:r>
      <w:r w:rsidRPr="007232E4">
        <w:t xml:space="preserve">interações clinicamente relevantes para a farmacocinética de </w:t>
      </w:r>
      <w:r w:rsidR="009D6176">
        <w:t>bevacizumab</w:t>
      </w:r>
      <w:r w:rsidRPr="007232E4">
        <w:t>, decorrentes da coadministração com quimioterapia. Não houve diferença</w:t>
      </w:r>
      <w:r w:rsidR="001C420C">
        <w:t>s</w:t>
      </w:r>
      <w:r w:rsidRPr="007232E4">
        <w:t xml:space="preserve"> estatisticamente significativa</w:t>
      </w:r>
      <w:r w:rsidR="001C420C">
        <w:t>s</w:t>
      </w:r>
      <w:r w:rsidRPr="007232E4">
        <w:t xml:space="preserve"> ou clinicamente relevante</w:t>
      </w:r>
      <w:r w:rsidR="001C420C">
        <w:t>s</w:t>
      </w:r>
      <w:r w:rsidRPr="007232E4">
        <w:t xml:space="preserve"> na depuração de </w:t>
      </w:r>
      <w:r w:rsidR="001C420C">
        <w:t>bevacizumab</w:t>
      </w:r>
      <w:r w:rsidR="001C420C" w:rsidRPr="007232E4">
        <w:t xml:space="preserve"> </w:t>
      </w:r>
      <w:r w:rsidRPr="007232E4">
        <w:t xml:space="preserve">em doentes tratados com </w:t>
      </w:r>
      <w:r w:rsidR="000B28D5">
        <w:t>bevacizumab</w:t>
      </w:r>
      <w:r w:rsidR="000B28D5" w:rsidRPr="007232E4">
        <w:t xml:space="preserve"> </w:t>
      </w:r>
      <w:r w:rsidRPr="007232E4">
        <w:t xml:space="preserve">em monoterapia comparativamente a doentes tratados com </w:t>
      </w:r>
      <w:r w:rsidR="000B28D5">
        <w:t>bevacizumab</w:t>
      </w:r>
      <w:r w:rsidR="000B28D5" w:rsidRPr="007232E4">
        <w:t xml:space="preserve"> </w:t>
      </w:r>
      <w:r w:rsidRPr="007232E4">
        <w:t xml:space="preserve">em associação com </w:t>
      </w:r>
      <w:r w:rsidR="00DE3F64">
        <w:t>i</w:t>
      </w:r>
      <w:r w:rsidRPr="007232E4">
        <w:t>nterferão alfa-2</w:t>
      </w:r>
      <w:r w:rsidR="00615C29">
        <w:t>a</w:t>
      </w:r>
      <w:r w:rsidR="001C420C">
        <w:t>, erlotinib</w:t>
      </w:r>
      <w:r w:rsidRPr="007232E4">
        <w:t xml:space="preserve"> ou quimioterapias (</w:t>
      </w:r>
      <w:r w:rsidRPr="007232E4">
        <w:rPr>
          <w:rFonts w:eastAsia="PMingLiU" w:cs="Arial"/>
          <w:szCs w:val="22"/>
          <w:lang w:eastAsia="zh-CN" w:bidi="th-TH"/>
        </w:rPr>
        <w:t>IFL, 5-FU/LV, carboplatina/paclitaxel, capecitabina doxorrubicina ou cisplatina/gemcitabina).</w:t>
      </w:r>
    </w:p>
    <w:p w14:paraId="12496C39" w14:textId="77777777" w:rsidR="00400398" w:rsidRPr="007232E4" w:rsidRDefault="00400398"/>
    <w:p w14:paraId="25C9814E" w14:textId="77777777" w:rsidR="00400398" w:rsidRPr="001E05C2" w:rsidRDefault="00400398" w:rsidP="00A73A88">
      <w:pPr>
        <w:keepNext/>
        <w:keepLines/>
        <w:rPr>
          <w:u w:val="single"/>
        </w:rPr>
      </w:pPr>
      <w:r w:rsidRPr="001E05C2">
        <w:rPr>
          <w:u w:val="single"/>
        </w:rPr>
        <w:t>Efeito do bevacizumab na farmacocinética de outros fármacos antineoplásicos</w:t>
      </w:r>
    </w:p>
    <w:p w14:paraId="3E724276" w14:textId="77777777" w:rsidR="00400398" w:rsidRDefault="004E0120">
      <w:r>
        <w:t>Não foi observada interação clinicamente relevante de bevacizumab na farmacocinética de interferão alfa</w:t>
      </w:r>
      <w:r w:rsidR="004B072E">
        <w:t>-</w:t>
      </w:r>
      <w:r>
        <w:t>2</w:t>
      </w:r>
      <w:r w:rsidR="004B072E">
        <w:t>a</w:t>
      </w:r>
      <w:r>
        <w:t xml:space="preserve">, erlotinib (e o seu metabolito ativo OSI-420), ou </w:t>
      </w:r>
      <w:r w:rsidR="00A22A99">
        <w:t>d</w:t>
      </w:r>
      <w:r>
        <w:t>as quimioterapias irinotecano (e o seu metabolito ativo SN38), capecitabina, oxaliplatina (determinado pela medição de platina livre e total) e cisplatina</w:t>
      </w:r>
      <w:r w:rsidR="00A30DA5">
        <w:t>,</w:t>
      </w:r>
      <w:r w:rsidR="009D07C2">
        <w:t xml:space="preserve"> </w:t>
      </w:r>
      <w:r w:rsidR="001947DD">
        <w:t xml:space="preserve">quando </w:t>
      </w:r>
      <w:r w:rsidR="009D07C2">
        <w:t>coadministrados</w:t>
      </w:r>
      <w:r>
        <w:t xml:space="preserve">. Não </w:t>
      </w:r>
      <w:r w:rsidR="009D07C2">
        <w:t>podem ser</w:t>
      </w:r>
      <w:r>
        <w:t xml:space="preserve"> </w:t>
      </w:r>
      <w:r w:rsidR="002F775D">
        <w:t xml:space="preserve">tiradas conclusões </w:t>
      </w:r>
      <w:r w:rsidR="009D07C2">
        <w:t>acerca</w:t>
      </w:r>
      <w:r w:rsidR="003B10EC">
        <w:t xml:space="preserve"> do</w:t>
      </w:r>
      <w:r w:rsidR="002F775D">
        <w:t xml:space="preserve"> i</w:t>
      </w:r>
      <w:r w:rsidR="009D07C2">
        <w:t>m</w:t>
      </w:r>
      <w:r w:rsidR="002F775D">
        <w:t xml:space="preserve">pacto de bevacizumab </w:t>
      </w:r>
      <w:r w:rsidR="009D07C2">
        <w:t>na</w:t>
      </w:r>
      <w:r w:rsidR="002F775D">
        <w:t xml:space="preserve"> </w:t>
      </w:r>
      <w:r w:rsidR="00875438">
        <w:t xml:space="preserve">farmacocinética da </w:t>
      </w:r>
      <w:r w:rsidR="002F775D">
        <w:t>gemcitabina.</w:t>
      </w:r>
    </w:p>
    <w:p w14:paraId="406C7A64" w14:textId="77777777" w:rsidR="00512BAA" w:rsidRPr="007232E4" w:rsidRDefault="00512BAA"/>
    <w:p w14:paraId="1CA019C9" w14:textId="77777777" w:rsidR="00400398" w:rsidRPr="001E05C2" w:rsidRDefault="00400398">
      <w:pPr>
        <w:keepNext/>
        <w:rPr>
          <w:u w:val="single"/>
        </w:rPr>
      </w:pPr>
      <w:r w:rsidRPr="001E05C2">
        <w:rPr>
          <w:u w:val="single"/>
        </w:rPr>
        <w:t>Associação de bevacizumab e malato de sunitinib</w:t>
      </w:r>
    </w:p>
    <w:p w14:paraId="4509E420" w14:textId="77777777" w:rsidR="00400398" w:rsidRPr="007232E4" w:rsidRDefault="00400398">
      <w:pPr>
        <w:rPr>
          <w:szCs w:val="22"/>
        </w:rPr>
      </w:pPr>
      <w:r w:rsidRPr="007232E4">
        <w:rPr>
          <w:szCs w:val="22"/>
        </w:rPr>
        <w:t xml:space="preserve">Em dois </w:t>
      </w:r>
      <w:r w:rsidRPr="007232E4">
        <w:t>ensaios</w:t>
      </w:r>
      <w:r w:rsidRPr="007232E4">
        <w:rPr>
          <w:szCs w:val="22"/>
        </w:rPr>
        <w:t xml:space="preserve"> clínicos no carcinoma de células renais metastizado foi notificada anemia hemolítica microangiopática (MAHA), em 7 de 19 doentes tratados com a associação de bevacizumab (10 mg/kg cada duas semanas) e malato de sunitinib (50 mg uma vez por dia).</w:t>
      </w:r>
    </w:p>
    <w:p w14:paraId="27816AA1" w14:textId="77777777" w:rsidR="00400398" w:rsidRPr="007232E4" w:rsidRDefault="00400398">
      <w:pPr>
        <w:rPr>
          <w:szCs w:val="22"/>
        </w:rPr>
      </w:pPr>
    </w:p>
    <w:p w14:paraId="2AE47583" w14:textId="77777777" w:rsidR="00400398" w:rsidRPr="007232E4" w:rsidRDefault="00400398">
      <w:pPr>
        <w:rPr>
          <w:szCs w:val="22"/>
        </w:rPr>
      </w:pPr>
      <w:r w:rsidRPr="007232E4">
        <w:rPr>
          <w:szCs w:val="22"/>
        </w:rPr>
        <w:t xml:space="preserve">A MAHA é uma alteração hemolítica que pode apresentar-se com fragmentação de glóbulos vermelhos, anemia e trombocitopenia. Adicionalmente, foi observada em alguns destes doentes hipertensão (incluindo crise hipertensiva), aumento nos níveis de creatinina e sintomas neurológicos. Todos estes efeitos foram reversíveis após a descontinuação do bevacizumab e malato de sunitinib (ver </w:t>
      </w:r>
      <w:r w:rsidRPr="007232E4">
        <w:rPr>
          <w:i/>
          <w:szCs w:val="22"/>
        </w:rPr>
        <w:t>Hipertensão</w:t>
      </w:r>
      <w:r w:rsidRPr="007232E4">
        <w:rPr>
          <w:szCs w:val="22"/>
        </w:rPr>
        <w:t>,</w:t>
      </w:r>
      <w:r w:rsidRPr="007232E4">
        <w:rPr>
          <w:i/>
          <w:szCs w:val="22"/>
        </w:rPr>
        <w:t xml:space="preserve"> Proteinúria</w:t>
      </w:r>
      <w:r w:rsidRPr="007232E4">
        <w:rPr>
          <w:szCs w:val="22"/>
        </w:rPr>
        <w:t>,</w:t>
      </w:r>
      <w:r w:rsidRPr="007232E4">
        <w:rPr>
          <w:i/>
          <w:szCs w:val="22"/>
        </w:rPr>
        <w:t xml:space="preserve"> </w:t>
      </w:r>
      <w:r w:rsidRPr="007232E4">
        <w:rPr>
          <w:i/>
        </w:rPr>
        <w:t>SEPR</w:t>
      </w:r>
      <w:r w:rsidRPr="007232E4">
        <w:rPr>
          <w:szCs w:val="22"/>
        </w:rPr>
        <w:t>, na secção 4.4).</w:t>
      </w:r>
    </w:p>
    <w:p w14:paraId="197CDFF5" w14:textId="77777777" w:rsidR="00400398" w:rsidRPr="007232E4" w:rsidRDefault="00400398">
      <w:pPr>
        <w:rPr>
          <w:b/>
          <w:szCs w:val="22"/>
        </w:rPr>
      </w:pPr>
    </w:p>
    <w:p w14:paraId="66A88AC6" w14:textId="77777777" w:rsidR="00400398" w:rsidRPr="001E05C2" w:rsidRDefault="00400398" w:rsidP="004353F4">
      <w:pPr>
        <w:keepNext/>
        <w:keepLines/>
        <w:rPr>
          <w:u w:val="single"/>
        </w:rPr>
      </w:pPr>
      <w:r w:rsidRPr="001E05C2">
        <w:rPr>
          <w:u w:val="single"/>
        </w:rPr>
        <w:t xml:space="preserve">Associação com terapêuticas baseadas em </w:t>
      </w:r>
      <w:r w:rsidRPr="001E05C2">
        <w:rPr>
          <w:rFonts w:eastAsia="SimSun"/>
          <w:szCs w:val="22"/>
          <w:u w:val="single"/>
          <w:lang w:eastAsia="zh-CN"/>
        </w:rPr>
        <w:t>compostos de platina</w:t>
      </w:r>
      <w:r w:rsidRPr="001E05C2">
        <w:rPr>
          <w:bCs/>
          <w:u w:val="single"/>
        </w:rPr>
        <w:t xml:space="preserve"> ou em taxanos</w:t>
      </w:r>
      <w:r w:rsidRPr="001E05C2">
        <w:rPr>
          <w:bCs/>
          <w:iCs/>
          <w:u w:val="single"/>
        </w:rPr>
        <w:t xml:space="preserve"> </w:t>
      </w:r>
      <w:r w:rsidRPr="001E05C2">
        <w:rPr>
          <w:u w:val="single"/>
        </w:rPr>
        <w:t>(ver secções 4.4 e 4.8)</w:t>
      </w:r>
    </w:p>
    <w:p w14:paraId="6AE0C6C9" w14:textId="77777777" w:rsidR="00400398" w:rsidRPr="007232E4" w:rsidRDefault="00400398" w:rsidP="004353F4">
      <w:pPr>
        <w:keepNext/>
        <w:keepLines/>
      </w:pPr>
      <w:r w:rsidRPr="007232E4">
        <w:t xml:space="preserve">Foram observadas taxas aumentadas de neutropenia grave, neutropenia febril, ou infeção com ou sem neutropenia grave (incluindo algumas mortes) principalmente em doentes com CPCNP e CMm tratados com terapêuticas baseadas em </w:t>
      </w:r>
      <w:r w:rsidRPr="007232E4">
        <w:rPr>
          <w:rFonts w:eastAsia="SimSun"/>
          <w:szCs w:val="22"/>
          <w:lang w:eastAsia="zh-CN"/>
        </w:rPr>
        <w:t>compostos de platina</w:t>
      </w:r>
      <w:r w:rsidRPr="007232E4">
        <w:rPr>
          <w:bCs/>
        </w:rPr>
        <w:t xml:space="preserve"> ou em taxanos</w:t>
      </w:r>
      <w:r w:rsidRPr="007232E4">
        <w:t>.</w:t>
      </w:r>
    </w:p>
    <w:p w14:paraId="4C370CB2" w14:textId="77777777" w:rsidR="00400398" w:rsidRPr="007232E4" w:rsidRDefault="00400398"/>
    <w:p w14:paraId="76EEF648" w14:textId="77777777" w:rsidR="00400398" w:rsidRPr="001E05C2" w:rsidRDefault="00400398">
      <w:pPr>
        <w:rPr>
          <w:bCs/>
          <w:iCs/>
          <w:u w:val="single"/>
        </w:rPr>
      </w:pPr>
      <w:r w:rsidRPr="001E05C2">
        <w:rPr>
          <w:bCs/>
          <w:iCs/>
          <w:u w:val="single"/>
        </w:rPr>
        <w:t>Radioterapia</w:t>
      </w:r>
    </w:p>
    <w:p w14:paraId="486B1E65" w14:textId="77777777" w:rsidR="00400398" w:rsidRPr="007232E4" w:rsidRDefault="00400398">
      <w:r w:rsidRPr="007232E4">
        <w:t xml:space="preserve">A segurança e a eficácia da administração concomitante de radioterapia e </w:t>
      </w:r>
      <w:r w:rsidR="000B28D5">
        <w:t>bevacizumab</w:t>
      </w:r>
      <w:r w:rsidR="000B28D5" w:rsidRPr="007232E4">
        <w:t xml:space="preserve"> </w:t>
      </w:r>
      <w:r w:rsidRPr="007232E4">
        <w:t>não foram estabelecidas.</w:t>
      </w:r>
    </w:p>
    <w:p w14:paraId="5079D471" w14:textId="77777777" w:rsidR="00400398" w:rsidRPr="007232E4" w:rsidRDefault="00400398"/>
    <w:p w14:paraId="6CD7E564" w14:textId="77777777" w:rsidR="00400398" w:rsidRPr="001E05C2" w:rsidRDefault="00400398" w:rsidP="009A236A">
      <w:pPr>
        <w:keepNext/>
        <w:keepLines/>
        <w:rPr>
          <w:u w:val="single"/>
        </w:rPr>
      </w:pPr>
      <w:r w:rsidRPr="001E05C2">
        <w:rPr>
          <w:u w:val="single"/>
        </w:rPr>
        <w:t>Anticorpos monoclonais EGFR em associação com regimes de quimioterapia com bevacizumab</w:t>
      </w:r>
    </w:p>
    <w:p w14:paraId="31880E36" w14:textId="77777777" w:rsidR="00400398" w:rsidRPr="007232E4" w:rsidRDefault="00400398" w:rsidP="00270AF0">
      <w:r w:rsidRPr="007232E4">
        <w:t xml:space="preserve">Não foram realizados estudos de interação. Os anticorpos monoclonais EGFR não devem ser administrados para o tratamento do carcinoma metastizado do cólon ou do reto em associação com quimioterapia contendo bevacizumab. Os resultados dos estudos aleatorizados de fase III PACCE e CAIRO-2, em doentes com carcinoma metastizado do cólon ou do reto sugerem que a utilização dos anticorpos monoclonais anti-EGFR panitumumab e cetuximab, respetivamente, em combinação com bevacizumab mais quimioterapia, está associada a uma </w:t>
      </w:r>
      <w:r w:rsidR="00066027">
        <w:t>sobrevivência livre de progressão (</w:t>
      </w:r>
      <w:r w:rsidRPr="007232E4">
        <w:t>PFS</w:t>
      </w:r>
      <w:r w:rsidR="00066027">
        <w:t>)</w:t>
      </w:r>
      <w:r w:rsidRPr="007232E4">
        <w:t xml:space="preserve"> e/ou </w:t>
      </w:r>
      <w:r w:rsidR="00066027">
        <w:t>sobrevivência global (</w:t>
      </w:r>
      <w:r w:rsidRPr="007232E4">
        <w:t>OS</w:t>
      </w:r>
      <w:r w:rsidR="00066027">
        <w:t>)</w:t>
      </w:r>
      <w:r w:rsidRPr="007232E4">
        <w:t xml:space="preserve"> diminuídas, e a toxicidade aumentada, comparativamente a bevacizumab sozinho com quimioterapia.</w:t>
      </w:r>
    </w:p>
    <w:p w14:paraId="4B960236" w14:textId="77777777" w:rsidR="00400398" w:rsidRPr="007232E4" w:rsidRDefault="00400398" w:rsidP="00270AF0"/>
    <w:p w14:paraId="54DFAE3A" w14:textId="77777777" w:rsidR="00400398" w:rsidRPr="007232E4" w:rsidRDefault="00400398">
      <w:pPr>
        <w:keepNext/>
        <w:keepLines/>
        <w:outlineLvl w:val="0"/>
        <w:rPr>
          <w:b/>
        </w:rPr>
      </w:pPr>
      <w:r w:rsidRPr="007232E4">
        <w:rPr>
          <w:b/>
        </w:rPr>
        <w:t>4.6</w:t>
      </w:r>
      <w:r w:rsidRPr="007232E4">
        <w:rPr>
          <w:b/>
        </w:rPr>
        <w:tab/>
        <w:t>Fertilidade, gravidez e aleitamento</w:t>
      </w:r>
    </w:p>
    <w:p w14:paraId="242BD465" w14:textId="77777777" w:rsidR="00400398" w:rsidRPr="007232E4" w:rsidRDefault="00400398">
      <w:pPr>
        <w:keepNext/>
        <w:keepLines/>
      </w:pPr>
    </w:p>
    <w:p w14:paraId="407FDAB1" w14:textId="77777777" w:rsidR="00400398" w:rsidRPr="001E05C2" w:rsidRDefault="00400398">
      <w:pPr>
        <w:rPr>
          <w:noProof/>
          <w:u w:val="single"/>
        </w:rPr>
      </w:pPr>
      <w:r w:rsidRPr="001E05C2">
        <w:rPr>
          <w:u w:val="single"/>
        </w:rPr>
        <w:t>Mulheres com potencial para engravidar</w:t>
      </w:r>
    </w:p>
    <w:p w14:paraId="03F59464" w14:textId="77777777" w:rsidR="00400398" w:rsidRPr="007232E4" w:rsidRDefault="00400398">
      <w:pPr>
        <w:rPr>
          <w:noProof/>
        </w:rPr>
      </w:pPr>
      <w:r w:rsidRPr="007232E4">
        <w:lastRenderedPageBreak/>
        <w:t>As mulheres com potencial para engravidar têm de utilizar um método contracetivo eficaz durante (e até 6 meses após) o tratamento.</w:t>
      </w:r>
    </w:p>
    <w:p w14:paraId="7F4A7CDE" w14:textId="77777777" w:rsidR="00400398" w:rsidRPr="007232E4" w:rsidRDefault="00400398"/>
    <w:p w14:paraId="67A547DB" w14:textId="77777777" w:rsidR="00400398" w:rsidRPr="001E05C2" w:rsidRDefault="00400398">
      <w:pPr>
        <w:keepNext/>
        <w:outlineLvl w:val="0"/>
        <w:rPr>
          <w:u w:val="single"/>
        </w:rPr>
      </w:pPr>
      <w:r w:rsidRPr="001E05C2">
        <w:rPr>
          <w:u w:val="single"/>
        </w:rPr>
        <w:t>Gravidez</w:t>
      </w:r>
    </w:p>
    <w:p w14:paraId="4AC29C76" w14:textId="77777777" w:rsidR="00400398" w:rsidRPr="007232E4" w:rsidRDefault="00400398">
      <w:pPr>
        <w:keepNext/>
      </w:pPr>
      <w:r w:rsidRPr="007232E4">
        <w:t>Não existem dados</w:t>
      </w:r>
      <w:r>
        <w:t xml:space="preserve"> de ensaios clínicos</w:t>
      </w:r>
      <w:r w:rsidRPr="007232E4">
        <w:t xml:space="preserve"> sobre a utilização de </w:t>
      </w:r>
      <w:r w:rsidR="000B28D5">
        <w:t>bevacizumab</w:t>
      </w:r>
      <w:r w:rsidR="000B28D5" w:rsidRPr="007232E4">
        <w:t xml:space="preserve"> </w:t>
      </w:r>
      <w:r w:rsidRPr="007232E4">
        <w:t>na mulher grávida. Os estudos em animais revelaram toxicidade reprodutiva incluindo malformações (ver secção 5.3). Sabe</w:t>
      </w:r>
      <w:r w:rsidRPr="007232E4">
        <w:noBreakHyphen/>
        <w:t>se que as IgG atravessam a placenta e calcula</w:t>
      </w:r>
      <w:r w:rsidRPr="007232E4">
        <w:noBreakHyphen/>
        <w:t xml:space="preserve">se que </w:t>
      </w:r>
      <w:r w:rsidR="000B28D5">
        <w:t>bevacizumab</w:t>
      </w:r>
      <w:r w:rsidR="000B28D5" w:rsidRPr="007232E4">
        <w:t xml:space="preserve"> </w:t>
      </w:r>
      <w:r w:rsidRPr="007232E4">
        <w:t>iniba a angiogénese no feto, podendo provocar graves anomalias congénitas em caso de administração durante a gravidez.</w:t>
      </w:r>
      <w:r>
        <w:t xml:space="preserve"> Após comercialização, foram observados casos de anomalias fetais em mulheres tratadas com bevacizumab em monoterapia ou em associação com citotóxicos com efeitos embriotóxicos conhecidos (ver secção 4.8).</w:t>
      </w:r>
      <w:r w:rsidRPr="007232E4">
        <w:t xml:space="preserve"> </w:t>
      </w:r>
      <w:r w:rsidR="000B28D5">
        <w:t>O bevacizumab</w:t>
      </w:r>
      <w:r w:rsidR="000B28D5" w:rsidRPr="007232E4">
        <w:t xml:space="preserve"> </w:t>
      </w:r>
      <w:r w:rsidRPr="007232E4">
        <w:t>é contraindicado durante a gravidez (ver secção</w:t>
      </w:r>
      <w:r w:rsidR="003F77F7">
        <w:t> </w:t>
      </w:r>
      <w:r w:rsidRPr="007232E4">
        <w:t xml:space="preserve">4.3). </w:t>
      </w:r>
    </w:p>
    <w:p w14:paraId="26F93708" w14:textId="77777777" w:rsidR="00400398" w:rsidRPr="007232E4" w:rsidRDefault="00400398">
      <w:pPr>
        <w:outlineLvl w:val="0"/>
        <w:rPr>
          <w:b/>
          <w:i/>
        </w:rPr>
      </w:pPr>
    </w:p>
    <w:p w14:paraId="41C0F16B" w14:textId="77777777" w:rsidR="00400398" w:rsidRPr="001E05C2" w:rsidRDefault="00400398" w:rsidP="002759BA">
      <w:pPr>
        <w:outlineLvl w:val="0"/>
        <w:rPr>
          <w:u w:val="single"/>
        </w:rPr>
      </w:pPr>
      <w:r w:rsidRPr="001E05C2">
        <w:rPr>
          <w:u w:val="single"/>
        </w:rPr>
        <w:t>Amamentação</w:t>
      </w:r>
    </w:p>
    <w:p w14:paraId="21FA629A" w14:textId="77777777" w:rsidR="00400398" w:rsidRPr="007232E4" w:rsidRDefault="00400398" w:rsidP="002759BA">
      <w:r w:rsidRPr="007232E4">
        <w:t xml:space="preserve">Não se sabe se o bevacizumab é excretado no leite humano. Uma vez que a IgG materna é excretada no leite e que o bevacizumab pode ter efeitos nefastos sobre o crescimento e desenvolvimento do lactente (ver secção 5.3), a mulher deve suspender a amamentação durante a terapêutica e não amamentar durante pelo menos 6 meses após a administração da última dose de </w:t>
      </w:r>
      <w:r w:rsidR="000B28D5">
        <w:t>bevacizumab</w:t>
      </w:r>
      <w:r w:rsidRPr="007232E4">
        <w:t>.</w:t>
      </w:r>
    </w:p>
    <w:p w14:paraId="1DA5616C" w14:textId="77777777" w:rsidR="00400398" w:rsidRPr="007232E4" w:rsidRDefault="00400398" w:rsidP="002759BA"/>
    <w:p w14:paraId="6C973DE7" w14:textId="77777777" w:rsidR="00400398" w:rsidRPr="001E05C2" w:rsidRDefault="00400398">
      <w:pPr>
        <w:keepNext/>
        <w:rPr>
          <w:u w:val="single"/>
        </w:rPr>
      </w:pPr>
      <w:r w:rsidRPr="001E05C2">
        <w:rPr>
          <w:u w:val="single"/>
        </w:rPr>
        <w:t>Fertilidade</w:t>
      </w:r>
    </w:p>
    <w:p w14:paraId="012EC6AD" w14:textId="77777777" w:rsidR="00400398" w:rsidRPr="007232E4" w:rsidRDefault="00400398">
      <w:pPr>
        <w:keepNext/>
      </w:pPr>
      <w:r w:rsidRPr="007232E4">
        <w:t xml:space="preserve">Os estudos de toxicidade de dose repetida em animais revelaram que bevacizumab pode ter um efeito adverso na fertilidade feminina (ver secção 5.3). Num ensaio de fase III no tratamento adjuvante de doentes com cancro do cólon, um sub-estudo em mulheres pré-menopáusicas demonstrou uma maior incidência de novos casos de insuficiência ovárica no grupo do bevacizumab comparativamente com o grupo controlo. Após descontinuação do tratamento com bevacizumab, a função ovárica foi recuperada na maioria das doentes. Os efeitos a longo prazo do tratamento com bevacizumab na fertilidade são desconhecidos. </w:t>
      </w:r>
    </w:p>
    <w:p w14:paraId="7A8882C8" w14:textId="77777777" w:rsidR="00400398" w:rsidRPr="007232E4" w:rsidRDefault="00400398"/>
    <w:p w14:paraId="620E2BBD" w14:textId="77777777" w:rsidR="00400398" w:rsidRPr="007232E4" w:rsidRDefault="00400398">
      <w:pPr>
        <w:keepNext/>
        <w:outlineLvl w:val="0"/>
        <w:rPr>
          <w:b/>
        </w:rPr>
      </w:pPr>
      <w:r w:rsidRPr="007232E4">
        <w:rPr>
          <w:b/>
        </w:rPr>
        <w:t>4.7</w:t>
      </w:r>
      <w:r w:rsidRPr="007232E4">
        <w:rPr>
          <w:b/>
        </w:rPr>
        <w:tab/>
        <w:t>Efeitos sobre a capacidade de conduzir e utilizar máquinas</w:t>
      </w:r>
    </w:p>
    <w:p w14:paraId="54B0EB6B" w14:textId="77777777" w:rsidR="00400398" w:rsidRPr="007232E4" w:rsidRDefault="00400398">
      <w:pPr>
        <w:keepNext/>
      </w:pPr>
    </w:p>
    <w:p w14:paraId="22444815" w14:textId="77777777" w:rsidR="00400398" w:rsidRDefault="004648CF">
      <w:r>
        <w:t>Os efeitos de b</w:t>
      </w:r>
      <w:r w:rsidR="000B28D5">
        <w:t xml:space="preserve">evacizumab </w:t>
      </w:r>
      <w:r>
        <w:t>sobre a capacidade de conduzir e utilizar máquinas são nulos ou desprezáveis</w:t>
      </w:r>
      <w:r w:rsidR="00400398">
        <w:t xml:space="preserve">. No entanto, foram notificadas sonolência e síncope com o uso de </w:t>
      </w:r>
      <w:r w:rsidR="000B28D5">
        <w:t xml:space="preserve">bevacizumab </w:t>
      </w:r>
      <w:r w:rsidR="00400398">
        <w:t>(ver tabela 1 na secção 4.8). Se os doentes apresentarem sintomas que afetam a visão ou a concentração, ou a sua capacidade de reagir, devem ser aconselhados a não conduzir e utilizar máquinas até resolução da sintomatologia</w:t>
      </w:r>
      <w:r w:rsidR="00400398" w:rsidRPr="00B45B27">
        <w:t>.</w:t>
      </w:r>
    </w:p>
    <w:p w14:paraId="308E09CC" w14:textId="77777777" w:rsidR="00400398" w:rsidRPr="007232E4" w:rsidRDefault="00400398"/>
    <w:p w14:paraId="541AAB7A" w14:textId="77777777" w:rsidR="00400398" w:rsidRDefault="00400398" w:rsidP="004353F4">
      <w:pPr>
        <w:keepNext/>
        <w:keepLines/>
        <w:widowControl w:val="0"/>
        <w:outlineLvl w:val="0"/>
        <w:rPr>
          <w:b/>
        </w:rPr>
      </w:pPr>
      <w:r w:rsidRPr="007232E4">
        <w:rPr>
          <w:b/>
        </w:rPr>
        <w:t>4.8</w:t>
      </w:r>
      <w:r w:rsidRPr="007232E4">
        <w:rPr>
          <w:b/>
        </w:rPr>
        <w:tab/>
        <w:t>Efeitos indesejáveis</w:t>
      </w:r>
    </w:p>
    <w:p w14:paraId="1E315564" w14:textId="77777777" w:rsidR="00400398" w:rsidRPr="00202E0B" w:rsidRDefault="00400398" w:rsidP="004353F4">
      <w:pPr>
        <w:keepNext/>
        <w:keepLines/>
        <w:widowControl w:val="0"/>
        <w:outlineLvl w:val="0"/>
      </w:pPr>
    </w:p>
    <w:p w14:paraId="65A5B0A5" w14:textId="77777777" w:rsidR="00400398" w:rsidRPr="00C82494" w:rsidRDefault="00400398" w:rsidP="004353F4">
      <w:pPr>
        <w:keepNext/>
        <w:keepLines/>
        <w:widowControl w:val="0"/>
        <w:outlineLvl w:val="0"/>
        <w:rPr>
          <w:noProof/>
          <w:u w:val="single"/>
        </w:rPr>
      </w:pPr>
      <w:r w:rsidRPr="00C82494">
        <w:rPr>
          <w:noProof/>
          <w:u w:val="single"/>
        </w:rPr>
        <w:t>Resumo do perfil de segurança</w:t>
      </w:r>
    </w:p>
    <w:p w14:paraId="2076A98C" w14:textId="77777777" w:rsidR="00400398" w:rsidRPr="007232E4" w:rsidRDefault="00400398" w:rsidP="004353F4">
      <w:pPr>
        <w:keepNext/>
        <w:keepLines/>
        <w:widowControl w:val="0"/>
      </w:pPr>
    </w:p>
    <w:p w14:paraId="03532027" w14:textId="77777777" w:rsidR="00400398" w:rsidRPr="007232E4" w:rsidRDefault="00400398" w:rsidP="004353F4">
      <w:pPr>
        <w:keepNext/>
        <w:keepLines/>
        <w:widowControl w:val="0"/>
      </w:pPr>
      <w:r w:rsidRPr="007232E4">
        <w:t xml:space="preserve">O perfil global de segurança do </w:t>
      </w:r>
      <w:r w:rsidR="000B28D5">
        <w:t>bevacizumab</w:t>
      </w:r>
      <w:r w:rsidR="000B28D5" w:rsidRPr="007232E4">
        <w:t xml:space="preserve"> </w:t>
      </w:r>
      <w:r w:rsidRPr="007232E4">
        <w:t>baseia</w:t>
      </w:r>
      <w:r w:rsidRPr="007232E4">
        <w:noBreakHyphen/>
        <w:t xml:space="preserve">se em dados referentes a mais de </w:t>
      </w:r>
      <w:r w:rsidR="009556B7" w:rsidRPr="00233EB7">
        <w:t>5</w:t>
      </w:r>
      <w:r w:rsidR="002535A3">
        <w:t>.</w:t>
      </w:r>
      <w:r w:rsidR="009556B7">
        <w:t>7</w:t>
      </w:r>
      <w:r w:rsidR="009556B7" w:rsidRPr="00233EB7">
        <w:t>00</w:t>
      </w:r>
      <w:r w:rsidR="005D469C">
        <w:t> </w:t>
      </w:r>
      <w:r w:rsidRPr="007232E4">
        <w:t xml:space="preserve">doentes com várias malignidades, predominantemente tratados com </w:t>
      </w:r>
      <w:r w:rsidR="000B28D5">
        <w:t>bevacizumab</w:t>
      </w:r>
      <w:r w:rsidR="000B28D5" w:rsidRPr="007232E4">
        <w:t xml:space="preserve"> </w:t>
      </w:r>
      <w:r w:rsidRPr="007232E4">
        <w:t>em associação com quimioterapia, no âmbito dos ensaios clínicos.</w:t>
      </w:r>
    </w:p>
    <w:p w14:paraId="270525CD" w14:textId="77777777" w:rsidR="00400398" w:rsidRPr="007232E4" w:rsidRDefault="00400398" w:rsidP="00FD1111"/>
    <w:p w14:paraId="0B87F4B5" w14:textId="77777777" w:rsidR="00400398" w:rsidRPr="007232E4" w:rsidRDefault="00400398" w:rsidP="00F206BA">
      <w:pPr>
        <w:keepNext/>
      </w:pPr>
      <w:r w:rsidRPr="007232E4">
        <w:t>As reações adversas mais graves foram:</w:t>
      </w:r>
    </w:p>
    <w:p w14:paraId="79C375F4" w14:textId="77777777" w:rsidR="00400398" w:rsidRPr="007232E4" w:rsidRDefault="00400398" w:rsidP="00F206BA">
      <w:pPr>
        <w:keepNext/>
      </w:pPr>
    </w:p>
    <w:p w14:paraId="5A91064D" w14:textId="77777777" w:rsidR="00400398" w:rsidRPr="007232E4" w:rsidRDefault="00400398" w:rsidP="00F206BA">
      <w:pPr>
        <w:keepNext/>
        <w:ind w:left="567" w:hanging="567"/>
      </w:pPr>
      <w:r w:rsidRPr="007232E4">
        <w:t>•</w:t>
      </w:r>
      <w:r w:rsidRPr="007232E4">
        <w:tab/>
        <w:t>Perfuração gastrointestinal (ver secção 4.4).</w:t>
      </w:r>
    </w:p>
    <w:p w14:paraId="08ABB123" w14:textId="77777777" w:rsidR="00400398" w:rsidRPr="007232E4" w:rsidRDefault="00400398" w:rsidP="00F206BA">
      <w:pPr>
        <w:ind w:left="567" w:hanging="567"/>
      </w:pPr>
      <w:r w:rsidRPr="007232E4">
        <w:t>•</w:t>
      </w:r>
      <w:r w:rsidRPr="007232E4">
        <w:tab/>
        <w:t>Hemorragia, incluindo hemorragia pulmonar/hemoptise, que é mais frequente em doentes com cancro do pulmão de células não pequenas (ver secção 4.4).</w:t>
      </w:r>
    </w:p>
    <w:p w14:paraId="3DB7342D" w14:textId="77777777" w:rsidR="00400398" w:rsidRPr="007232E4" w:rsidRDefault="00400398" w:rsidP="00F206BA">
      <w:r w:rsidRPr="007232E4">
        <w:t>•</w:t>
      </w:r>
      <w:r w:rsidRPr="007232E4">
        <w:tab/>
        <w:t>Tromboembolismo arterial (ver secção 4.4).</w:t>
      </w:r>
    </w:p>
    <w:p w14:paraId="38597F7C" w14:textId="77777777" w:rsidR="00400398" w:rsidRPr="007232E4" w:rsidRDefault="00400398" w:rsidP="00F206BA">
      <w:pPr>
        <w:ind w:left="567" w:hanging="567"/>
      </w:pPr>
    </w:p>
    <w:p w14:paraId="5C7C896B" w14:textId="77777777" w:rsidR="00400398" w:rsidRPr="007232E4" w:rsidRDefault="00400398" w:rsidP="00F206BA">
      <w:r w:rsidRPr="007232E4">
        <w:t xml:space="preserve">No âmbito de ensaios clínicos as reações adversas mais frequentemente observadas em doentes em tratamento com </w:t>
      </w:r>
      <w:r w:rsidR="000B28D5">
        <w:t>bevacizumab</w:t>
      </w:r>
      <w:r w:rsidR="000B28D5" w:rsidRPr="007232E4">
        <w:t xml:space="preserve"> </w:t>
      </w:r>
      <w:r w:rsidRPr="007232E4">
        <w:t>foram hipertensão</w:t>
      </w:r>
      <w:r>
        <w:t xml:space="preserve"> arterial</w:t>
      </w:r>
      <w:r w:rsidRPr="007232E4">
        <w:t>, fadiga ou astenia, diarreia e dor abdominal.</w:t>
      </w:r>
    </w:p>
    <w:p w14:paraId="30B0B1C0" w14:textId="77777777" w:rsidR="00400398" w:rsidRPr="007232E4" w:rsidRDefault="00400398" w:rsidP="00F206BA"/>
    <w:p w14:paraId="059FF177" w14:textId="77777777" w:rsidR="00400398" w:rsidRPr="007232E4" w:rsidRDefault="00400398" w:rsidP="00F206BA">
      <w:r w:rsidRPr="007232E4">
        <w:t xml:space="preserve">A análise dos dados de segurança clínica sugere que a ocorrência de hipertensão </w:t>
      </w:r>
      <w:r>
        <w:t xml:space="preserve">arterial </w:t>
      </w:r>
      <w:r w:rsidRPr="007232E4">
        <w:t xml:space="preserve">e proteinúria com a terapêutica com </w:t>
      </w:r>
      <w:r w:rsidR="000B28D5">
        <w:t>bevacizumab</w:t>
      </w:r>
      <w:r w:rsidR="000B28D5" w:rsidRPr="007232E4">
        <w:t xml:space="preserve"> </w:t>
      </w:r>
      <w:r w:rsidRPr="007232E4">
        <w:t>está provavelmente relacionada com a dose.</w:t>
      </w:r>
    </w:p>
    <w:p w14:paraId="63FF061F" w14:textId="77777777" w:rsidR="00400398" w:rsidRDefault="00400398" w:rsidP="00F206BA"/>
    <w:p w14:paraId="499AAD53" w14:textId="77777777" w:rsidR="00400398" w:rsidRPr="00DE3F64" w:rsidRDefault="00400398" w:rsidP="00F206BA">
      <w:pPr>
        <w:rPr>
          <w:u w:val="single"/>
        </w:rPr>
      </w:pPr>
      <w:r w:rsidRPr="00DE3F64">
        <w:rPr>
          <w:u w:val="single"/>
        </w:rPr>
        <w:t>Lista tab</w:t>
      </w:r>
      <w:r w:rsidR="004648CF">
        <w:rPr>
          <w:u w:val="single"/>
        </w:rPr>
        <w:t>e</w:t>
      </w:r>
      <w:r w:rsidRPr="00DE3F64">
        <w:rPr>
          <w:u w:val="single"/>
        </w:rPr>
        <w:t>lar das reações adversas</w:t>
      </w:r>
    </w:p>
    <w:p w14:paraId="4DF82FBB" w14:textId="77777777" w:rsidR="00400398" w:rsidRPr="007232E4" w:rsidRDefault="00400398" w:rsidP="00F206BA"/>
    <w:p w14:paraId="454BE5F6" w14:textId="77777777" w:rsidR="00400398" w:rsidRPr="007232E4" w:rsidRDefault="00400398" w:rsidP="00F206BA">
      <w:r w:rsidRPr="007232E4">
        <w:t>As reações adversas listadas nesta secção pertencem às seguintes categorias</w:t>
      </w:r>
      <w:r>
        <w:t xml:space="preserve"> de frequência</w:t>
      </w:r>
      <w:r w:rsidRPr="007232E4">
        <w:t xml:space="preserve">: </w:t>
      </w:r>
      <w:r w:rsidR="000B28D5">
        <w:t>m</w:t>
      </w:r>
      <w:r w:rsidRPr="007232E4">
        <w:t>uito frequentes (≥1/10); frequentes (≥1/100</w:t>
      </w:r>
      <w:r w:rsidR="002535A3">
        <w:t>,</w:t>
      </w:r>
      <w:r w:rsidRPr="007232E4">
        <w:t xml:space="preserve"> &lt;1/10); pouco frequentes (≥1/1.000</w:t>
      </w:r>
      <w:r w:rsidR="002535A3">
        <w:t>,</w:t>
      </w:r>
      <w:r w:rsidRPr="007232E4">
        <w:t xml:space="preserve"> &lt;1/100); rar</w:t>
      </w:r>
      <w:r w:rsidR="002535A3">
        <w:t>as</w:t>
      </w:r>
      <w:r w:rsidRPr="007232E4">
        <w:t xml:space="preserve"> (≥1/10.000</w:t>
      </w:r>
      <w:r w:rsidR="002535A3">
        <w:t>,</w:t>
      </w:r>
      <w:r w:rsidRPr="007232E4">
        <w:t xml:space="preserve"> &lt;1/1.000); muito rar</w:t>
      </w:r>
      <w:r w:rsidR="002535A3">
        <w:t>a</w:t>
      </w:r>
      <w:r w:rsidRPr="007232E4">
        <w:t>s (&lt;1/10.000)</w:t>
      </w:r>
      <w:r>
        <w:t>; desconhecido (</w:t>
      </w:r>
      <w:r w:rsidRPr="003A73A1">
        <w:rPr>
          <w:noProof/>
        </w:rPr>
        <w:t>não pode ser calculado a partir dos dados disponíveis)</w:t>
      </w:r>
      <w:r w:rsidRPr="003A73A1">
        <w:t>.</w:t>
      </w:r>
      <w:r w:rsidRPr="007232E4">
        <w:t xml:space="preserve"> </w:t>
      </w:r>
    </w:p>
    <w:p w14:paraId="0BC1DDB8" w14:textId="77777777" w:rsidR="00400398" w:rsidRPr="007232E4" w:rsidRDefault="00400398" w:rsidP="00F206BA"/>
    <w:p w14:paraId="27639D08" w14:textId="77777777" w:rsidR="00400398" w:rsidRDefault="00400398" w:rsidP="00F206BA">
      <w:r w:rsidRPr="007232E4">
        <w:t>A</w:t>
      </w:r>
      <w:r>
        <w:t>s</w:t>
      </w:r>
      <w:r w:rsidRPr="007232E4">
        <w:t xml:space="preserve"> </w:t>
      </w:r>
      <w:r>
        <w:t>T</w:t>
      </w:r>
      <w:r w:rsidRPr="007232E4">
        <w:t>abela</w:t>
      </w:r>
      <w:r>
        <w:t>s</w:t>
      </w:r>
      <w:r w:rsidRPr="007232E4">
        <w:t xml:space="preserve"> 1 </w:t>
      </w:r>
      <w:r>
        <w:t>e 2 listam</w:t>
      </w:r>
      <w:r w:rsidRPr="007232E4">
        <w:t xml:space="preserve"> as reações adversas relacionadas com a utilização de </w:t>
      </w:r>
      <w:r w:rsidR="000B28D5">
        <w:t>bevacizumab</w:t>
      </w:r>
      <w:r w:rsidR="000B28D5" w:rsidRPr="007232E4">
        <w:t xml:space="preserve"> </w:t>
      </w:r>
      <w:r w:rsidRPr="007232E4">
        <w:t>em associação com diferentes regimes de quimioterapia, em várias indicações</w:t>
      </w:r>
      <w:r w:rsidR="00087936">
        <w:t>, por classe de sistemas de órgãos MedDRA</w:t>
      </w:r>
      <w:r w:rsidRPr="007232E4">
        <w:t>.</w:t>
      </w:r>
    </w:p>
    <w:p w14:paraId="338C16CC" w14:textId="77777777" w:rsidR="00400398" w:rsidRDefault="00400398" w:rsidP="00F206BA"/>
    <w:p w14:paraId="20535040" w14:textId="77777777" w:rsidR="00400398" w:rsidRDefault="00400398" w:rsidP="00A73A88">
      <w:pPr>
        <w:keepNext/>
        <w:keepLines/>
      </w:pPr>
      <w:r>
        <w:t>A tabela 1 apresenta todas as reações adversas por frequência que</w:t>
      </w:r>
      <w:r w:rsidRPr="007232E4">
        <w:t xml:space="preserve"> </w:t>
      </w:r>
      <w:r>
        <w:t xml:space="preserve">foram determinadas como tendo uma relação causal com </w:t>
      </w:r>
      <w:r w:rsidR="000B28D5">
        <w:t>bevacizumab</w:t>
      </w:r>
      <w:r>
        <w:t>, através de:</w:t>
      </w:r>
    </w:p>
    <w:p w14:paraId="373A6D4F" w14:textId="77777777" w:rsidR="00400398" w:rsidRDefault="00400398" w:rsidP="00FC3C51">
      <w:pPr>
        <w:keepNext/>
        <w:keepLines/>
        <w:ind w:left="782" w:hanging="782"/>
      </w:pPr>
      <w:r>
        <w:rPr>
          <w:noProof/>
          <w:color w:val="000000"/>
          <w:szCs w:val="22"/>
        </w:rPr>
        <w:sym w:font="Symbol" w:char="F0B7"/>
      </w:r>
      <w:r w:rsidRPr="00F206BA">
        <w:rPr>
          <w:color w:val="000000"/>
          <w:szCs w:val="22"/>
        </w:rPr>
        <w:tab/>
      </w:r>
      <w:r>
        <w:t>incidências comparativas observadas entre braços de tratamento de ensaios clínicos (com uma diferença de pelo menos 10% para reações de Grau 1-5 do NCI-CTCAE em comparação com o braço de controlo ou uma diferença de pelo menos 2% para reações de Grau 3-5 do NCI</w:t>
      </w:r>
      <w:r>
        <w:noBreakHyphen/>
        <w:t>CTCAE em comparação com o braço de controlo),</w:t>
      </w:r>
    </w:p>
    <w:p w14:paraId="5780432B" w14:textId="77777777" w:rsidR="00400398" w:rsidRDefault="00400398" w:rsidP="00FC3C51">
      <w:pPr>
        <w:ind w:left="782" w:hanging="782"/>
      </w:pPr>
      <w:r>
        <w:rPr>
          <w:noProof/>
          <w:color w:val="000000"/>
          <w:szCs w:val="22"/>
        </w:rPr>
        <w:sym w:font="Symbol" w:char="F0B7"/>
      </w:r>
      <w:r w:rsidRPr="00F206BA">
        <w:rPr>
          <w:color w:val="000000"/>
          <w:szCs w:val="22"/>
        </w:rPr>
        <w:tab/>
      </w:r>
      <w:r>
        <w:t>estudos de segurança pós-autorização,</w:t>
      </w:r>
    </w:p>
    <w:p w14:paraId="6E9DAFCB" w14:textId="77777777" w:rsidR="00400398" w:rsidRDefault="00400398" w:rsidP="00FC3C51">
      <w:pPr>
        <w:ind w:left="782" w:hanging="782"/>
      </w:pPr>
      <w:r>
        <w:rPr>
          <w:noProof/>
          <w:color w:val="000000"/>
          <w:szCs w:val="22"/>
        </w:rPr>
        <w:sym w:font="Symbol" w:char="F0B7"/>
      </w:r>
      <w:r w:rsidRPr="00F206BA">
        <w:rPr>
          <w:color w:val="000000"/>
          <w:szCs w:val="22"/>
        </w:rPr>
        <w:tab/>
      </w:r>
      <w:r>
        <w:t xml:space="preserve">notificações espontâneas, </w:t>
      </w:r>
    </w:p>
    <w:p w14:paraId="326E0385" w14:textId="77777777" w:rsidR="00400398" w:rsidRDefault="00400398" w:rsidP="00FC3C51">
      <w:pPr>
        <w:ind w:left="782" w:hanging="782"/>
      </w:pPr>
      <w:r w:rsidRPr="00913779">
        <w:rPr>
          <w:szCs w:val="22"/>
        </w:rPr>
        <w:sym w:font="Symbol" w:char="F0B7"/>
      </w:r>
      <w:r w:rsidRPr="00913779">
        <w:tab/>
      </w:r>
      <w:r>
        <w:t>estudos epidemiológicos/não interventivos ou estudos observacionais,</w:t>
      </w:r>
    </w:p>
    <w:p w14:paraId="4189DA0F" w14:textId="77777777" w:rsidR="00400398" w:rsidRDefault="00400398" w:rsidP="00FC3C51">
      <w:pPr>
        <w:ind w:left="782" w:hanging="782"/>
      </w:pPr>
      <w:r w:rsidRPr="00913779">
        <w:rPr>
          <w:szCs w:val="22"/>
        </w:rPr>
        <w:sym w:font="Symbol" w:char="F0B7"/>
      </w:r>
      <w:r w:rsidRPr="00913779">
        <w:tab/>
      </w:r>
      <w:r>
        <w:t>ou através de uma avaliação de casos individuais notificados.</w:t>
      </w:r>
    </w:p>
    <w:p w14:paraId="607F5BFF" w14:textId="77777777" w:rsidR="00400398" w:rsidRPr="007232E4" w:rsidRDefault="00400398" w:rsidP="00F206BA"/>
    <w:p w14:paraId="10F92AB8" w14:textId="77777777" w:rsidR="00400398" w:rsidRDefault="00400398" w:rsidP="00F206BA">
      <w:r>
        <w:t xml:space="preserve">A Tabela 2 apresenta a frequência das reações adversas graves. As reações graves são definidas como </w:t>
      </w:r>
      <w:r w:rsidR="00066027">
        <w:t xml:space="preserve">reações </w:t>
      </w:r>
      <w:r>
        <w:t>advers</w:t>
      </w:r>
      <w:r w:rsidR="00066027">
        <w:t>a</w:t>
      </w:r>
      <w:r>
        <w:t>s em estudos clínicos com uma diferença de pelo menos 2% para reações de Grau 3-5 do NCI-CTCAE em comparação com o braço de controlo. A tabela 2 também inclui reações adversas que são consideradas pelo titular de AIM como sendo clinicamente significativas ou graves.</w:t>
      </w:r>
    </w:p>
    <w:p w14:paraId="41E88998" w14:textId="77777777" w:rsidR="00400398" w:rsidRDefault="00400398" w:rsidP="00F206BA"/>
    <w:p w14:paraId="10F36144" w14:textId="77777777" w:rsidR="00400398" w:rsidRDefault="00400398" w:rsidP="00F206BA">
      <w:r>
        <w:t>As reações adversas pós-comercialização são incluídas nas Tabelas 1 e 2, quando aplicável. Informação detalhada sobre estas reações pós-comercialização são apresentadas na Tabela 3.</w:t>
      </w:r>
    </w:p>
    <w:p w14:paraId="63E72765" w14:textId="77777777" w:rsidR="00400398" w:rsidRDefault="00400398" w:rsidP="00F206BA"/>
    <w:p w14:paraId="35DF48A6" w14:textId="77777777" w:rsidR="00400398" w:rsidRPr="00630923" w:rsidRDefault="00400398" w:rsidP="00F206BA">
      <w:r w:rsidRPr="00630923">
        <w:t>Nas tabelas seguintes, as reações adversas são incluídas na categoria de frequência apropriada de acordo com a incidência mais elevada, observada em qualquer indicação.</w:t>
      </w:r>
    </w:p>
    <w:p w14:paraId="51F2E4EA" w14:textId="77777777" w:rsidR="00DE3F64" w:rsidRDefault="00400398">
      <w:r w:rsidRPr="00630923">
        <w:t xml:space="preserve">Dentro de cada </w:t>
      </w:r>
      <w:r>
        <w:t>categoria</w:t>
      </w:r>
      <w:r w:rsidRPr="00630923">
        <w:t xml:space="preserve"> de frequência as reações adversas são apresentadas por ordem decrescente de gravidade.</w:t>
      </w:r>
    </w:p>
    <w:p w14:paraId="6E44D253" w14:textId="77777777" w:rsidR="00DE3F64" w:rsidRDefault="00DE3F64"/>
    <w:p w14:paraId="6145BAE1" w14:textId="77777777" w:rsidR="00400398" w:rsidRPr="007232E4" w:rsidRDefault="00400398">
      <w:r w:rsidRPr="00630923">
        <w:t xml:space="preserve">Algumas das reações adversas são reações frequentemente observadas com quimioterapia; no entanto, </w:t>
      </w:r>
      <w:r w:rsidR="000B28D5">
        <w:t>bevacizumab</w:t>
      </w:r>
      <w:r w:rsidR="000B28D5" w:rsidRPr="00630923">
        <w:t xml:space="preserve"> </w:t>
      </w:r>
      <w:r w:rsidRPr="00630923">
        <w:t>poderá exacerbar estas reações quando associado a agentes de quimioterapia. Exemplos incluem síndrome de eritrodisestesia palmo</w:t>
      </w:r>
      <w:r w:rsidRPr="00630923">
        <w:noBreakHyphen/>
        <w:t>plantar</w:t>
      </w:r>
      <w:r w:rsidRPr="00630923">
        <w:rPr>
          <w:sz w:val="20"/>
        </w:rPr>
        <w:t xml:space="preserve"> </w:t>
      </w:r>
      <w:r w:rsidRPr="00630923">
        <w:t>com doxorrubicina lipossómica peguilada ou capecitabina, neuropatia sensorial periférica com paclitaxel ou oxaliplatina</w:t>
      </w:r>
      <w:r>
        <w:t xml:space="preserve">, </w:t>
      </w:r>
      <w:r w:rsidRPr="00630923">
        <w:t>anomalia das unhas ou alopécia com paclitaxel</w:t>
      </w:r>
      <w:r w:rsidR="004411BC">
        <w:t xml:space="preserve"> e paroníquia com erlotinib</w:t>
      </w:r>
      <w:r w:rsidRPr="00630923">
        <w:t>.</w:t>
      </w:r>
      <w:r>
        <w:t xml:space="preserve"> </w:t>
      </w:r>
    </w:p>
    <w:p w14:paraId="4B1F25FA" w14:textId="77777777" w:rsidR="00400398" w:rsidRPr="007232E4" w:rsidRDefault="00400398"/>
    <w:p w14:paraId="0500B24E" w14:textId="77777777" w:rsidR="00400398" w:rsidRPr="007232E4" w:rsidRDefault="00400398" w:rsidP="00EA31CF">
      <w:pPr>
        <w:keepNext/>
        <w:keepLines/>
        <w:ind w:left="1418" w:hanging="1418"/>
      </w:pPr>
      <w:r w:rsidRPr="007232E4">
        <w:rPr>
          <w:b/>
        </w:rPr>
        <w:lastRenderedPageBreak/>
        <w:t>Tabela 1</w:t>
      </w:r>
      <w:r>
        <w:rPr>
          <w:b/>
        </w:rPr>
        <w:t>:</w:t>
      </w:r>
      <w:r w:rsidRPr="007232E4">
        <w:rPr>
          <w:b/>
        </w:rPr>
        <w:t xml:space="preserve"> </w:t>
      </w:r>
      <w:r w:rsidRPr="007232E4">
        <w:rPr>
          <w:b/>
        </w:rPr>
        <w:tab/>
      </w:r>
      <w:r>
        <w:rPr>
          <w:b/>
        </w:rPr>
        <w:t>R</w:t>
      </w:r>
      <w:r w:rsidRPr="007232E4">
        <w:rPr>
          <w:b/>
        </w:rPr>
        <w:t xml:space="preserve">eações </w:t>
      </w:r>
      <w:r w:rsidR="000B28D5">
        <w:rPr>
          <w:b/>
        </w:rPr>
        <w:t>a</w:t>
      </w:r>
      <w:r w:rsidRPr="007232E4">
        <w:rPr>
          <w:b/>
        </w:rPr>
        <w:t xml:space="preserve">dversas </w:t>
      </w:r>
      <w:r>
        <w:rPr>
          <w:b/>
        </w:rPr>
        <w:t xml:space="preserve">por </w:t>
      </w:r>
      <w:r w:rsidR="000B28D5">
        <w:rPr>
          <w:b/>
        </w:rPr>
        <w:t>f</w:t>
      </w:r>
      <w:r>
        <w:rPr>
          <w:b/>
        </w:rPr>
        <w:t>requência</w:t>
      </w:r>
    </w:p>
    <w:tbl>
      <w:tblPr>
        <w:tblW w:w="4960" w:type="pct"/>
        <w:tblInd w:w="-34" w:type="dxa"/>
        <w:tblLayout w:type="fixed"/>
        <w:tblLook w:val="01E0" w:firstRow="1" w:lastRow="1" w:firstColumn="1" w:lastColumn="1" w:noHBand="0" w:noVBand="0"/>
      </w:tblPr>
      <w:tblGrid>
        <w:gridCol w:w="1386"/>
        <w:gridCol w:w="1379"/>
        <w:gridCol w:w="1377"/>
        <w:gridCol w:w="1239"/>
        <w:gridCol w:w="1239"/>
        <w:gridCol w:w="1129"/>
        <w:gridCol w:w="1240"/>
      </w:tblGrid>
      <w:tr w:rsidR="00400398" w:rsidRPr="00215594" w14:paraId="1ABE0D59" w14:textId="77777777" w:rsidTr="000603E8">
        <w:trPr>
          <w:cantSplit/>
          <w:tblHeader/>
        </w:trPr>
        <w:tc>
          <w:tcPr>
            <w:tcW w:w="771" w:type="pct"/>
            <w:tcBorders>
              <w:top w:val="single" w:sz="4" w:space="0" w:color="auto"/>
              <w:left w:val="single" w:sz="4" w:space="0" w:color="auto"/>
              <w:bottom w:val="single" w:sz="4" w:space="0" w:color="auto"/>
              <w:right w:val="single" w:sz="4" w:space="0" w:color="auto"/>
            </w:tcBorders>
          </w:tcPr>
          <w:p w14:paraId="06C4FC95" w14:textId="77777777" w:rsidR="00400398" w:rsidRPr="001E05C2" w:rsidRDefault="00400398" w:rsidP="00C82494">
            <w:pPr>
              <w:pStyle w:val="TextTi12"/>
              <w:keepNext/>
              <w:keepLines/>
              <w:spacing w:after="0" w:line="240" w:lineRule="auto"/>
              <w:jc w:val="center"/>
              <w:rPr>
                <w:b/>
                <w:sz w:val="18"/>
                <w:szCs w:val="18"/>
              </w:rPr>
            </w:pPr>
            <w:r w:rsidRPr="001E05C2">
              <w:rPr>
                <w:b/>
                <w:sz w:val="18"/>
                <w:szCs w:val="18"/>
              </w:rPr>
              <w:t xml:space="preserve">Classes de sistemas de órgãos </w:t>
            </w:r>
          </w:p>
        </w:tc>
        <w:tc>
          <w:tcPr>
            <w:tcW w:w="767" w:type="pct"/>
            <w:tcBorders>
              <w:top w:val="single" w:sz="4" w:space="0" w:color="auto"/>
              <w:left w:val="single" w:sz="4" w:space="0" w:color="auto"/>
              <w:bottom w:val="single" w:sz="4" w:space="0" w:color="auto"/>
              <w:right w:val="single" w:sz="4" w:space="0" w:color="auto"/>
            </w:tcBorders>
          </w:tcPr>
          <w:p w14:paraId="4E1A93FB" w14:textId="77777777" w:rsidR="00400398" w:rsidRPr="001E05C2" w:rsidRDefault="00400398" w:rsidP="00EA31CF">
            <w:pPr>
              <w:keepNext/>
              <w:keepLines/>
              <w:jc w:val="center"/>
              <w:rPr>
                <w:b/>
                <w:sz w:val="18"/>
                <w:szCs w:val="18"/>
              </w:rPr>
            </w:pPr>
            <w:r w:rsidRPr="001E05C2">
              <w:rPr>
                <w:b/>
                <w:sz w:val="18"/>
                <w:szCs w:val="18"/>
              </w:rPr>
              <w:t>Muito frequentes</w:t>
            </w:r>
          </w:p>
        </w:tc>
        <w:tc>
          <w:tcPr>
            <w:tcW w:w="766" w:type="pct"/>
            <w:tcBorders>
              <w:top w:val="single" w:sz="4" w:space="0" w:color="auto"/>
              <w:left w:val="single" w:sz="4" w:space="0" w:color="auto"/>
              <w:bottom w:val="single" w:sz="4" w:space="0" w:color="auto"/>
              <w:right w:val="single" w:sz="4" w:space="0" w:color="auto"/>
            </w:tcBorders>
          </w:tcPr>
          <w:p w14:paraId="6CABD255" w14:textId="77777777" w:rsidR="00400398" w:rsidRPr="001E05C2" w:rsidRDefault="00400398" w:rsidP="00EA31CF">
            <w:pPr>
              <w:keepNext/>
              <w:keepLines/>
              <w:jc w:val="center"/>
              <w:rPr>
                <w:b/>
                <w:sz w:val="18"/>
                <w:szCs w:val="18"/>
              </w:rPr>
            </w:pPr>
            <w:r w:rsidRPr="001E05C2">
              <w:rPr>
                <w:b/>
                <w:sz w:val="18"/>
                <w:szCs w:val="18"/>
              </w:rPr>
              <w:t>Frequentes</w:t>
            </w:r>
          </w:p>
          <w:p w14:paraId="16B0F207" w14:textId="77777777" w:rsidR="00400398" w:rsidRPr="001E05C2" w:rsidRDefault="00400398" w:rsidP="00EA31CF">
            <w:pPr>
              <w:keepNext/>
              <w:keepLines/>
              <w:jc w:val="center"/>
              <w:rPr>
                <w:b/>
                <w:sz w:val="18"/>
                <w:szCs w:val="18"/>
              </w:rPr>
            </w:pPr>
          </w:p>
        </w:tc>
        <w:tc>
          <w:tcPr>
            <w:tcW w:w="689" w:type="pct"/>
            <w:tcBorders>
              <w:top w:val="single" w:sz="4" w:space="0" w:color="auto"/>
              <w:left w:val="single" w:sz="4" w:space="0" w:color="auto"/>
              <w:bottom w:val="single" w:sz="4" w:space="0" w:color="auto"/>
              <w:right w:val="single" w:sz="4" w:space="0" w:color="auto"/>
            </w:tcBorders>
          </w:tcPr>
          <w:p w14:paraId="1D41C6CB" w14:textId="77777777" w:rsidR="00400398" w:rsidRPr="001E05C2" w:rsidRDefault="00400398" w:rsidP="00EA31CF">
            <w:pPr>
              <w:keepNext/>
              <w:keepLines/>
              <w:jc w:val="center"/>
              <w:rPr>
                <w:b/>
                <w:sz w:val="18"/>
                <w:szCs w:val="18"/>
              </w:rPr>
            </w:pPr>
            <w:r w:rsidRPr="001E05C2">
              <w:rPr>
                <w:b/>
                <w:sz w:val="18"/>
                <w:szCs w:val="18"/>
              </w:rPr>
              <w:t>Pouco Frequentes</w:t>
            </w:r>
          </w:p>
        </w:tc>
        <w:tc>
          <w:tcPr>
            <w:tcW w:w="689" w:type="pct"/>
            <w:tcBorders>
              <w:top w:val="single" w:sz="4" w:space="0" w:color="auto"/>
              <w:left w:val="single" w:sz="4" w:space="0" w:color="auto"/>
              <w:bottom w:val="single" w:sz="4" w:space="0" w:color="auto"/>
              <w:right w:val="single" w:sz="4" w:space="0" w:color="auto"/>
            </w:tcBorders>
          </w:tcPr>
          <w:p w14:paraId="7F7421D3" w14:textId="77777777" w:rsidR="00400398" w:rsidRPr="001E05C2" w:rsidRDefault="00400398" w:rsidP="00EA31CF">
            <w:pPr>
              <w:keepNext/>
              <w:keepLines/>
              <w:jc w:val="center"/>
              <w:rPr>
                <w:b/>
                <w:sz w:val="18"/>
                <w:szCs w:val="18"/>
              </w:rPr>
            </w:pPr>
            <w:r w:rsidRPr="001E05C2">
              <w:rPr>
                <w:b/>
                <w:sz w:val="18"/>
                <w:szCs w:val="18"/>
              </w:rPr>
              <w:t>Raros</w:t>
            </w:r>
          </w:p>
        </w:tc>
        <w:tc>
          <w:tcPr>
            <w:tcW w:w="628" w:type="pct"/>
            <w:tcBorders>
              <w:top w:val="single" w:sz="4" w:space="0" w:color="auto"/>
              <w:left w:val="single" w:sz="4" w:space="0" w:color="auto"/>
              <w:bottom w:val="single" w:sz="4" w:space="0" w:color="auto"/>
              <w:right w:val="single" w:sz="4" w:space="0" w:color="auto"/>
            </w:tcBorders>
          </w:tcPr>
          <w:p w14:paraId="254291D1" w14:textId="77777777" w:rsidR="00400398" w:rsidRPr="001E05C2" w:rsidRDefault="00400398" w:rsidP="00EA31CF">
            <w:pPr>
              <w:keepNext/>
              <w:keepLines/>
              <w:jc w:val="center"/>
              <w:rPr>
                <w:b/>
                <w:sz w:val="18"/>
                <w:szCs w:val="18"/>
              </w:rPr>
            </w:pPr>
            <w:r w:rsidRPr="001E05C2">
              <w:rPr>
                <w:b/>
                <w:sz w:val="18"/>
                <w:szCs w:val="18"/>
              </w:rPr>
              <w:t>Muito raros</w:t>
            </w:r>
          </w:p>
        </w:tc>
        <w:tc>
          <w:tcPr>
            <w:tcW w:w="690" w:type="pct"/>
            <w:tcBorders>
              <w:top w:val="single" w:sz="4" w:space="0" w:color="auto"/>
              <w:left w:val="single" w:sz="4" w:space="0" w:color="auto"/>
              <w:bottom w:val="single" w:sz="4" w:space="0" w:color="auto"/>
              <w:right w:val="single" w:sz="4" w:space="0" w:color="auto"/>
            </w:tcBorders>
          </w:tcPr>
          <w:p w14:paraId="05E0C3A4" w14:textId="77777777" w:rsidR="00400398" w:rsidRPr="001E05C2" w:rsidRDefault="00400398" w:rsidP="00EA31CF">
            <w:pPr>
              <w:keepNext/>
              <w:keepLines/>
              <w:jc w:val="center"/>
              <w:rPr>
                <w:b/>
                <w:sz w:val="18"/>
                <w:szCs w:val="18"/>
              </w:rPr>
            </w:pPr>
            <w:r w:rsidRPr="001E05C2">
              <w:rPr>
                <w:b/>
                <w:sz w:val="18"/>
                <w:szCs w:val="18"/>
              </w:rPr>
              <w:t>Frequência Desconhecida</w:t>
            </w:r>
          </w:p>
        </w:tc>
      </w:tr>
      <w:tr w:rsidR="00400398" w:rsidRPr="00215594" w14:paraId="7FBA6035" w14:textId="77777777" w:rsidTr="000603E8">
        <w:tc>
          <w:tcPr>
            <w:tcW w:w="771" w:type="pct"/>
            <w:tcBorders>
              <w:top w:val="single" w:sz="4" w:space="0" w:color="auto"/>
              <w:left w:val="single" w:sz="4" w:space="0" w:color="auto"/>
              <w:bottom w:val="single" w:sz="4" w:space="0" w:color="auto"/>
              <w:right w:val="single" w:sz="4" w:space="0" w:color="auto"/>
            </w:tcBorders>
          </w:tcPr>
          <w:p w14:paraId="0812CD9A" w14:textId="77777777" w:rsidR="00400398" w:rsidRPr="00215594" w:rsidRDefault="00400398" w:rsidP="00EA31CF">
            <w:pPr>
              <w:keepNext/>
              <w:keepLines/>
              <w:jc w:val="center"/>
              <w:rPr>
                <w:sz w:val="18"/>
                <w:szCs w:val="18"/>
              </w:rPr>
            </w:pPr>
            <w:r w:rsidRPr="00215594">
              <w:rPr>
                <w:sz w:val="18"/>
                <w:szCs w:val="18"/>
              </w:rPr>
              <w:t>Infeções e infestações</w:t>
            </w:r>
          </w:p>
        </w:tc>
        <w:tc>
          <w:tcPr>
            <w:tcW w:w="767" w:type="pct"/>
            <w:tcBorders>
              <w:top w:val="single" w:sz="4" w:space="0" w:color="auto"/>
              <w:left w:val="single" w:sz="4" w:space="0" w:color="auto"/>
              <w:bottom w:val="single" w:sz="4" w:space="0" w:color="auto"/>
              <w:right w:val="single" w:sz="4" w:space="0" w:color="auto"/>
            </w:tcBorders>
          </w:tcPr>
          <w:p w14:paraId="54663E3F" w14:textId="77777777" w:rsidR="00400398" w:rsidRPr="00215594" w:rsidRDefault="00400398" w:rsidP="00EA31CF">
            <w:pPr>
              <w:keepNext/>
              <w:keepLines/>
              <w:jc w:val="center"/>
              <w:rPr>
                <w:sz w:val="18"/>
                <w:szCs w:val="18"/>
              </w:rPr>
            </w:pPr>
          </w:p>
        </w:tc>
        <w:tc>
          <w:tcPr>
            <w:tcW w:w="766" w:type="pct"/>
            <w:tcBorders>
              <w:top w:val="single" w:sz="4" w:space="0" w:color="auto"/>
              <w:left w:val="single" w:sz="4" w:space="0" w:color="auto"/>
              <w:bottom w:val="single" w:sz="4" w:space="0" w:color="auto"/>
              <w:right w:val="single" w:sz="4" w:space="0" w:color="auto"/>
            </w:tcBorders>
          </w:tcPr>
          <w:p w14:paraId="716EE4A7" w14:textId="77777777" w:rsidR="00400398" w:rsidRPr="00215594" w:rsidRDefault="00400398" w:rsidP="00EA31CF">
            <w:pPr>
              <w:keepNext/>
              <w:keepLines/>
              <w:jc w:val="center"/>
              <w:rPr>
                <w:sz w:val="18"/>
                <w:szCs w:val="18"/>
              </w:rPr>
            </w:pPr>
            <w:r w:rsidRPr="00215594">
              <w:rPr>
                <w:sz w:val="18"/>
                <w:szCs w:val="18"/>
              </w:rPr>
              <w:t>Sepsis, Abcessos</w:t>
            </w:r>
            <w:r w:rsidRPr="00215594">
              <w:rPr>
                <w:sz w:val="18"/>
                <w:szCs w:val="18"/>
                <w:vertAlign w:val="superscript"/>
              </w:rPr>
              <w:t>b,d</w:t>
            </w:r>
            <w:r w:rsidRPr="00215594">
              <w:rPr>
                <w:sz w:val="18"/>
                <w:szCs w:val="18"/>
              </w:rPr>
              <w:t xml:space="preserve">, </w:t>
            </w:r>
          </w:p>
          <w:p w14:paraId="4646DED7" w14:textId="77777777" w:rsidR="00400398" w:rsidRPr="00215594" w:rsidRDefault="00400398" w:rsidP="00EA31CF">
            <w:pPr>
              <w:keepNext/>
              <w:keepLines/>
              <w:jc w:val="center"/>
              <w:rPr>
                <w:sz w:val="18"/>
                <w:szCs w:val="18"/>
              </w:rPr>
            </w:pPr>
            <w:r w:rsidRPr="00215594">
              <w:rPr>
                <w:sz w:val="18"/>
                <w:szCs w:val="18"/>
              </w:rPr>
              <w:t>Celulite,</w:t>
            </w:r>
          </w:p>
          <w:p w14:paraId="27DFC7D5" w14:textId="77777777" w:rsidR="00400398" w:rsidRPr="00215594" w:rsidRDefault="00400398" w:rsidP="00EA31CF">
            <w:pPr>
              <w:keepNext/>
              <w:keepLines/>
              <w:jc w:val="center"/>
              <w:rPr>
                <w:sz w:val="18"/>
                <w:szCs w:val="18"/>
              </w:rPr>
            </w:pPr>
            <w:r w:rsidRPr="00215594">
              <w:rPr>
                <w:sz w:val="18"/>
                <w:szCs w:val="18"/>
              </w:rPr>
              <w:t xml:space="preserve">Infeção, Infeção do trato urinário </w:t>
            </w:r>
          </w:p>
        </w:tc>
        <w:tc>
          <w:tcPr>
            <w:tcW w:w="689" w:type="pct"/>
            <w:tcBorders>
              <w:top w:val="single" w:sz="4" w:space="0" w:color="auto"/>
              <w:left w:val="single" w:sz="4" w:space="0" w:color="auto"/>
              <w:bottom w:val="single" w:sz="4" w:space="0" w:color="auto"/>
              <w:right w:val="single" w:sz="4" w:space="0" w:color="auto"/>
            </w:tcBorders>
          </w:tcPr>
          <w:p w14:paraId="4F01F52B" w14:textId="77777777" w:rsidR="00400398" w:rsidRPr="00215594" w:rsidRDefault="00400398" w:rsidP="00EA31CF">
            <w:pPr>
              <w:keepNext/>
              <w:keepLines/>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192754B4" w14:textId="77777777" w:rsidR="00400398" w:rsidRPr="00215594" w:rsidRDefault="00400398" w:rsidP="00EA31CF">
            <w:pPr>
              <w:keepNext/>
              <w:keepLines/>
              <w:jc w:val="center"/>
              <w:rPr>
                <w:sz w:val="18"/>
                <w:szCs w:val="18"/>
                <w:vertAlign w:val="superscript"/>
              </w:rPr>
            </w:pPr>
            <w:r w:rsidRPr="00215594">
              <w:rPr>
                <w:sz w:val="18"/>
                <w:szCs w:val="18"/>
              </w:rPr>
              <w:t>Fascite necrotizante</w:t>
            </w:r>
            <w:r w:rsidRPr="00215594">
              <w:rPr>
                <w:sz w:val="18"/>
                <w:szCs w:val="18"/>
                <w:vertAlign w:val="superscript"/>
              </w:rPr>
              <w:t>a</w:t>
            </w:r>
          </w:p>
        </w:tc>
        <w:tc>
          <w:tcPr>
            <w:tcW w:w="628" w:type="pct"/>
            <w:tcBorders>
              <w:top w:val="single" w:sz="4" w:space="0" w:color="auto"/>
              <w:left w:val="single" w:sz="4" w:space="0" w:color="auto"/>
              <w:bottom w:val="single" w:sz="4" w:space="0" w:color="auto"/>
              <w:right w:val="single" w:sz="4" w:space="0" w:color="auto"/>
            </w:tcBorders>
          </w:tcPr>
          <w:p w14:paraId="14E94E51" w14:textId="77777777" w:rsidR="00400398" w:rsidRPr="00215594" w:rsidRDefault="00400398" w:rsidP="00EA31CF">
            <w:pPr>
              <w:keepNext/>
              <w:keepLines/>
              <w:jc w:val="center"/>
              <w:rPr>
                <w:sz w:val="18"/>
                <w:szCs w:val="18"/>
              </w:rPr>
            </w:pPr>
          </w:p>
        </w:tc>
        <w:tc>
          <w:tcPr>
            <w:tcW w:w="690" w:type="pct"/>
            <w:tcBorders>
              <w:top w:val="single" w:sz="4" w:space="0" w:color="auto"/>
              <w:left w:val="single" w:sz="4" w:space="0" w:color="auto"/>
              <w:bottom w:val="single" w:sz="4" w:space="0" w:color="auto"/>
              <w:right w:val="single" w:sz="4" w:space="0" w:color="auto"/>
            </w:tcBorders>
          </w:tcPr>
          <w:p w14:paraId="556E337F" w14:textId="77777777" w:rsidR="00400398" w:rsidRPr="00215594" w:rsidRDefault="00400398" w:rsidP="00EA31CF">
            <w:pPr>
              <w:keepNext/>
              <w:keepLines/>
              <w:jc w:val="center"/>
              <w:rPr>
                <w:sz w:val="18"/>
                <w:szCs w:val="18"/>
              </w:rPr>
            </w:pPr>
          </w:p>
        </w:tc>
      </w:tr>
      <w:tr w:rsidR="00400398" w:rsidRPr="00215594" w14:paraId="71134FD6" w14:textId="77777777" w:rsidTr="000603E8">
        <w:tc>
          <w:tcPr>
            <w:tcW w:w="771" w:type="pct"/>
            <w:tcBorders>
              <w:top w:val="single" w:sz="4" w:space="0" w:color="auto"/>
              <w:left w:val="single" w:sz="4" w:space="0" w:color="auto"/>
              <w:bottom w:val="single" w:sz="4" w:space="0" w:color="auto"/>
              <w:right w:val="single" w:sz="4" w:space="0" w:color="auto"/>
            </w:tcBorders>
          </w:tcPr>
          <w:p w14:paraId="2C09BFA0" w14:textId="77777777" w:rsidR="00400398" w:rsidRPr="00215594" w:rsidRDefault="00400398" w:rsidP="00EA31CF">
            <w:pPr>
              <w:keepNext/>
              <w:keepLines/>
              <w:jc w:val="center"/>
              <w:rPr>
                <w:sz w:val="18"/>
                <w:szCs w:val="18"/>
              </w:rPr>
            </w:pPr>
            <w:r w:rsidRPr="00215594">
              <w:rPr>
                <w:sz w:val="18"/>
                <w:szCs w:val="18"/>
              </w:rPr>
              <w:t>Doenças do sangue e do sistema linfático</w:t>
            </w:r>
          </w:p>
        </w:tc>
        <w:tc>
          <w:tcPr>
            <w:tcW w:w="767" w:type="pct"/>
            <w:tcBorders>
              <w:top w:val="single" w:sz="4" w:space="0" w:color="auto"/>
              <w:left w:val="single" w:sz="4" w:space="0" w:color="auto"/>
              <w:bottom w:val="single" w:sz="4" w:space="0" w:color="auto"/>
              <w:right w:val="single" w:sz="4" w:space="0" w:color="auto"/>
            </w:tcBorders>
          </w:tcPr>
          <w:p w14:paraId="0D092609" w14:textId="77777777" w:rsidR="00400398" w:rsidRPr="00215594" w:rsidRDefault="00400398" w:rsidP="00EA31CF">
            <w:pPr>
              <w:keepNext/>
              <w:keepLines/>
              <w:jc w:val="center"/>
              <w:rPr>
                <w:noProof/>
                <w:sz w:val="18"/>
                <w:szCs w:val="18"/>
              </w:rPr>
            </w:pPr>
            <w:r w:rsidRPr="00215594">
              <w:rPr>
                <w:noProof/>
                <w:sz w:val="18"/>
                <w:szCs w:val="18"/>
              </w:rPr>
              <w:t>Neutropenia febril,</w:t>
            </w:r>
          </w:p>
          <w:p w14:paraId="3304D0A2" w14:textId="77777777" w:rsidR="00400398" w:rsidRPr="00215594" w:rsidRDefault="00400398" w:rsidP="00EA31CF">
            <w:pPr>
              <w:keepNext/>
              <w:keepLines/>
              <w:jc w:val="center"/>
              <w:rPr>
                <w:noProof/>
                <w:sz w:val="18"/>
                <w:szCs w:val="18"/>
              </w:rPr>
            </w:pPr>
            <w:r w:rsidRPr="00215594">
              <w:rPr>
                <w:noProof/>
                <w:sz w:val="18"/>
                <w:szCs w:val="18"/>
              </w:rPr>
              <w:t>Leucopenia,</w:t>
            </w:r>
          </w:p>
          <w:p w14:paraId="5AC49484" w14:textId="77777777" w:rsidR="00400398" w:rsidRPr="00215594" w:rsidRDefault="00400398" w:rsidP="00EA31CF">
            <w:pPr>
              <w:keepNext/>
              <w:keepLines/>
              <w:jc w:val="center"/>
              <w:rPr>
                <w:noProof/>
                <w:sz w:val="18"/>
                <w:szCs w:val="18"/>
              </w:rPr>
            </w:pPr>
            <w:r w:rsidRPr="00215594">
              <w:rPr>
                <w:noProof/>
                <w:sz w:val="18"/>
                <w:szCs w:val="18"/>
              </w:rPr>
              <w:t>Neutropenia</w:t>
            </w:r>
            <w:r w:rsidRPr="00215594">
              <w:rPr>
                <w:noProof/>
                <w:sz w:val="18"/>
                <w:szCs w:val="18"/>
                <w:vertAlign w:val="superscript"/>
              </w:rPr>
              <w:t>b</w:t>
            </w:r>
            <w:r w:rsidRPr="00215594">
              <w:rPr>
                <w:noProof/>
                <w:sz w:val="18"/>
                <w:szCs w:val="18"/>
              </w:rPr>
              <w:t>,</w:t>
            </w:r>
          </w:p>
          <w:p w14:paraId="42827899" w14:textId="77777777" w:rsidR="00400398" w:rsidRPr="00215594" w:rsidRDefault="00400398" w:rsidP="00EA31CF">
            <w:pPr>
              <w:keepNext/>
              <w:keepLines/>
              <w:jc w:val="center"/>
              <w:rPr>
                <w:b/>
                <w:noProof/>
                <w:sz w:val="18"/>
                <w:szCs w:val="18"/>
              </w:rPr>
            </w:pPr>
            <w:r w:rsidRPr="00215594">
              <w:rPr>
                <w:noProof/>
                <w:sz w:val="18"/>
                <w:szCs w:val="18"/>
              </w:rPr>
              <w:t>Trombocitopenia</w:t>
            </w:r>
          </w:p>
        </w:tc>
        <w:tc>
          <w:tcPr>
            <w:tcW w:w="766" w:type="pct"/>
            <w:tcBorders>
              <w:top w:val="single" w:sz="4" w:space="0" w:color="auto"/>
              <w:left w:val="single" w:sz="4" w:space="0" w:color="auto"/>
              <w:bottom w:val="single" w:sz="4" w:space="0" w:color="auto"/>
              <w:right w:val="single" w:sz="4" w:space="0" w:color="auto"/>
            </w:tcBorders>
          </w:tcPr>
          <w:p w14:paraId="22596DF6" w14:textId="77777777" w:rsidR="00400398" w:rsidRPr="00215594" w:rsidRDefault="00400398" w:rsidP="00EA31CF">
            <w:pPr>
              <w:keepNext/>
              <w:keepLines/>
              <w:jc w:val="center"/>
              <w:rPr>
                <w:sz w:val="18"/>
                <w:szCs w:val="18"/>
              </w:rPr>
            </w:pPr>
            <w:r w:rsidRPr="00215594">
              <w:rPr>
                <w:sz w:val="18"/>
                <w:szCs w:val="18"/>
              </w:rPr>
              <w:t>Anemia, Linfopenia</w:t>
            </w:r>
          </w:p>
        </w:tc>
        <w:tc>
          <w:tcPr>
            <w:tcW w:w="689" w:type="pct"/>
            <w:tcBorders>
              <w:top w:val="single" w:sz="4" w:space="0" w:color="auto"/>
              <w:left w:val="single" w:sz="4" w:space="0" w:color="auto"/>
              <w:bottom w:val="single" w:sz="4" w:space="0" w:color="auto"/>
              <w:right w:val="single" w:sz="4" w:space="0" w:color="auto"/>
            </w:tcBorders>
          </w:tcPr>
          <w:p w14:paraId="5BDC2AD1" w14:textId="77777777" w:rsidR="00400398" w:rsidRPr="00215594" w:rsidRDefault="00400398" w:rsidP="00EA31CF">
            <w:pPr>
              <w:keepNext/>
              <w:keepLines/>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28637376" w14:textId="77777777" w:rsidR="00400398" w:rsidRPr="00215594" w:rsidRDefault="00400398" w:rsidP="00EA31CF">
            <w:pPr>
              <w:keepNext/>
              <w:keepLines/>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14:paraId="0A51400D" w14:textId="77777777" w:rsidR="00400398" w:rsidRPr="00215594" w:rsidRDefault="00400398" w:rsidP="00EA31CF">
            <w:pPr>
              <w:keepNext/>
              <w:keepLines/>
              <w:jc w:val="center"/>
              <w:rPr>
                <w:sz w:val="18"/>
                <w:szCs w:val="18"/>
              </w:rPr>
            </w:pPr>
          </w:p>
        </w:tc>
        <w:tc>
          <w:tcPr>
            <w:tcW w:w="690" w:type="pct"/>
            <w:tcBorders>
              <w:top w:val="single" w:sz="4" w:space="0" w:color="auto"/>
              <w:left w:val="single" w:sz="4" w:space="0" w:color="auto"/>
              <w:bottom w:val="single" w:sz="4" w:space="0" w:color="auto"/>
              <w:right w:val="single" w:sz="4" w:space="0" w:color="auto"/>
            </w:tcBorders>
          </w:tcPr>
          <w:p w14:paraId="6A12DF74" w14:textId="77777777" w:rsidR="00400398" w:rsidRPr="00215594" w:rsidRDefault="00400398" w:rsidP="00EA31CF">
            <w:pPr>
              <w:keepNext/>
              <w:keepLines/>
              <w:jc w:val="center"/>
              <w:rPr>
                <w:sz w:val="18"/>
                <w:szCs w:val="18"/>
              </w:rPr>
            </w:pPr>
          </w:p>
        </w:tc>
      </w:tr>
      <w:tr w:rsidR="00400398" w:rsidRPr="00215594" w14:paraId="7746E0F1" w14:textId="77777777" w:rsidTr="000603E8">
        <w:tc>
          <w:tcPr>
            <w:tcW w:w="771" w:type="pct"/>
            <w:tcBorders>
              <w:top w:val="single" w:sz="4" w:space="0" w:color="auto"/>
              <w:left w:val="single" w:sz="4" w:space="0" w:color="auto"/>
              <w:bottom w:val="single" w:sz="4" w:space="0" w:color="auto"/>
              <w:right w:val="single" w:sz="4" w:space="0" w:color="auto"/>
            </w:tcBorders>
          </w:tcPr>
          <w:p w14:paraId="0CEAB7C3" w14:textId="77777777" w:rsidR="00400398" w:rsidRPr="00215594" w:rsidRDefault="00400398" w:rsidP="00EA31CF">
            <w:pPr>
              <w:keepNext/>
              <w:keepLines/>
              <w:jc w:val="center"/>
              <w:rPr>
                <w:sz w:val="18"/>
                <w:szCs w:val="18"/>
              </w:rPr>
            </w:pPr>
            <w:r w:rsidRPr="00215594">
              <w:rPr>
                <w:sz w:val="18"/>
                <w:szCs w:val="18"/>
              </w:rPr>
              <w:t>Doenças do sistema imunitário</w:t>
            </w:r>
          </w:p>
        </w:tc>
        <w:tc>
          <w:tcPr>
            <w:tcW w:w="767" w:type="pct"/>
            <w:tcBorders>
              <w:top w:val="single" w:sz="4" w:space="0" w:color="auto"/>
              <w:left w:val="single" w:sz="4" w:space="0" w:color="auto"/>
              <w:bottom w:val="single" w:sz="4" w:space="0" w:color="auto"/>
              <w:right w:val="single" w:sz="4" w:space="0" w:color="auto"/>
            </w:tcBorders>
          </w:tcPr>
          <w:p w14:paraId="2398606D" w14:textId="77777777" w:rsidR="00400398" w:rsidRPr="00215594" w:rsidRDefault="00400398" w:rsidP="00EA31CF">
            <w:pPr>
              <w:keepNext/>
              <w:keepLines/>
              <w:ind w:left="567" w:hanging="567"/>
              <w:jc w:val="center"/>
              <w:outlineLvl w:val="0"/>
              <w:rPr>
                <w:b/>
                <w:noProof/>
                <w:sz w:val="18"/>
                <w:szCs w:val="18"/>
              </w:rPr>
            </w:pPr>
          </w:p>
        </w:tc>
        <w:tc>
          <w:tcPr>
            <w:tcW w:w="766" w:type="pct"/>
            <w:tcBorders>
              <w:top w:val="single" w:sz="4" w:space="0" w:color="auto"/>
              <w:left w:val="single" w:sz="4" w:space="0" w:color="auto"/>
              <w:bottom w:val="single" w:sz="4" w:space="0" w:color="auto"/>
              <w:right w:val="single" w:sz="4" w:space="0" w:color="auto"/>
            </w:tcBorders>
          </w:tcPr>
          <w:p w14:paraId="27B7EBFF" w14:textId="77777777" w:rsidR="00400398" w:rsidRPr="00215594" w:rsidRDefault="00400398" w:rsidP="00EA31CF">
            <w:pPr>
              <w:keepNext/>
              <w:keepLines/>
              <w:jc w:val="center"/>
              <w:rPr>
                <w:sz w:val="18"/>
                <w:szCs w:val="18"/>
                <w:vertAlign w:val="superscript"/>
              </w:rPr>
            </w:pPr>
            <w:r w:rsidRPr="00215594">
              <w:rPr>
                <w:sz w:val="18"/>
                <w:szCs w:val="18"/>
              </w:rPr>
              <w:t>Reações de hipersensibilidade à perfusão</w:t>
            </w:r>
            <w:r w:rsidRPr="00215594">
              <w:rPr>
                <w:sz w:val="18"/>
                <w:szCs w:val="18"/>
                <w:vertAlign w:val="superscript"/>
              </w:rPr>
              <w:t>a,b,d</w:t>
            </w:r>
          </w:p>
        </w:tc>
        <w:tc>
          <w:tcPr>
            <w:tcW w:w="689" w:type="pct"/>
            <w:tcBorders>
              <w:top w:val="single" w:sz="4" w:space="0" w:color="auto"/>
              <w:left w:val="single" w:sz="4" w:space="0" w:color="auto"/>
              <w:bottom w:val="single" w:sz="4" w:space="0" w:color="auto"/>
              <w:right w:val="single" w:sz="4" w:space="0" w:color="auto"/>
            </w:tcBorders>
          </w:tcPr>
          <w:p w14:paraId="55E56A88" w14:textId="77777777" w:rsidR="00400398" w:rsidRPr="00215594" w:rsidRDefault="00400398" w:rsidP="00EA31CF">
            <w:pPr>
              <w:keepNext/>
              <w:keepLines/>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5D34B587" w14:textId="77777777" w:rsidR="00400398" w:rsidRPr="00215594" w:rsidRDefault="00185520" w:rsidP="00EA31CF">
            <w:pPr>
              <w:keepNext/>
              <w:keepLines/>
              <w:jc w:val="center"/>
              <w:rPr>
                <w:sz w:val="18"/>
                <w:szCs w:val="18"/>
              </w:rPr>
            </w:pPr>
            <w:r w:rsidRPr="00185520">
              <w:rPr>
                <w:sz w:val="18"/>
                <w:szCs w:val="18"/>
              </w:rPr>
              <w:t>Choque anafilático</w:t>
            </w:r>
          </w:p>
        </w:tc>
        <w:tc>
          <w:tcPr>
            <w:tcW w:w="628" w:type="pct"/>
            <w:tcBorders>
              <w:top w:val="single" w:sz="4" w:space="0" w:color="auto"/>
              <w:left w:val="single" w:sz="4" w:space="0" w:color="auto"/>
              <w:bottom w:val="single" w:sz="4" w:space="0" w:color="auto"/>
              <w:right w:val="single" w:sz="4" w:space="0" w:color="auto"/>
            </w:tcBorders>
          </w:tcPr>
          <w:p w14:paraId="4A24D8E1" w14:textId="77777777" w:rsidR="00400398" w:rsidRPr="00215594" w:rsidRDefault="00400398" w:rsidP="00EA31CF">
            <w:pPr>
              <w:keepNext/>
              <w:keepLines/>
              <w:jc w:val="center"/>
              <w:rPr>
                <w:sz w:val="18"/>
                <w:szCs w:val="18"/>
              </w:rPr>
            </w:pPr>
          </w:p>
        </w:tc>
        <w:tc>
          <w:tcPr>
            <w:tcW w:w="690" w:type="pct"/>
            <w:tcBorders>
              <w:top w:val="single" w:sz="4" w:space="0" w:color="auto"/>
              <w:left w:val="single" w:sz="4" w:space="0" w:color="auto"/>
              <w:bottom w:val="single" w:sz="4" w:space="0" w:color="auto"/>
              <w:right w:val="single" w:sz="4" w:space="0" w:color="auto"/>
            </w:tcBorders>
          </w:tcPr>
          <w:p w14:paraId="02A10B9B" w14:textId="77777777" w:rsidR="00400398" w:rsidRPr="00215594" w:rsidRDefault="00400398" w:rsidP="00EA31CF">
            <w:pPr>
              <w:keepNext/>
              <w:keepLines/>
              <w:jc w:val="center"/>
              <w:rPr>
                <w:sz w:val="18"/>
                <w:szCs w:val="18"/>
              </w:rPr>
            </w:pPr>
          </w:p>
        </w:tc>
      </w:tr>
      <w:tr w:rsidR="00400398" w:rsidRPr="00215594" w14:paraId="51994355" w14:textId="77777777" w:rsidTr="000603E8">
        <w:tc>
          <w:tcPr>
            <w:tcW w:w="771" w:type="pct"/>
            <w:tcBorders>
              <w:top w:val="single" w:sz="4" w:space="0" w:color="auto"/>
              <w:left w:val="single" w:sz="4" w:space="0" w:color="auto"/>
              <w:bottom w:val="single" w:sz="4" w:space="0" w:color="auto"/>
              <w:right w:val="single" w:sz="4" w:space="0" w:color="auto"/>
            </w:tcBorders>
          </w:tcPr>
          <w:p w14:paraId="75308120" w14:textId="77777777" w:rsidR="00400398" w:rsidRPr="00215594" w:rsidRDefault="00400398" w:rsidP="00A20651">
            <w:pPr>
              <w:jc w:val="center"/>
              <w:rPr>
                <w:sz w:val="18"/>
                <w:szCs w:val="18"/>
              </w:rPr>
            </w:pPr>
            <w:r w:rsidRPr="00215594">
              <w:rPr>
                <w:sz w:val="18"/>
                <w:szCs w:val="18"/>
              </w:rPr>
              <w:t>Doenças do metabolismo e da nutrição</w:t>
            </w:r>
          </w:p>
        </w:tc>
        <w:tc>
          <w:tcPr>
            <w:tcW w:w="767" w:type="pct"/>
            <w:tcBorders>
              <w:top w:val="single" w:sz="4" w:space="0" w:color="auto"/>
              <w:left w:val="single" w:sz="4" w:space="0" w:color="auto"/>
              <w:bottom w:val="single" w:sz="4" w:space="0" w:color="auto"/>
              <w:right w:val="single" w:sz="4" w:space="0" w:color="auto"/>
            </w:tcBorders>
          </w:tcPr>
          <w:p w14:paraId="60D6980B" w14:textId="77777777" w:rsidR="00C93B1B" w:rsidRPr="00215594" w:rsidRDefault="00400398" w:rsidP="000603E8">
            <w:pPr>
              <w:jc w:val="center"/>
              <w:rPr>
                <w:sz w:val="18"/>
                <w:szCs w:val="18"/>
              </w:rPr>
            </w:pPr>
            <w:r w:rsidRPr="00215594">
              <w:rPr>
                <w:sz w:val="18"/>
                <w:szCs w:val="18"/>
              </w:rPr>
              <w:t>Anorexia</w:t>
            </w:r>
          </w:p>
          <w:p w14:paraId="2393BBBC" w14:textId="77777777" w:rsidR="00400398" w:rsidRPr="00215594" w:rsidRDefault="00712983" w:rsidP="000603E8">
            <w:pPr>
              <w:jc w:val="center"/>
              <w:rPr>
                <w:sz w:val="18"/>
                <w:szCs w:val="18"/>
              </w:rPr>
            </w:pPr>
            <w:r w:rsidRPr="00215594">
              <w:rPr>
                <w:sz w:val="18"/>
                <w:szCs w:val="18"/>
              </w:rPr>
              <w:t>Hipomagnese</w:t>
            </w:r>
            <w:r w:rsidR="00C93B1B" w:rsidRPr="00215594">
              <w:rPr>
                <w:sz w:val="18"/>
                <w:szCs w:val="18"/>
              </w:rPr>
              <w:t>mia</w:t>
            </w:r>
          </w:p>
          <w:p w14:paraId="7595D7B0" w14:textId="77777777" w:rsidR="00C93B1B" w:rsidRPr="00215594" w:rsidRDefault="00C93B1B" w:rsidP="000603E8">
            <w:pPr>
              <w:jc w:val="center"/>
              <w:rPr>
                <w:noProof/>
                <w:sz w:val="18"/>
                <w:szCs w:val="18"/>
              </w:rPr>
            </w:pPr>
            <w:r w:rsidRPr="00215594">
              <w:rPr>
                <w:sz w:val="18"/>
                <w:szCs w:val="18"/>
              </w:rPr>
              <w:t>Hiponatremia</w:t>
            </w:r>
          </w:p>
        </w:tc>
        <w:tc>
          <w:tcPr>
            <w:tcW w:w="766" w:type="pct"/>
            <w:tcBorders>
              <w:top w:val="single" w:sz="4" w:space="0" w:color="auto"/>
              <w:left w:val="single" w:sz="4" w:space="0" w:color="auto"/>
              <w:bottom w:val="single" w:sz="4" w:space="0" w:color="auto"/>
              <w:right w:val="single" w:sz="4" w:space="0" w:color="auto"/>
            </w:tcBorders>
          </w:tcPr>
          <w:p w14:paraId="10806437" w14:textId="77777777" w:rsidR="00400398" w:rsidRPr="00215594" w:rsidRDefault="00400398" w:rsidP="000603E8">
            <w:pPr>
              <w:jc w:val="center"/>
              <w:rPr>
                <w:sz w:val="18"/>
                <w:szCs w:val="18"/>
              </w:rPr>
            </w:pPr>
            <w:r w:rsidRPr="00215594">
              <w:rPr>
                <w:sz w:val="18"/>
                <w:szCs w:val="18"/>
              </w:rPr>
              <w:t>Desidratação</w:t>
            </w:r>
          </w:p>
        </w:tc>
        <w:tc>
          <w:tcPr>
            <w:tcW w:w="689" w:type="pct"/>
            <w:tcBorders>
              <w:top w:val="single" w:sz="4" w:space="0" w:color="auto"/>
              <w:left w:val="single" w:sz="4" w:space="0" w:color="auto"/>
              <w:bottom w:val="single" w:sz="4" w:space="0" w:color="auto"/>
              <w:right w:val="single" w:sz="4" w:space="0" w:color="auto"/>
            </w:tcBorders>
          </w:tcPr>
          <w:p w14:paraId="28914D66" w14:textId="77777777" w:rsidR="00400398" w:rsidRPr="00215594" w:rsidRDefault="00400398" w:rsidP="000603E8">
            <w:pPr>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69531D77" w14:textId="77777777" w:rsidR="00400398" w:rsidRPr="00215594" w:rsidRDefault="00400398" w:rsidP="000603E8">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14:paraId="349E4F26" w14:textId="77777777" w:rsidR="00400398" w:rsidRPr="00215594" w:rsidRDefault="00400398" w:rsidP="000603E8">
            <w:pPr>
              <w:jc w:val="center"/>
              <w:rPr>
                <w:sz w:val="18"/>
                <w:szCs w:val="18"/>
              </w:rPr>
            </w:pPr>
          </w:p>
        </w:tc>
        <w:tc>
          <w:tcPr>
            <w:tcW w:w="690" w:type="pct"/>
            <w:tcBorders>
              <w:top w:val="single" w:sz="4" w:space="0" w:color="auto"/>
              <w:left w:val="single" w:sz="4" w:space="0" w:color="auto"/>
              <w:bottom w:val="single" w:sz="4" w:space="0" w:color="auto"/>
              <w:right w:val="single" w:sz="4" w:space="0" w:color="auto"/>
            </w:tcBorders>
          </w:tcPr>
          <w:p w14:paraId="384F3461" w14:textId="77777777" w:rsidR="00400398" w:rsidRPr="00215594" w:rsidRDefault="00400398" w:rsidP="000603E8">
            <w:pPr>
              <w:jc w:val="center"/>
              <w:rPr>
                <w:sz w:val="18"/>
                <w:szCs w:val="18"/>
              </w:rPr>
            </w:pPr>
          </w:p>
        </w:tc>
      </w:tr>
      <w:tr w:rsidR="00400398" w:rsidRPr="00215594" w14:paraId="5B3AE65C" w14:textId="77777777" w:rsidTr="000603E8">
        <w:tc>
          <w:tcPr>
            <w:tcW w:w="771" w:type="pct"/>
            <w:tcBorders>
              <w:top w:val="single" w:sz="4" w:space="0" w:color="auto"/>
              <w:left w:val="single" w:sz="4" w:space="0" w:color="auto"/>
              <w:bottom w:val="single" w:sz="4" w:space="0" w:color="auto"/>
              <w:right w:val="single" w:sz="4" w:space="0" w:color="auto"/>
            </w:tcBorders>
          </w:tcPr>
          <w:p w14:paraId="7FB8E266" w14:textId="77777777" w:rsidR="00400398" w:rsidRPr="00215594" w:rsidRDefault="00400398">
            <w:pPr>
              <w:keepNext/>
              <w:keepLines/>
              <w:jc w:val="center"/>
              <w:rPr>
                <w:sz w:val="18"/>
                <w:szCs w:val="18"/>
              </w:rPr>
            </w:pPr>
            <w:r w:rsidRPr="00215594">
              <w:rPr>
                <w:sz w:val="18"/>
                <w:szCs w:val="18"/>
              </w:rPr>
              <w:t>Doenças do sistema nervoso</w:t>
            </w:r>
          </w:p>
        </w:tc>
        <w:tc>
          <w:tcPr>
            <w:tcW w:w="767" w:type="pct"/>
            <w:tcBorders>
              <w:top w:val="single" w:sz="4" w:space="0" w:color="auto"/>
              <w:left w:val="single" w:sz="4" w:space="0" w:color="auto"/>
              <w:bottom w:val="single" w:sz="4" w:space="0" w:color="auto"/>
              <w:right w:val="single" w:sz="4" w:space="0" w:color="auto"/>
            </w:tcBorders>
          </w:tcPr>
          <w:p w14:paraId="72D2710B" w14:textId="77777777" w:rsidR="00400398" w:rsidRPr="00215594" w:rsidRDefault="00400398" w:rsidP="000603E8">
            <w:pPr>
              <w:keepNext/>
              <w:keepLines/>
              <w:jc w:val="center"/>
              <w:rPr>
                <w:sz w:val="18"/>
                <w:szCs w:val="18"/>
              </w:rPr>
            </w:pPr>
            <w:r w:rsidRPr="00215594">
              <w:rPr>
                <w:sz w:val="18"/>
                <w:szCs w:val="18"/>
              </w:rPr>
              <w:t>Neuropatia periférica sensorial</w:t>
            </w:r>
            <w:r w:rsidRPr="00215594">
              <w:rPr>
                <w:sz w:val="18"/>
                <w:szCs w:val="18"/>
                <w:vertAlign w:val="superscript"/>
              </w:rPr>
              <w:t>b</w:t>
            </w:r>
            <w:r w:rsidRPr="00215594">
              <w:rPr>
                <w:sz w:val="18"/>
                <w:szCs w:val="18"/>
              </w:rPr>
              <w:t xml:space="preserve">, </w:t>
            </w:r>
          </w:p>
          <w:p w14:paraId="0E4794EE" w14:textId="77777777" w:rsidR="00400398" w:rsidRPr="00215594" w:rsidRDefault="00400398" w:rsidP="000603E8">
            <w:pPr>
              <w:keepNext/>
              <w:keepLines/>
              <w:jc w:val="center"/>
              <w:rPr>
                <w:sz w:val="18"/>
                <w:szCs w:val="18"/>
              </w:rPr>
            </w:pPr>
            <w:r w:rsidRPr="00215594">
              <w:rPr>
                <w:sz w:val="18"/>
                <w:szCs w:val="18"/>
              </w:rPr>
              <w:t>Disartria,</w:t>
            </w:r>
          </w:p>
          <w:p w14:paraId="6B293185" w14:textId="77777777" w:rsidR="00400398" w:rsidRPr="00215594" w:rsidRDefault="00400398" w:rsidP="000603E8">
            <w:pPr>
              <w:keepNext/>
              <w:keepLines/>
              <w:jc w:val="center"/>
              <w:rPr>
                <w:sz w:val="18"/>
                <w:szCs w:val="18"/>
              </w:rPr>
            </w:pPr>
            <w:r w:rsidRPr="00215594">
              <w:rPr>
                <w:sz w:val="18"/>
                <w:szCs w:val="18"/>
              </w:rPr>
              <w:t>Cefaleia,</w:t>
            </w:r>
          </w:p>
          <w:p w14:paraId="265DAAF6" w14:textId="77777777" w:rsidR="00400398" w:rsidRPr="00215594" w:rsidRDefault="00400398">
            <w:pPr>
              <w:keepNext/>
              <w:keepLines/>
              <w:jc w:val="center"/>
              <w:rPr>
                <w:b/>
                <w:noProof/>
                <w:sz w:val="18"/>
                <w:szCs w:val="18"/>
              </w:rPr>
            </w:pPr>
            <w:r w:rsidRPr="00215594">
              <w:rPr>
                <w:sz w:val="18"/>
                <w:szCs w:val="18"/>
              </w:rPr>
              <w:t>Disgeusia</w:t>
            </w:r>
          </w:p>
        </w:tc>
        <w:tc>
          <w:tcPr>
            <w:tcW w:w="766" w:type="pct"/>
            <w:tcBorders>
              <w:top w:val="single" w:sz="4" w:space="0" w:color="auto"/>
              <w:left w:val="single" w:sz="4" w:space="0" w:color="auto"/>
              <w:bottom w:val="single" w:sz="4" w:space="0" w:color="auto"/>
              <w:right w:val="single" w:sz="4" w:space="0" w:color="auto"/>
            </w:tcBorders>
          </w:tcPr>
          <w:p w14:paraId="72746BB7" w14:textId="77777777" w:rsidR="00400398" w:rsidRPr="00215594" w:rsidRDefault="00400398" w:rsidP="000603E8">
            <w:pPr>
              <w:keepNext/>
              <w:keepLines/>
              <w:jc w:val="center"/>
              <w:rPr>
                <w:sz w:val="18"/>
                <w:szCs w:val="18"/>
              </w:rPr>
            </w:pPr>
            <w:r w:rsidRPr="00215594">
              <w:rPr>
                <w:sz w:val="18"/>
                <w:szCs w:val="18"/>
              </w:rPr>
              <w:t>Acidente vascular cerebral,</w:t>
            </w:r>
          </w:p>
          <w:p w14:paraId="77554F34" w14:textId="77777777" w:rsidR="00400398" w:rsidRPr="00215594" w:rsidRDefault="00400398" w:rsidP="000603E8">
            <w:pPr>
              <w:keepNext/>
              <w:keepLines/>
              <w:jc w:val="center"/>
              <w:rPr>
                <w:sz w:val="18"/>
                <w:szCs w:val="18"/>
              </w:rPr>
            </w:pPr>
            <w:r w:rsidRPr="00215594">
              <w:rPr>
                <w:sz w:val="18"/>
                <w:szCs w:val="18"/>
              </w:rPr>
              <w:t>Síncope,</w:t>
            </w:r>
          </w:p>
          <w:p w14:paraId="1ECC6452" w14:textId="77777777" w:rsidR="00400398" w:rsidRPr="00215594" w:rsidRDefault="00400398" w:rsidP="000603E8">
            <w:pPr>
              <w:keepNext/>
              <w:keepLines/>
              <w:jc w:val="center"/>
              <w:rPr>
                <w:sz w:val="18"/>
                <w:szCs w:val="18"/>
              </w:rPr>
            </w:pPr>
            <w:r w:rsidRPr="00215594">
              <w:rPr>
                <w:sz w:val="18"/>
                <w:szCs w:val="18"/>
              </w:rPr>
              <w:t>Sonolência</w:t>
            </w:r>
          </w:p>
          <w:p w14:paraId="22315CF5" w14:textId="77777777" w:rsidR="00400398" w:rsidRPr="00215594" w:rsidRDefault="00400398" w:rsidP="00C82494">
            <w:pPr>
              <w:keepNext/>
              <w:keepLines/>
              <w:jc w:val="center"/>
              <w:rPr>
                <w:b/>
                <w:caps/>
                <w:sz w:val="18"/>
                <w:szCs w:val="18"/>
              </w:rPr>
            </w:pPr>
          </w:p>
        </w:tc>
        <w:tc>
          <w:tcPr>
            <w:tcW w:w="689" w:type="pct"/>
            <w:tcBorders>
              <w:top w:val="single" w:sz="4" w:space="0" w:color="auto"/>
              <w:left w:val="single" w:sz="4" w:space="0" w:color="auto"/>
              <w:bottom w:val="single" w:sz="4" w:space="0" w:color="auto"/>
              <w:right w:val="single" w:sz="4" w:space="0" w:color="auto"/>
            </w:tcBorders>
          </w:tcPr>
          <w:p w14:paraId="5AC7DB33" w14:textId="77777777" w:rsidR="00400398" w:rsidRPr="00215594" w:rsidRDefault="00400398" w:rsidP="00C82494">
            <w:pPr>
              <w:keepNext/>
              <w:keepLines/>
              <w:jc w:val="center"/>
              <w:rPr>
                <w:b/>
                <w:caps/>
                <w:sz w:val="18"/>
                <w:szCs w:val="18"/>
              </w:rPr>
            </w:pPr>
          </w:p>
        </w:tc>
        <w:tc>
          <w:tcPr>
            <w:tcW w:w="689" w:type="pct"/>
            <w:tcBorders>
              <w:top w:val="single" w:sz="4" w:space="0" w:color="auto"/>
              <w:left w:val="single" w:sz="4" w:space="0" w:color="auto"/>
              <w:bottom w:val="single" w:sz="4" w:space="0" w:color="auto"/>
              <w:right w:val="single" w:sz="4" w:space="0" w:color="auto"/>
            </w:tcBorders>
          </w:tcPr>
          <w:p w14:paraId="40311635" w14:textId="77777777" w:rsidR="00400398" w:rsidRPr="00215594" w:rsidRDefault="00400398">
            <w:pPr>
              <w:keepNext/>
              <w:keepLines/>
              <w:jc w:val="center"/>
              <w:rPr>
                <w:sz w:val="18"/>
                <w:szCs w:val="18"/>
              </w:rPr>
            </w:pPr>
            <w:r w:rsidRPr="00215594">
              <w:rPr>
                <w:sz w:val="18"/>
                <w:szCs w:val="18"/>
              </w:rPr>
              <w:t>Síndrome de encefalopatia posterior reversível</w:t>
            </w:r>
            <w:r w:rsidRPr="00215594">
              <w:rPr>
                <w:sz w:val="18"/>
                <w:szCs w:val="18"/>
                <w:vertAlign w:val="superscript"/>
              </w:rPr>
              <w:t>a,b,d</w:t>
            </w:r>
          </w:p>
        </w:tc>
        <w:tc>
          <w:tcPr>
            <w:tcW w:w="628" w:type="pct"/>
            <w:tcBorders>
              <w:top w:val="single" w:sz="4" w:space="0" w:color="auto"/>
              <w:left w:val="single" w:sz="4" w:space="0" w:color="auto"/>
              <w:bottom w:val="single" w:sz="4" w:space="0" w:color="auto"/>
              <w:right w:val="single" w:sz="4" w:space="0" w:color="auto"/>
            </w:tcBorders>
          </w:tcPr>
          <w:p w14:paraId="362DD190" w14:textId="77777777" w:rsidR="00400398" w:rsidRPr="00215594" w:rsidRDefault="00400398">
            <w:pPr>
              <w:keepNext/>
              <w:keepLines/>
              <w:jc w:val="center"/>
              <w:rPr>
                <w:sz w:val="18"/>
                <w:szCs w:val="18"/>
              </w:rPr>
            </w:pPr>
            <w:r w:rsidRPr="00215594">
              <w:rPr>
                <w:sz w:val="18"/>
                <w:szCs w:val="18"/>
              </w:rPr>
              <w:t>Encefalopatia hipertensiva</w:t>
            </w:r>
            <w:r w:rsidRPr="00215594">
              <w:rPr>
                <w:sz w:val="18"/>
                <w:szCs w:val="18"/>
                <w:vertAlign w:val="superscript"/>
              </w:rPr>
              <w:t>a</w:t>
            </w:r>
          </w:p>
        </w:tc>
        <w:tc>
          <w:tcPr>
            <w:tcW w:w="690" w:type="pct"/>
            <w:tcBorders>
              <w:top w:val="single" w:sz="4" w:space="0" w:color="auto"/>
              <w:left w:val="single" w:sz="4" w:space="0" w:color="auto"/>
              <w:bottom w:val="single" w:sz="4" w:space="0" w:color="auto"/>
              <w:right w:val="single" w:sz="4" w:space="0" w:color="auto"/>
            </w:tcBorders>
          </w:tcPr>
          <w:p w14:paraId="16CD40C8" w14:textId="77777777" w:rsidR="00400398" w:rsidRPr="00215594" w:rsidRDefault="00400398" w:rsidP="000603E8">
            <w:pPr>
              <w:jc w:val="center"/>
              <w:rPr>
                <w:sz w:val="18"/>
                <w:szCs w:val="18"/>
              </w:rPr>
            </w:pPr>
          </w:p>
        </w:tc>
      </w:tr>
      <w:tr w:rsidR="00400398" w:rsidRPr="00215594" w14:paraId="3DF150D2" w14:textId="77777777" w:rsidTr="000603E8">
        <w:tc>
          <w:tcPr>
            <w:tcW w:w="771" w:type="pct"/>
            <w:tcBorders>
              <w:top w:val="single" w:sz="4" w:space="0" w:color="auto"/>
              <w:left w:val="single" w:sz="4" w:space="0" w:color="auto"/>
              <w:bottom w:val="single" w:sz="4" w:space="0" w:color="auto"/>
              <w:right w:val="single" w:sz="4" w:space="0" w:color="auto"/>
            </w:tcBorders>
          </w:tcPr>
          <w:p w14:paraId="7DA44FFA" w14:textId="77777777" w:rsidR="00400398" w:rsidRPr="00215594" w:rsidRDefault="00400398" w:rsidP="00A73A88">
            <w:pPr>
              <w:keepNext/>
              <w:keepLines/>
              <w:jc w:val="center"/>
              <w:rPr>
                <w:sz w:val="18"/>
                <w:szCs w:val="18"/>
              </w:rPr>
            </w:pPr>
            <w:r w:rsidRPr="00215594">
              <w:rPr>
                <w:sz w:val="18"/>
                <w:szCs w:val="18"/>
              </w:rPr>
              <w:t>Afeções oculares</w:t>
            </w:r>
          </w:p>
        </w:tc>
        <w:tc>
          <w:tcPr>
            <w:tcW w:w="767" w:type="pct"/>
            <w:tcBorders>
              <w:top w:val="single" w:sz="4" w:space="0" w:color="auto"/>
              <w:left w:val="single" w:sz="4" w:space="0" w:color="auto"/>
              <w:bottom w:val="single" w:sz="4" w:space="0" w:color="auto"/>
              <w:right w:val="single" w:sz="4" w:space="0" w:color="auto"/>
            </w:tcBorders>
          </w:tcPr>
          <w:p w14:paraId="239D33FD" w14:textId="77777777" w:rsidR="00400398" w:rsidRPr="00215594" w:rsidRDefault="00400398" w:rsidP="00A73A88">
            <w:pPr>
              <w:keepNext/>
              <w:keepLines/>
              <w:jc w:val="center"/>
              <w:rPr>
                <w:sz w:val="18"/>
                <w:szCs w:val="18"/>
              </w:rPr>
            </w:pPr>
            <w:r w:rsidRPr="00215594">
              <w:rPr>
                <w:sz w:val="18"/>
                <w:szCs w:val="18"/>
              </w:rPr>
              <w:t>Afeção ocular,</w:t>
            </w:r>
          </w:p>
          <w:p w14:paraId="60E048A6" w14:textId="77777777" w:rsidR="00400398" w:rsidRPr="00215594" w:rsidRDefault="00400398" w:rsidP="00A73A88">
            <w:pPr>
              <w:keepNext/>
              <w:keepLines/>
              <w:jc w:val="center"/>
              <w:rPr>
                <w:b/>
                <w:noProof/>
                <w:sz w:val="18"/>
                <w:szCs w:val="18"/>
              </w:rPr>
            </w:pPr>
            <w:r w:rsidRPr="00215594">
              <w:rPr>
                <w:sz w:val="18"/>
                <w:szCs w:val="18"/>
              </w:rPr>
              <w:t>Hipersecreção lacrimal</w:t>
            </w:r>
          </w:p>
        </w:tc>
        <w:tc>
          <w:tcPr>
            <w:tcW w:w="766" w:type="pct"/>
            <w:tcBorders>
              <w:top w:val="single" w:sz="4" w:space="0" w:color="auto"/>
              <w:left w:val="single" w:sz="4" w:space="0" w:color="auto"/>
              <w:bottom w:val="single" w:sz="4" w:space="0" w:color="auto"/>
              <w:right w:val="single" w:sz="4" w:space="0" w:color="auto"/>
            </w:tcBorders>
          </w:tcPr>
          <w:p w14:paraId="174FFD0C" w14:textId="77777777" w:rsidR="00400398" w:rsidRPr="00215594" w:rsidRDefault="00400398" w:rsidP="00A73A88">
            <w:pPr>
              <w:keepNext/>
              <w:keepLines/>
              <w:jc w:val="center"/>
              <w:rPr>
                <w:b/>
                <w:sz w:val="18"/>
                <w:szCs w:val="18"/>
              </w:rPr>
            </w:pPr>
          </w:p>
        </w:tc>
        <w:tc>
          <w:tcPr>
            <w:tcW w:w="689" w:type="pct"/>
            <w:tcBorders>
              <w:top w:val="single" w:sz="4" w:space="0" w:color="auto"/>
              <w:left w:val="single" w:sz="4" w:space="0" w:color="auto"/>
              <w:bottom w:val="single" w:sz="4" w:space="0" w:color="auto"/>
              <w:right w:val="single" w:sz="4" w:space="0" w:color="auto"/>
            </w:tcBorders>
          </w:tcPr>
          <w:p w14:paraId="72AB68AF" w14:textId="77777777" w:rsidR="00400398" w:rsidRPr="00215594" w:rsidRDefault="00400398" w:rsidP="00A73A88">
            <w:pPr>
              <w:keepNext/>
              <w:keepLines/>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34DBEBAC" w14:textId="77777777" w:rsidR="00400398" w:rsidRPr="00215594" w:rsidRDefault="00400398" w:rsidP="00A73A88">
            <w:pPr>
              <w:keepNext/>
              <w:keepLines/>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14:paraId="73ED071D" w14:textId="77777777" w:rsidR="00400398" w:rsidRPr="00215594" w:rsidRDefault="00400398" w:rsidP="00A73A88">
            <w:pPr>
              <w:keepNext/>
              <w:keepLines/>
              <w:jc w:val="center"/>
              <w:rPr>
                <w:sz w:val="18"/>
                <w:szCs w:val="18"/>
              </w:rPr>
            </w:pPr>
          </w:p>
        </w:tc>
        <w:tc>
          <w:tcPr>
            <w:tcW w:w="690" w:type="pct"/>
            <w:tcBorders>
              <w:top w:val="single" w:sz="4" w:space="0" w:color="auto"/>
              <w:left w:val="single" w:sz="4" w:space="0" w:color="auto"/>
              <w:bottom w:val="single" w:sz="4" w:space="0" w:color="auto"/>
              <w:right w:val="single" w:sz="4" w:space="0" w:color="auto"/>
            </w:tcBorders>
          </w:tcPr>
          <w:p w14:paraId="6736D75F" w14:textId="77777777" w:rsidR="00400398" w:rsidRPr="00215594" w:rsidRDefault="00400398" w:rsidP="00A73A88">
            <w:pPr>
              <w:keepNext/>
              <w:keepLines/>
              <w:jc w:val="center"/>
              <w:rPr>
                <w:sz w:val="18"/>
                <w:szCs w:val="18"/>
              </w:rPr>
            </w:pPr>
          </w:p>
        </w:tc>
      </w:tr>
      <w:tr w:rsidR="00400398" w:rsidRPr="00215594" w14:paraId="7ACEC919" w14:textId="77777777" w:rsidTr="000603E8">
        <w:tc>
          <w:tcPr>
            <w:tcW w:w="771" w:type="pct"/>
            <w:tcBorders>
              <w:top w:val="single" w:sz="4" w:space="0" w:color="auto"/>
              <w:left w:val="single" w:sz="4" w:space="0" w:color="auto"/>
              <w:bottom w:val="single" w:sz="4" w:space="0" w:color="auto"/>
              <w:right w:val="single" w:sz="4" w:space="0" w:color="auto"/>
            </w:tcBorders>
          </w:tcPr>
          <w:p w14:paraId="6DB6650C" w14:textId="77777777" w:rsidR="00400398" w:rsidRPr="00215594" w:rsidRDefault="00400398" w:rsidP="00A20651">
            <w:pPr>
              <w:jc w:val="center"/>
              <w:rPr>
                <w:sz w:val="18"/>
                <w:szCs w:val="18"/>
              </w:rPr>
            </w:pPr>
            <w:r w:rsidRPr="00215594">
              <w:rPr>
                <w:noProof/>
                <w:color w:val="000000"/>
                <w:sz w:val="18"/>
                <w:szCs w:val="18"/>
              </w:rPr>
              <w:t>Cardiopatias</w:t>
            </w:r>
          </w:p>
        </w:tc>
        <w:tc>
          <w:tcPr>
            <w:tcW w:w="767" w:type="pct"/>
            <w:tcBorders>
              <w:top w:val="single" w:sz="4" w:space="0" w:color="auto"/>
              <w:left w:val="single" w:sz="4" w:space="0" w:color="auto"/>
              <w:bottom w:val="single" w:sz="4" w:space="0" w:color="auto"/>
              <w:right w:val="single" w:sz="4" w:space="0" w:color="auto"/>
            </w:tcBorders>
          </w:tcPr>
          <w:p w14:paraId="094F789F" w14:textId="77777777" w:rsidR="00400398" w:rsidRPr="00215594" w:rsidRDefault="00400398" w:rsidP="000603E8">
            <w:pPr>
              <w:keepNext/>
              <w:jc w:val="center"/>
              <w:rPr>
                <w:sz w:val="18"/>
                <w:szCs w:val="18"/>
              </w:rPr>
            </w:pPr>
          </w:p>
        </w:tc>
        <w:tc>
          <w:tcPr>
            <w:tcW w:w="766" w:type="pct"/>
            <w:tcBorders>
              <w:top w:val="single" w:sz="4" w:space="0" w:color="auto"/>
              <w:left w:val="single" w:sz="4" w:space="0" w:color="auto"/>
              <w:bottom w:val="single" w:sz="4" w:space="0" w:color="auto"/>
              <w:right w:val="single" w:sz="4" w:space="0" w:color="auto"/>
            </w:tcBorders>
          </w:tcPr>
          <w:p w14:paraId="48D31798" w14:textId="77777777" w:rsidR="00400398" w:rsidRPr="00215594" w:rsidRDefault="00400398" w:rsidP="000603E8">
            <w:pPr>
              <w:keepNext/>
              <w:keepLines/>
              <w:jc w:val="center"/>
              <w:rPr>
                <w:sz w:val="18"/>
                <w:szCs w:val="18"/>
              </w:rPr>
            </w:pPr>
            <w:r w:rsidRPr="00215594">
              <w:rPr>
                <w:sz w:val="18"/>
                <w:szCs w:val="18"/>
              </w:rPr>
              <w:t>Insuficiência cardíaca congestiva</w:t>
            </w:r>
            <w:r w:rsidRPr="00215594">
              <w:rPr>
                <w:sz w:val="18"/>
                <w:szCs w:val="18"/>
                <w:vertAlign w:val="superscript"/>
              </w:rPr>
              <w:t>b,d</w:t>
            </w:r>
            <w:r w:rsidRPr="00215594">
              <w:rPr>
                <w:sz w:val="18"/>
                <w:szCs w:val="18"/>
              </w:rPr>
              <w:t>,</w:t>
            </w:r>
          </w:p>
          <w:p w14:paraId="653D0605" w14:textId="77777777" w:rsidR="00400398" w:rsidRPr="00215594" w:rsidRDefault="00400398" w:rsidP="000603E8">
            <w:pPr>
              <w:jc w:val="center"/>
              <w:rPr>
                <w:b/>
                <w:sz w:val="18"/>
                <w:szCs w:val="18"/>
              </w:rPr>
            </w:pPr>
            <w:r w:rsidRPr="00215594">
              <w:rPr>
                <w:sz w:val="18"/>
                <w:szCs w:val="18"/>
              </w:rPr>
              <w:t>Taquicardia supraventricular</w:t>
            </w:r>
          </w:p>
        </w:tc>
        <w:tc>
          <w:tcPr>
            <w:tcW w:w="689" w:type="pct"/>
            <w:tcBorders>
              <w:top w:val="single" w:sz="4" w:space="0" w:color="auto"/>
              <w:left w:val="single" w:sz="4" w:space="0" w:color="auto"/>
              <w:bottom w:val="single" w:sz="4" w:space="0" w:color="auto"/>
              <w:right w:val="single" w:sz="4" w:space="0" w:color="auto"/>
            </w:tcBorders>
          </w:tcPr>
          <w:p w14:paraId="711CEBEB" w14:textId="77777777" w:rsidR="00400398" w:rsidRPr="00215594" w:rsidRDefault="00400398" w:rsidP="000603E8">
            <w:pPr>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7D938B1B" w14:textId="77777777" w:rsidR="00400398" w:rsidRPr="00215594" w:rsidRDefault="00400398" w:rsidP="000603E8">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14:paraId="204C8B03" w14:textId="77777777" w:rsidR="00400398" w:rsidRPr="00215594" w:rsidRDefault="00400398" w:rsidP="000603E8">
            <w:pPr>
              <w:jc w:val="center"/>
              <w:rPr>
                <w:sz w:val="18"/>
                <w:szCs w:val="18"/>
              </w:rPr>
            </w:pPr>
          </w:p>
        </w:tc>
        <w:tc>
          <w:tcPr>
            <w:tcW w:w="690" w:type="pct"/>
            <w:tcBorders>
              <w:top w:val="single" w:sz="4" w:space="0" w:color="auto"/>
              <w:left w:val="single" w:sz="4" w:space="0" w:color="auto"/>
              <w:bottom w:val="single" w:sz="4" w:space="0" w:color="auto"/>
              <w:right w:val="single" w:sz="4" w:space="0" w:color="auto"/>
            </w:tcBorders>
          </w:tcPr>
          <w:p w14:paraId="337DC3D6" w14:textId="77777777" w:rsidR="00400398" w:rsidRPr="00215594" w:rsidRDefault="00400398" w:rsidP="000603E8">
            <w:pPr>
              <w:jc w:val="center"/>
              <w:rPr>
                <w:sz w:val="18"/>
                <w:szCs w:val="18"/>
              </w:rPr>
            </w:pPr>
          </w:p>
        </w:tc>
      </w:tr>
      <w:tr w:rsidR="00400398" w:rsidRPr="00215594" w14:paraId="746CAE47" w14:textId="77777777" w:rsidTr="000603E8">
        <w:tc>
          <w:tcPr>
            <w:tcW w:w="771" w:type="pct"/>
            <w:tcBorders>
              <w:top w:val="single" w:sz="4" w:space="0" w:color="auto"/>
              <w:left w:val="single" w:sz="4" w:space="0" w:color="auto"/>
              <w:bottom w:val="single" w:sz="4" w:space="0" w:color="auto"/>
              <w:right w:val="single" w:sz="4" w:space="0" w:color="auto"/>
            </w:tcBorders>
          </w:tcPr>
          <w:p w14:paraId="6A05B48C" w14:textId="77777777" w:rsidR="00400398" w:rsidRPr="00215594" w:rsidRDefault="00400398" w:rsidP="00A20651">
            <w:pPr>
              <w:jc w:val="center"/>
              <w:rPr>
                <w:sz w:val="18"/>
                <w:szCs w:val="18"/>
              </w:rPr>
            </w:pPr>
            <w:r w:rsidRPr="00215594">
              <w:rPr>
                <w:sz w:val="18"/>
                <w:szCs w:val="18"/>
              </w:rPr>
              <w:t>Vasculopatias</w:t>
            </w:r>
          </w:p>
        </w:tc>
        <w:tc>
          <w:tcPr>
            <w:tcW w:w="767" w:type="pct"/>
            <w:tcBorders>
              <w:top w:val="single" w:sz="4" w:space="0" w:color="auto"/>
              <w:left w:val="single" w:sz="4" w:space="0" w:color="auto"/>
              <w:bottom w:val="single" w:sz="4" w:space="0" w:color="auto"/>
              <w:right w:val="single" w:sz="4" w:space="0" w:color="auto"/>
            </w:tcBorders>
          </w:tcPr>
          <w:p w14:paraId="77EC516C" w14:textId="77777777" w:rsidR="00400398" w:rsidRPr="00215594" w:rsidRDefault="00400398" w:rsidP="00EA31CF">
            <w:pPr>
              <w:keepNext/>
              <w:keepLines/>
              <w:jc w:val="center"/>
              <w:rPr>
                <w:b/>
                <w:noProof/>
                <w:sz w:val="18"/>
                <w:szCs w:val="18"/>
                <w:vertAlign w:val="superscript"/>
              </w:rPr>
            </w:pPr>
            <w:r w:rsidRPr="00215594">
              <w:rPr>
                <w:noProof/>
                <w:sz w:val="18"/>
                <w:szCs w:val="18"/>
              </w:rPr>
              <w:t>Hipertensão</w:t>
            </w:r>
            <w:r w:rsidRPr="00215594">
              <w:rPr>
                <w:noProof/>
                <w:sz w:val="18"/>
                <w:szCs w:val="18"/>
                <w:vertAlign w:val="superscript"/>
              </w:rPr>
              <w:t>b,d</w:t>
            </w:r>
            <w:r w:rsidRPr="00215594">
              <w:rPr>
                <w:noProof/>
                <w:sz w:val="18"/>
                <w:szCs w:val="18"/>
              </w:rPr>
              <w:t>,</w:t>
            </w:r>
            <w:r w:rsidRPr="00215594">
              <w:rPr>
                <w:i/>
                <w:sz w:val="18"/>
                <w:szCs w:val="18"/>
              </w:rPr>
              <w:t xml:space="preserve"> </w:t>
            </w:r>
            <w:r w:rsidRPr="00215594">
              <w:rPr>
                <w:sz w:val="18"/>
                <w:szCs w:val="18"/>
              </w:rPr>
              <w:t>Tromboembolismo (venoso)</w:t>
            </w:r>
            <w:r w:rsidRPr="00215594">
              <w:rPr>
                <w:sz w:val="18"/>
                <w:szCs w:val="18"/>
                <w:vertAlign w:val="superscript"/>
              </w:rPr>
              <w:t>b,d</w:t>
            </w:r>
          </w:p>
        </w:tc>
        <w:tc>
          <w:tcPr>
            <w:tcW w:w="766" w:type="pct"/>
            <w:tcBorders>
              <w:top w:val="single" w:sz="4" w:space="0" w:color="auto"/>
              <w:left w:val="single" w:sz="4" w:space="0" w:color="auto"/>
              <w:bottom w:val="single" w:sz="4" w:space="0" w:color="auto"/>
              <w:right w:val="single" w:sz="4" w:space="0" w:color="auto"/>
            </w:tcBorders>
          </w:tcPr>
          <w:p w14:paraId="3FFC9206" w14:textId="77777777" w:rsidR="00400398" w:rsidRPr="00215594" w:rsidRDefault="00400398" w:rsidP="00EA31CF">
            <w:pPr>
              <w:keepNext/>
              <w:keepLines/>
              <w:jc w:val="center"/>
              <w:rPr>
                <w:sz w:val="18"/>
                <w:szCs w:val="18"/>
              </w:rPr>
            </w:pPr>
            <w:r w:rsidRPr="00215594">
              <w:rPr>
                <w:sz w:val="18"/>
                <w:szCs w:val="18"/>
              </w:rPr>
              <w:t>Tromboembolismo (arterial)</w:t>
            </w:r>
            <w:r w:rsidRPr="00215594">
              <w:rPr>
                <w:sz w:val="18"/>
                <w:szCs w:val="18"/>
                <w:vertAlign w:val="superscript"/>
              </w:rPr>
              <w:t>b,d</w:t>
            </w:r>
            <w:r w:rsidRPr="00215594">
              <w:rPr>
                <w:sz w:val="18"/>
                <w:szCs w:val="18"/>
              </w:rPr>
              <w:t>,</w:t>
            </w:r>
          </w:p>
          <w:p w14:paraId="577AB856" w14:textId="77777777" w:rsidR="00400398" w:rsidRPr="00215594" w:rsidRDefault="00400398" w:rsidP="00EA31CF">
            <w:pPr>
              <w:keepNext/>
              <w:keepLines/>
              <w:jc w:val="center"/>
              <w:rPr>
                <w:b/>
                <w:sz w:val="18"/>
                <w:szCs w:val="18"/>
              </w:rPr>
            </w:pPr>
            <w:r w:rsidRPr="00215594">
              <w:rPr>
                <w:sz w:val="18"/>
                <w:szCs w:val="18"/>
              </w:rPr>
              <w:t>Hemorragia</w:t>
            </w:r>
            <w:r w:rsidRPr="00215594">
              <w:rPr>
                <w:sz w:val="18"/>
                <w:szCs w:val="18"/>
                <w:vertAlign w:val="superscript"/>
              </w:rPr>
              <w:t>b,d</w:t>
            </w:r>
            <w:r w:rsidRPr="00215594">
              <w:rPr>
                <w:sz w:val="18"/>
                <w:szCs w:val="18"/>
              </w:rPr>
              <w:t>, Trombose venosa profunda</w:t>
            </w:r>
          </w:p>
        </w:tc>
        <w:tc>
          <w:tcPr>
            <w:tcW w:w="689" w:type="pct"/>
            <w:tcBorders>
              <w:top w:val="single" w:sz="4" w:space="0" w:color="auto"/>
              <w:left w:val="single" w:sz="4" w:space="0" w:color="auto"/>
              <w:bottom w:val="single" w:sz="4" w:space="0" w:color="auto"/>
              <w:right w:val="single" w:sz="4" w:space="0" w:color="auto"/>
            </w:tcBorders>
          </w:tcPr>
          <w:p w14:paraId="19FE9203" w14:textId="77777777" w:rsidR="00400398" w:rsidRPr="00215594" w:rsidRDefault="00400398" w:rsidP="000603E8">
            <w:pPr>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56343D9A" w14:textId="77777777" w:rsidR="00400398" w:rsidRPr="00215594" w:rsidRDefault="00400398" w:rsidP="000603E8">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14:paraId="2D2C25D9" w14:textId="77777777" w:rsidR="00400398" w:rsidRPr="00215594" w:rsidRDefault="00400398" w:rsidP="000603E8">
            <w:pPr>
              <w:jc w:val="center"/>
              <w:rPr>
                <w:sz w:val="18"/>
                <w:szCs w:val="18"/>
              </w:rPr>
            </w:pPr>
          </w:p>
        </w:tc>
        <w:tc>
          <w:tcPr>
            <w:tcW w:w="690" w:type="pct"/>
            <w:tcBorders>
              <w:top w:val="single" w:sz="4" w:space="0" w:color="auto"/>
              <w:left w:val="single" w:sz="4" w:space="0" w:color="auto"/>
              <w:bottom w:val="single" w:sz="4" w:space="0" w:color="auto"/>
              <w:right w:val="single" w:sz="4" w:space="0" w:color="auto"/>
            </w:tcBorders>
          </w:tcPr>
          <w:p w14:paraId="11B4B4B3" w14:textId="77777777" w:rsidR="00F017B3" w:rsidRPr="00215594" w:rsidRDefault="00400398" w:rsidP="00F017B3">
            <w:pPr>
              <w:jc w:val="center"/>
              <w:rPr>
                <w:sz w:val="18"/>
                <w:szCs w:val="18"/>
              </w:rPr>
            </w:pPr>
            <w:r w:rsidRPr="00215594">
              <w:rPr>
                <w:sz w:val="18"/>
                <w:szCs w:val="18"/>
              </w:rPr>
              <w:t>Microangiopatia trombótica renal</w:t>
            </w:r>
            <w:r w:rsidRPr="00215594">
              <w:rPr>
                <w:sz w:val="18"/>
                <w:szCs w:val="18"/>
                <w:vertAlign w:val="superscript"/>
              </w:rPr>
              <w:t>a,b</w:t>
            </w:r>
            <w:r w:rsidR="00F017B3" w:rsidRPr="00215594">
              <w:rPr>
                <w:sz w:val="18"/>
                <w:szCs w:val="18"/>
              </w:rPr>
              <w:t xml:space="preserve">, Aneurismas e dissecções </w:t>
            </w:r>
            <w:r w:rsidR="00987330" w:rsidRPr="00215594">
              <w:rPr>
                <w:sz w:val="18"/>
                <w:szCs w:val="18"/>
              </w:rPr>
              <w:t>das artérias</w:t>
            </w:r>
          </w:p>
          <w:p w14:paraId="5C84F9B6" w14:textId="77777777" w:rsidR="00400398" w:rsidRPr="00215594" w:rsidRDefault="00400398" w:rsidP="000603E8">
            <w:pPr>
              <w:jc w:val="center"/>
              <w:rPr>
                <w:sz w:val="18"/>
                <w:szCs w:val="18"/>
              </w:rPr>
            </w:pPr>
          </w:p>
        </w:tc>
      </w:tr>
      <w:tr w:rsidR="00400398" w:rsidRPr="00215594" w14:paraId="175DBD82" w14:textId="77777777" w:rsidTr="000603E8">
        <w:tc>
          <w:tcPr>
            <w:tcW w:w="771" w:type="pct"/>
            <w:tcBorders>
              <w:top w:val="single" w:sz="4" w:space="0" w:color="auto"/>
              <w:left w:val="single" w:sz="4" w:space="0" w:color="auto"/>
              <w:bottom w:val="single" w:sz="4" w:space="0" w:color="auto"/>
              <w:right w:val="single" w:sz="4" w:space="0" w:color="auto"/>
            </w:tcBorders>
          </w:tcPr>
          <w:p w14:paraId="0866E0F8" w14:textId="77777777" w:rsidR="00400398" w:rsidRPr="00215594" w:rsidRDefault="00400398" w:rsidP="002206F3">
            <w:pPr>
              <w:jc w:val="center"/>
              <w:rPr>
                <w:sz w:val="18"/>
                <w:szCs w:val="18"/>
              </w:rPr>
            </w:pPr>
            <w:r w:rsidRPr="00215594">
              <w:rPr>
                <w:sz w:val="18"/>
                <w:szCs w:val="18"/>
              </w:rPr>
              <w:t>Doenças respiratórias, torácicas e do mediastino</w:t>
            </w:r>
          </w:p>
        </w:tc>
        <w:tc>
          <w:tcPr>
            <w:tcW w:w="767" w:type="pct"/>
            <w:tcBorders>
              <w:top w:val="single" w:sz="4" w:space="0" w:color="auto"/>
              <w:left w:val="single" w:sz="4" w:space="0" w:color="auto"/>
              <w:bottom w:val="single" w:sz="4" w:space="0" w:color="auto"/>
              <w:right w:val="single" w:sz="4" w:space="0" w:color="auto"/>
            </w:tcBorders>
          </w:tcPr>
          <w:p w14:paraId="6DD13147" w14:textId="77777777" w:rsidR="00400398" w:rsidRPr="00215594" w:rsidRDefault="00400398" w:rsidP="002206F3">
            <w:pPr>
              <w:jc w:val="center"/>
              <w:rPr>
                <w:sz w:val="18"/>
                <w:szCs w:val="18"/>
              </w:rPr>
            </w:pPr>
            <w:r w:rsidRPr="00215594">
              <w:rPr>
                <w:sz w:val="18"/>
                <w:szCs w:val="18"/>
              </w:rPr>
              <w:t>Dispneia</w:t>
            </w:r>
          </w:p>
          <w:p w14:paraId="0D5C70EC" w14:textId="77777777" w:rsidR="00400398" w:rsidRPr="00215594" w:rsidRDefault="00400398" w:rsidP="002206F3">
            <w:pPr>
              <w:jc w:val="center"/>
              <w:rPr>
                <w:sz w:val="18"/>
                <w:szCs w:val="18"/>
              </w:rPr>
            </w:pPr>
            <w:r w:rsidRPr="00215594">
              <w:rPr>
                <w:sz w:val="18"/>
                <w:szCs w:val="18"/>
              </w:rPr>
              <w:t>Rinite</w:t>
            </w:r>
          </w:p>
          <w:p w14:paraId="2E64D897" w14:textId="77777777" w:rsidR="00C93B1B" w:rsidRPr="00215594" w:rsidRDefault="00C93B1B" w:rsidP="002206F3">
            <w:pPr>
              <w:jc w:val="center"/>
              <w:rPr>
                <w:sz w:val="18"/>
                <w:szCs w:val="18"/>
              </w:rPr>
            </w:pPr>
            <w:r w:rsidRPr="00215594">
              <w:rPr>
                <w:sz w:val="18"/>
                <w:szCs w:val="18"/>
              </w:rPr>
              <w:t>Epistaxe</w:t>
            </w:r>
          </w:p>
          <w:p w14:paraId="6DD5DDF0" w14:textId="77777777" w:rsidR="00C93B1B" w:rsidRPr="00215594" w:rsidRDefault="00C93B1B" w:rsidP="002206F3">
            <w:pPr>
              <w:jc w:val="center"/>
              <w:rPr>
                <w:sz w:val="18"/>
                <w:szCs w:val="18"/>
              </w:rPr>
            </w:pPr>
            <w:r w:rsidRPr="00215594">
              <w:rPr>
                <w:sz w:val="18"/>
                <w:szCs w:val="18"/>
              </w:rPr>
              <w:t>Tosse</w:t>
            </w:r>
          </w:p>
          <w:p w14:paraId="40B02C29" w14:textId="77777777" w:rsidR="00400398" w:rsidRPr="00215594" w:rsidRDefault="00400398" w:rsidP="002206F3">
            <w:pPr>
              <w:ind w:left="567" w:hanging="567"/>
              <w:jc w:val="center"/>
              <w:outlineLvl w:val="0"/>
              <w:rPr>
                <w:b/>
                <w:noProof/>
                <w:sz w:val="18"/>
                <w:szCs w:val="18"/>
              </w:rPr>
            </w:pPr>
          </w:p>
        </w:tc>
        <w:tc>
          <w:tcPr>
            <w:tcW w:w="766" w:type="pct"/>
            <w:tcBorders>
              <w:top w:val="single" w:sz="4" w:space="0" w:color="auto"/>
              <w:left w:val="single" w:sz="4" w:space="0" w:color="auto"/>
              <w:bottom w:val="single" w:sz="4" w:space="0" w:color="auto"/>
              <w:right w:val="single" w:sz="4" w:space="0" w:color="auto"/>
            </w:tcBorders>
          </w:tcPr>
          <w:p w14:paraId="419AF0FE" w14:textId="77777777" w:rsidR="00400398" w:rsidRPr="00215594" w:rsidRDefault="00400398" w:rsidP="002206F3">
            <w:pPr>
              <w:jc w:val="center"/>
              <w:rPr>
                <w:sz w:val="18"/>
                <w:szCs w:val="18"/>
              </w:rPr>
            </w:pPr>
            <w:r w:rsidRPr="00215594">
              <w:rPr>
                <w:sz w:val="18"/>
                <w:szCs w:val="18"/>
              </w:rPr>
              <w:t>Hemorragia pulmonar/</w:t>
            </w:r>
          </w:p>
          <w:p w14:paraId="701C20C7" w14:textId="77777777" w:rsidR="00400398" w:rsidRPr="00215594" w:rsidRDefault="00400398" w:rsidP="002206F3">
            <w:pPr>
              <w:jc w:val="center"/>
              <w:rPr>
                <w:sz w:val="18"/>
                <w:szCs w:val="18"/>
              </w:rPr>
            </w:pPr>
            <w:r w:rsidRPr="00215594">
              <w:rPr>
                <w:sz w:val="18"/>
                <w:szCs w:val="18"/>
              </w:rPr>
              <w:t>Hemoptise</w:t>
            </w:r>
            <w:r w:rsidRPr="00215594">
              <w:rPr>
                <w:sz w:val="18"/>
                <w:szCs w:val="18"/>
                <w:vertAlign w:val="superscript"/>
              </w:rPr>
              <w:t>b,d</w:t>
            </w:r>
            <w:r w:rsidRPr="00215594">
              <w:rPr>
                <w:sz w:val="18"/>
                <w:szCs w:val="18"/>
              </w:rPr>
              <w:t>,</w:t>
            </w:r>
          </w:p>
          <w:p w14:paraId="022270B3" w14:textId="77777777" w:rsidR="00400398" w:rsidRPr="00215594" w:rsidRDefault="00400398" w:rsidP="002206F3">
            <w:pPr>
              <w:jc w:val="center"/>
              <w:rPr>
                <w:sz w:val="18"/>
                <w:szCs w:val="18"/>
              </w:rPr>
            </w:pPr>
            <w:r w:rsidRPr="00215594">
              <w:rPr>
                <w:sz w:val="18"/>
                <w:szCs w:val="18"/>
              </w:rPr>
              <w:t>Embolia pulmonar,</w:t>
            </w:r>
          </w:p>
          <w:p w14:paraId="7E4A46FC" w14:textId="77777777" w:rsidR="00400398" w:rsidRPr="00215594" w:rsidRDefault="00400398" w:rsidP="002206F3">
            <w:pPr>
              <w:jc w:val="center"/>
              <w:rPr>
                <w:sz w:val="18"/>
                <w:szCs w:val="18"/>
              </w:rPr>
            </w:pPr>
            <w:r w:rsidRPr="00215594">
              <w:rPr>
                <w:sz w:val="18"/>
                <w:szCs w:val="18"/>
              </w:rPr>
              <w:t>, Hipóxia,</w:t>
            </w:r>
          </w:p>
          <w:p w14:paraId="02922817" w14:textId="77777777" w:rsidR="00400398" w:rsidRPr="00215594" w:rsidRDefault="00400398" w:rsidP="002206F3">
            <w:pPr>
              <w:jc w:val="center"/>
              <w:rPr>
                <w:b/>
                <w:sz w:val="18"/>
                <w:szCs w:val="18"/>
                <w:vertAlign w:val="superscript"/>
              </w:rPr>
            </w:pPr>
            <w:r w:rsidRPr="00215594">
              <w:rPr>
                <w:sz w:val="18"/>
                <w:szCs w:val="18"/>
              </w:rPr>
              <w:t>Disfonia</w:t>
            </w:r>
            <w:r w:rsidRPr="00215594">
              <w:rPr>
                <w:sz w:val="18"/>
                <w:szCs w:val="18"/>
                <w:vertAlign w:val="superscript"/>
              </w:rPr>
              <w:t>a</w:t>
            </w:r>
          </w:p>
        </w:tc>
        <w:tc>
          <w:tcPr>
            <w:tcW w:w="689" w:type="pct"/>
            <w:tcBorders>
              <w:top w:val="single" w:sz="4" w:space="0" w:color="auto"/>
              <w:left w:val="single" w:sz="4" w:space="0" w:color="auto"/>
              <w:bottom w:val="single" w:sz="4" w:space="0" w:color="auto"/>
              <w:right w:val="single" w:sz="4" w:space="0" w:color="auto"/>
            </w:tcBorders>
          </w:tcPr>
          <w:p w14:paraId="3C18AC2F" w14:textId="77777777" w:rsidR="00400398" w:rsidRPr="00215594" w:rsidRDefault="00400398" w:rsidP="002206F3">
            <w:pPr>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199258E7" w14:textId="77777777" w:rsidR="00400398" w:rsidRPr="00215594" w:rsidRDefault="00400398" w:rsidP="002206F3">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14:paraId="1E694786" w14:textId="77777777" w:rsidR="00400398" w:rsidRPr="00215594" w:rsidRDefault="00400398" w:rsidP="002206F3">
            <w:pPr>
              <w:jc w:val="center"/>
              <w:rPr>
                <w:sz w:val="18"/>
                <w:szCs w:val="18"/>
              </w:rPr>
            </w:pPr>
          </w:p>
        </w:tc>
        <w:tc>
          <w:tcPr>
            <w:tcW w:w="690" w:type="pct"/>
            <w:tcBorders>
              <w:top w:val="single" w:sz="4" w:space="0" w:color="auto"/>
              <w:left w:val="single" w:sz="4" w:space="0" w:color="auto"/>
              <w:bottom w:val="single" w:sz="4" w:space="0" w:color="auto"/>
              <w:right w:val="single" w:sz="4" w:space="0" w:color="auto"/>
            </w:tcBorders>
          </w:tcPr>
          <w:p w14:paraId="47E99C99" w14:textId="77777777" w:rsidR="00400398" w:rsidRPr="00215594" w:rsidRDefault="00400398" w:rsidP="002206F3">
            <w:pPr>
              <w:jc w:val="center"/>
              <w:rPr>
                <w:sz w:val="18"/>
                <w:szCs w:val="18"/>
              </w:rPr>
            </w:pPr>
            <w:r w:rsidRPr="00215594">
              <w:rPr>
                <w:sz w:val="18"/>
                <w:szCs w:val="18"/>
              </w:rPr>
              <w:t>Hipertensão pulmonar</w:t>
            </w:r>
            <w:r w:rsidRPr="00215594">
              <w:rPr>
                <w:sz w:val="18"/>
                <w:szCs w:val="18"/>
                <w:vertAlign w:val="superscript"/>
              </w:rPr>
              <w:t>a</w:t>
            </w:r>
            <w:r w:rsidRPr="00215594">
              <w:rPr>
                <w:sz w:val="18"/>
                <w:szCs w:val="18"/>
              </w:rPr>
              <w:t>,</w:t>
            </w:r>
          </w:p>
          <w:p w14:paraId="682966E8" w14:textId="77777777" w:rsidR="00400398" w:rsidRPr="00215594" w:rsidRDefault="00400398" w:rsidP="002206F3">
            <w:pPr>
              <w:jc w:val="center"/>
              <w:rPr>
                <w:sz w:val="18"/>
                <w:szCs w:val="18"/>
              </w:rPr>
            </w:pPr>
            <w:r w:rsidRPr="00215594">
              <w:rPr>
                <w:sz w:val="18"/>
                <w:szCs w:val="18"/>
              </w:rPr>
              <w:t>Perfuração do septo nasal</w:t>
            </w:r>
            <w:r w:rsidRPr="00215594">
              <w:rPr>
                <w:sz w:val="18"/>
                <w:szCs w:val="18"/>
                <w:vertAlign w:val="superscript"/>
              </w:rPr>
              <w:t>a</w:t>
            </w:r>
          </w:p>
        </w:tc>
      </w:tr>
      <w:tr w:rsidR="00400398" w:rsidRPr="00215594" w14:paraId="3C829B9F" w14:textId="77777777" w:rsidTr="000603E8">
        <w:tc>
          <w:tcPr>
            <w:tcW w:w="771" w:type="pct"/>
            <w:tcBorders>
              <w:top w:val="single" w:sz="4" w:space="0" w:color="auto"/>
              <w:left w:val="single" w:sz="4" w:space="0" w:color="auto"/>
              <w:bottom w:val="single" w:sz="4" w:space="0" w:color="auto"/>
              <w:right w:val="single" w:sz="4" w:space="0" w:color="auto"/>
            </w:tcBorders>
          </w:tcPr>
          <w:p w14:paraId="023BD4EF" w14:textId="77777777" w:rsidR="00400398" w:rsidRPr="00215594" w:rsidRDefault="00400398" w:rsidP="00A20651">
            <w:pPr>
              <w:keepNext/>
              <w:keepLines/>
              <w:jc w:val="center"/>
              <w:rPr>
                <w:sz w:val="18"/>
                <w:szCs w:val="18"/>
              </w:rPr>
            </w:pPr>
            <w:r w:rsidRPr="00215594">
              <w:rPr>
                <w:sz w:val="18"/>
                <w:szCs w:val="18"/>
              </w:rPr>
              <w:lastRenderedPageBreak/>
              <w:t>Doenças gastrointestinais</w:t>
            </w:r>
          </w:p>
        </w:tc>
        <w:tc>
          <w:tcPr>
            <w:tcW w:w="767" w:type="pct"/>
            <w:tcBorders>
              <w:top w:val="single" w:sz="4" w:space="0" w:color="auto"/>
              <w:left w:val="single" w:sz="4" w:space="0" w:color="auto"/>
              <w:bottom w:val="single" w:sz="4" w:space="0" w:color="auto"/>
              <w:right w:val="single" w:sz="4" w:space="0" w:color="auto"/>
            </w:tcBorders>
          </w:tcPr>
          <w:p w14:paraId="4C648AD9" w14:textId="77777777" w:rsidR="00400398" w:rsidRPr="00215594" w:rsidRDefault="00400398" w:rsidP="000603E8">
            <w:pPr>
              <w:keepNext/>
              <w:keepLines/>
              <w:jc w:val="center"/>
              <w:rPr>
                <w:sz w:val="18"/>
                <w:szCs w:val="18"/>
              </w:rPr>
            </w:pPr>
            <w:r w:rsidRPr="00215594">
              <w:rPr>
                <w:sz w:val="18"/>
                <w:szCs w:val="18"/>
              </w:rPr>
              <w:t>Hemorragia do reto,</w:t>
            </w:r>
          </w:p>
          <w:p w14:paraId="482F7F40" w14:textId="77777777" w:rsidR="00400398" w:rsidRPr="00215594" w:rsidRDefault="00400398" w:rsidP="000603E8">
            <w:pPr>
              <w:keepNext/>
              <w:keepLines/>
              <w:jc w:val="center"/>
              <w:rPr>
                <w:sz w:val="18"/>
                <w:szCs w:val="18"/>
              </w:rPr>
            </w:pPr>
            <w:r w:rsidRPr="00215594">
              <w:rPr>
                <w:sz w:val="18"/>
                <w:szCs w:val="18"/>
              </w:rPr>
              <w:t>Estomatite,</w:t>
            </w:r>
          </w:p>
          <w:p w14:paraId="6131919D" w14:textId="77777777" w:rsidR="00400398" w:rsidRPr="00215594" w:rsidRDefault="00400398" w:rsidP="000603E8">
            <w:pPr>
              <w:keepNext/>
              <w:keepLines/>
              <w:jc w:val="center"/>
              <w:rPr>
                <w:sz w:val="18"/>
                <w:szCs w:val="18"/>
              </w:rPr>
            </w:pPr>
            <w:r w:rsidRPr="00215594">
              <w:rPr>
                <w:sz w:val="18"/>
                <w:szCs w:val="18"/>
              </w:rPr>
              <w:t>Obstipação,</w:t>
            </w:r>
          </w:p>
          <w:p w14:paraId="45AC2C4C" w14:textId="77777777" w:rsidR="00400398" w:rsidRPr="00215594" w:rsidRDefault="00400398" w:rsidP="000603E8">
            <w:pPr>
              <w:keepNext/>
              <w:keepLines/>
              <w:jc w:val="center"/>
              <w:rPr>
                <w:sz w:val="18"/>
                <w:szCs w:val="18"/>
              </w:rPr>
            </w:pPr>
            <w:r w:rsidRPr="00215594">
              <w:rPr>
                <w:sz w:val="18"/>
                <w:szCs w:val="18"/>
              </w:rPr>
              <w:t>Diarreia,</w:t>
            </w:r>
          </w:p>
          <w:p w14:paraId="792C278A" w14:textId="77777777" w:rsidR="00400398" w:rsidRPr="00215594" w:rsidRDefault="00400398" w:rsidP="000603E8">
            <w:pPr>
              <w:keepNext/>
              <w:keepLines/>
              <w:jc w:val="center"/>
              <w:rPr>
                <w:sz w:val="18"/>
                <w:szCs w:val="18"/>
              </w:rPr>
            </w:pPr>
            <w:r w:rsidRPr="00215594">
              <w:rPr>
                <w:sz w:val="18"/>
                <w:szCs w:val="18"/>
              </w:rPr>
              <w:t>Náusea, Vómitos, Dor abdominal</w:t>
            </w:r>
          </w:p>
        </w:tc>
        <w:tc>
          <w:tcPr>
            <w:tcW w:w="766" w:type="pct"/>
            <w:tcBorders>
              <w:top w:val="single" w:sz="4" w:space="0" w:color="auto"/>
              <w:left w:val="single" w:sz="4" w:space="0" w:color="auto"/>
              <w:bottom w:val="single" w:sz="4" w:space="0" w:color="auto"/>
              <w:right w:val="single" w:sz="4" w:space="0" w:color="auto"/>
            </w:tcBorders>
          </w:tcPr>
          <w:p w14:paraId="2DF5C15C" w14:textId="77777777" w:rsidR="00400398" w:rsidRPr="00215594" w:rsidRDefault="00400398" w:rsidP="000603E8">
            <w:pPr>
              <w:keepNext/>
              <w:keepLines/>
              <w:jc w:val="center"/>
              <w:rPr>
                <w:sz w:val="18"/>
                <w:szCs w:val="18"/>
              </w:rPr>
            </w:pPr>
            <w:r w:rsidRPr="00215594">
              <w:rPr>
                <w:sz w:val="18"/>
                <w:szCs w:val="18"/>
              </w:rPr>
              <w:t>Perfuração gastrointestinal</w:t>
            </w:r>
            <w:r w:rsidRPr="00215594">
              <w:rPr>
                <w:sz w:val="18"/>
                <w:szCs w:val="18"/>
                <w:vertAlign w:val="superscript"/>
              </w:rPr>
              <w:t>b,d</w:t>
            </w:r>
            <w:r w:rsidRPr="00215594">
              <w:rPr>
                <w:sz w:val="18"/>
                <w:szCs w:val="18"/>
              </w:rPr>
              <w:t>,</w:t>
            </w:r>
          </w:p>
          <w:p w14:paraId="4807B360" w14:textId="77777777" w:rsidR="00400398" w:rsidRPr="00215594" w:rsidRDefault="00400398" w:rsidP="000603E8">
            <w:pPr>
              <w:keepNext/>
              <w:keepLines/>
              <w:jc w:val="center"/>
              <w:rPr>
                <w:sz w:val="18"/>
                <w:szCs w:val="18"/>
              </w:rPr>
            </w:pPr>
            <w:r w:rsidRPr="00215594">
              <w:rPr>
                <w:sz w:val="18"/>
                <w:szCs w:val="18"/>
              </w:rPr>
              <w:t>Perfuração intestinal,</w:t>
            </w:r>
          </w:p>
          <w:p w14:paraId="6A793241" w14:textId="77777777" w:rsidR="00400398" w:rsidRPr="00215594" w:rsidRDefault="00400398" w:rsidP="000603E8">
            <w:pPr>
              <w:keepNext/>
              <w:keepLines/>
              <w:jc w:val="center"/>
              <w:rPr>
                <w:sz w:val="18"/>
                <w:szCs w:val="18"/>
              </w:rPr>
            </w:pPr>
            <w:r w:rsidRPr="00215594">
              <w:rPr>
                <w:sz w:val="18"/>
                <w:szCs w:val="18"/>
              </w:rPr>
              <w:t>Ileus,</w:t>
            </w:r>
          </w:p>
          <w:p w14:paraId="4689D349" w14:textId="77777777" w:rsidR="00400398" w:rsidRPr="00215594" w:rsidRDefault="00400398" w:rsidP="000603E8">
            <w:pPr>
              <w:keepNext/>
              <w:keepLines/>
              <w:jc w:val="center"/>
              <w:rPr>
                <w:sz w:val="18"/>
                <w:szCs w:val="18"/>
              </w:rPr>
            </w:pPr>
            <w:r w:rsidRPr="00215594">
              <w:rPr>
                <w:sz w:val="18"/>
                <w:szCs w:val="18"/>
              </w:rPr>
              <w:t>Obstrução intestinal,</w:t>
            </w:r>
          </w:p>
          <w:p w14:paraId="307B7209" w14:textId="77777777" w:rsidR="00400398" w:rsidRPr="00215594" w:rsidRDefault="00400398" w:rsidP="000603E8">
            <w:pPr>
              <w:keepNext/>
              <w:keepLines/>
              <w:jc w:val="center"/>
              <w:rPr>
                <w:sz w:val="18"/>
                <w:szCs w:val="18"/>
              </w:rPr>
            </w:pPr>
            <w:r w:rsidRPr="00215594">
              <w:rPr>
                <w:sz w:val="18"/>
                <w:szCs w:val="18"/>
              </w:rPr>
              <w:t xml:space="preserve">Fístula retovaginal </w:t>
            </w:r>
            <w:r w:rsidRPr="00215594">
              <w:rPr>
                <w:bCs/>
                <w:sz w:val="18"/>
                <w:szCs w:val="18"/>
                <w:vertAlign w:val="superscript"/>
                <w:lang w:eastAsia="zh-TW"/>
              </w:rPr>
              <w:t>d,e</w:t>
            </w:r>
            <w:r w:rsidRPr="00215594">
              <w:rPr>
                <w:bCs/>
                <w:sz w:val="18"/>
                <w:szCs w:val="18"/>
                <w:lang w:eastAsia="zh-TW"/>
              </w:rPr>
              <w:t>,</w:t>
            </w:r>
          </w:p>
          <w:p w14:paraId="0AD286EF" w14:textId="77777777" w:rsidR="00400398" w:rsidRPr="00215594" w:rsidRDefault="00400398" w:rsidP="000603E8">
            <w:pPr>
              <w:keepNext/>
              <w:keepLines/>
              <w:jc w:val="center"/>
              <w:rPr>
                <w:b/>
                <w:sz w:val="18"/>
                <w:szCs w:val="18"/>
              </w:rPr>
            </w:pPr>
            <w:r w:rsidRPr="00215594">
              <w:rPr>
                <w:sz w:val="18"/>
                <w:szCs w:val="18"/>
              </w:rPr>
              <w:t>Afeção gastrointestinal, Proctalgia</w:t>
            </w:r>
          </w:p>
        </w:tc>
        <w:tc>
          <w:tcPr>
            <w:tcW w:w="689" w:type="pct"/>
            <w:tcBorders>
              <w:top w:val="single" w:sz="4" w:space="0" w:color="auto"/>
              <w:left w:val="single" w:sz="4" w:space="0" w:color="auto"/>
              <w:bottom w:val="single" w:sz="4" w:space="0" w:color="auto"/>
              <w:right w:val="single" w:sz="4" w:space="0" w:color="auto"/>
            </w:tcBorders>
          </w:tcPr>
          <w:p w14:paraId="498F3320" w14:textId="77777777" w:rsidR="00400398" w:rsidRPr="00215594" w:rsidRDefault="00400398" w:rsidP="000603E8">
            <w:pPr>
              <w:keepNext/>
              <w:keepLines/>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15A9243A" w14:textId="77777777" w:rsidR="00400398" w:rsidRPr="00215594" w:rsidRDefault="00400398" w:rsidP="000603E8">
            <w:pPr>
              <w:keepNext/>
              <w:keepLines/>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14:paraId="14DF7122" w14:textId="77777777" w:rsidR="00400398" w:rsidRPr="00215594" w:rsidRDefault="00400398" w:rsidP="000603E8">
            <w:pPr>
              <w:keepNext/>
              <w:keepLines/>
              <w:jc w:val="center"/>
              <w:rPr>
                <w:sz w:val="18"/>
                <w:szCs w:val="18"/>
              </w:rPr>
            </w:pPr>
          </w:p>
        </w:tc>
        <w:tc>
          <w:tcPr>
            <w:tcW w:w="690" w:type="pct"/>
            <w:tcBorders>
              <w:top w:val="single" w:sz="4" w:space="0" w:color="auto"/>
              <w:left w:val="single" w:sz="4" w:space="0" w:color="auto"/>
              <w:bottom w:val="single" w:sz="4" w:space="0" w:color="auto"/>
              <w:right w:val="single" w:sz="4" w:space="0" w:color="auto"/>
            </w:tcBorders>
          </w:tcPr>
          <w:p w14:paraId="5B03D155" w14:textId="77777777" w:rsidR="00400398" w:rsidRPr="00215594" w:rsidRDefault="00400398" w:rsidP="000603E8">
            <w:pPr>
              <w:keepNext/>
              <w:keepLines/>
              <w:jc w:val="center"/>
              <w:rPr>
                <w:sz w:val="18"/>
                <w:szCs w:val="18"/>
              </w:rPr>
            </w:pPr>
            <w:r w:rsidRPr="00215594">
              <w:rPr>
                <w:sz w:val="18"/>
                <w:szCs w:val="18"/>
              </w:rPr>
              <w:t>Úlcera gastrointestinal</w:t>
            </w:r>
            <w:r w:rsidRPr="00215594">
              <w:rPr>
                <w:sz w:val="18"/>
                <w:szCs w:val="18"/>
                <w:vertAlign w:val="superscript"/>
              </w:rPr>
              <w:t>a</w:t>
            </w:r>
          </w:p>
        </w:tc>
      </w:tr>
      <w:tr w:rsidR="00400398" w:rsidRPr="00215594" w14:paraId="109E0C06" w14:textId="77777777" w:rsidTr="000603E8">
        <w:tc>
          <w:tcPr>
            <w:tcW w:w="771" w:type="pct"/>
            <w:tcBorders>
              <w:top w:val="single" w:sz="4" w:space="0" w:color="auto"/>
              <w:left w:val="single" w:sz="4" w:space="0" w:color="auto"/>
              <w:bottom w:val="single" w:sz="4" w:space="0" w:color="auto"/>
              <w:right w:val="single" w:sz="4" w:space="0" w:color="auto"/>
            </w:tcBorders>
          </w:tcPr>
          <w:p w14:paraId="7998F242" w14:textId="77777777" w:rsidR="00400398" w:rsidRPr="00215594" w:rsidRDefault="00400398" w:rsidP="000C3BFB">
            <w:pPr>
              <w:keepNext/>
              <w:keepLines/>
              <w:jc w:val="center"/>
              <w:rPr>
                <w:sz w:val="18"/>
                <w:szCs w:val="18"/>
              </w:rPr>
            </w:pPr>
            <w:r w:rsidRPr="00215594">
              <w:rPr>
                <w:sz w:val="18"/>
                <w:szCs w:val="18"/>
              </w:rPr>
              <w:t>Afeções hepatobiliares</w:t>
            </w:r>
          </w:p>
        </w:tc>
        <w:tc>
          <w:tcPr>
            <w:tcW w:w="767" w:type="pct"/>
            <w:tcBorders>
              <w:top w:val="single" w:sz="4" w:space="0" w:color="auto"/>
              <w:left w:val="single" w:sz="4" w:space="0" w:color="auto"/>
              <w:bottom w:val="single" w:sz="4" w:space="0" w:color="auto"/>
              <w:right w:val="single" w:sz="4" w:space="0" w:color="auto"/>
            </w:tcBorders>
          </w:tcPr>
          <w:p w14:paraId="7B92C376" w14:textId="77777777" w:rsidR="00400398" w:rsidRPr="00215594" w:rsidRDefault="00400398" w:rsidP="000C3BFB">
            <w:pPr>
              <w:keepNext/>
              <w:keepLines/>
              <w:ind w:left="567" w:hanging="567"/>
              <w:jc w:val="center"/>
              <w:outlineLvl w:val="0"/>
              <w:rPr>
                <w:b/>
                <w:noProof/>
                <w:sz w:val="18"/>
                <w:szCs w:val="18"/>
              </w:rPr>
            </w:pPr>
          </w:p>
        </w:tc>
        <w:tc>
          <w:tcPr>
            <w:tcW w:w="766" w:type="pct"/>
            <w:tcBorders>
              <w:top w:val="single" w:sz="4" w:space="0" w:color="auto"/>
              <w:left w:val="single" w:sz="4" w:space="0" w:color="auto"/>
              <w:bottom w:val="single" w:sz="4" w:space="0" w:color="auto"/>
              <w:right w:val="single" w:sz="4" w:space="0" w:color="auto"/>
            </w:tcBorders>
          </w:tcPr>
          <w:p w14:paraId="48617EE0" w14:textId="77777777" w:rsidR="00400398" w:rsidRPr="00215594" w:rsidRDefault="00400398" w:rsidP="000C3BFB">
            <w:pPr>
              <w:keepNext/>
              <w:keepLines/>
              <w:jc w:val="center"/>
              <w:rPr>
                <w:b/>
                <w:sz w:val="18"/>
                <w:szCs w:val="18"/>
              </w:rPr>
            </w:pPr>
          </w:p>
        </w:tc>
        <w:tc>
          <w:tcPr>
            <w:tcW w:w="689" w:type="pct"/>
            <w:tcBorders>
              <w:top w:val="single" w:sz="4" w:space="0" w:color="auto"/>
              <w:left w:val="single" w:sz="4" w:space="0" w:color="auto"/>
              <w:bottom w:val="single" w:sz="4" w:space="0" w:color="auto"/>
              <w:right w:val="single" w:sz="4" w:space="0" w:color="auto"/>
            </w:tcBorders>
          </w:tcPr>
          <w:p w14:paraId="5F4D3EB3" w14:textId="77777777" w:rsidR="00400398" w:rsidRPr="00215594" w:rsidRDefault="00400398" w:rsidP="000C3BFB">
            <w:pPr>
              <w:keepNext/>
              <w:keepLines/>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316B4560" w14:textId="77777777" w:rsidR="00400398" w:rsidRPr="00215594" w:rsidRDefault="00400398" w:rsidP="000C3BFB">
            <w:pPr>
              <w:keepNext/>
              <w:keepLines/>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14:paraId="7B514060" w14:textId="77777777" w:rsidR="00400398" w:rsidRPr="00215594" w:rsidRDefault="00400398" w:rsidP="000C3BFB">
            <w:pPr>
              <w:keepNext/>
              <w:keepLines/>
              <w:jc w:val="center"/>
              <w:rPr>
                <w:sz w:val="18"/>
                <w:szCs w:val="18"/>
              </w:rPr>
            </w:pPr>
          </w:p>
        </w:tc>
        <w:tc>
          <w:tcPr>
            <w:tcW w:w="690" w:type="pct"/>
            <w:tcBorders>
              <w:top w:val="single" w:sz="4" w:space="0" w:color="auto"/>
              <w:left w:val="single" w:sz="4" w:space="0" w:color="auto"/>
              <w:bottom w:val="single" w:sz="4" w:space="0" w:color="auto"/>
              <w:right w:val="single" w:sz="4" w:space="0" w:color="auto"/>
            </w:tcBorders>
          </w:tcPr>
          <w:p w14:paraId="771F8E2B" w14:textId="77777777" w:rsidR="00400398" w:rsidRPr="00215594" w:rsidRDefault="00400398" w:rsidP="000C3BFB">
            <w:pPr>
              <w:keepNext/>
              <w:keepLines/>
              <w:jc w:val="center"/>
              <w:rPr>
                <w:sz w:val="18"/>
                <w:szCs w:val="18"/>
                <w:vertAlign w:val="superscript"/>
              </w:rPr>
            </w:pPr>
            <w:r w:rsidRPr="00215594">
              <w:rPr>
                <w:sz w:val="18"/>
                <w:szCs w:val="18"/>
              </w:rPr>
              <w:t>Perfuração da vesícula biliar</w:t>
            </w:r>
            <w:r w:rsidRPr="00215594">
              <w:rPr>
                <w:sz w:val="18"/>
                <w:szCs w:val="18"/>
                <w:vertAlign w:val="superscript"/>
              </w:rPr>
              <w:t>a,b</w:t>
            </w:r>
          </w:p>
        </w:tc>
      </w:tr>
      <w:tr w:rsidR="00400398" w:rsidRPr="00215594" w14:paraId="3ACA909F" w14:textId="77777777" w:rsidTr="000603E8">
        <w:tc>
          <w:tcPr>
            <w:tcW w:w="771" w:type="pct"/>
            <w:tcBorders>
              <w:top w:val="single" w:sz="4" w:space="0" w:color="auto"/>
              <w:left w:val="single" w:sz="4" w:space="0" w:color="auto"/>
              <w:bottom w:val="single" w:sz="4" w:space="0" w:color="auto"/>
              <w:right w:val="single" w:sz="4" w:space="0" w:color="auto"/>
            </w:tcBorders>
          </w:tcPr>
          <w:p w14:paraId="1A3FF429" w14:textId="77777777" w:rsidR="00400398" w:rsidRPr="00215594" w:rsidRDefault="00400398">
            <w:pPr>
              <w:keepNext/>
              <w:keepLines/>
              <w:jc w:val="center"/>
              <w:rPr>
                <w:sz w:val="18"/>
                <w:szCs w:val="18"/>
              </w:rPr>
            </w:pPr>
            <w:r w:rsidRPr="00215594">
              <w:rPr>
                <w:sz w:val="18"/>
                <w:szCs w:val="18"/>
              </w:rPr>
              <w:t>Afeções dos tecidos cutâneos e subcutâneos</w:t>
            </w:r>
          </w:p>
        </w:tc>
        <w:tc>
          <w:tcPr>
            <w:tcW w:w="767" w:type="pct"/>
            <w:tcBorders>
              <w:top w:val="single" w:sz="4" w:space="0" w:color="auto"/>
              <w:left w:val="single" w:sz="4" w:space="0" w:color="auto"/>
              <w:bottom w:val="single" w:sz="4" w:space="0" w:color="auto"/>
              <w:right w:val="single" w:sz="4" w:space="0" w:color="auto"/>
            </w:tcBorders>
          </w:tcPr>
          <w:p w14:paraId="2286824B" w14:textId="77777777" w:rsidR="00400398" w:rsidRPr="00215594" w:rsidRDefault="00400398">
            <w:pPr>
              <w:keepNext/>
              <w:keepLines/>
              <w:jc w:val="center"/>
              <w:rPr>
                <w:sz w:val="18"/>
                <w:szCs w:val="18"/>
              </w:rPr>
            </w:pPr>
            <w:r w:rsidRPr="00215594">
              <w:rPr>
                <w:sz w:val="18"/>
                <w:szCs w:val="18"/>
              </w:rPr>
              <w:t>Complicações na cicatrização de feridas</w:t>
            </w:r>
            <w:r w:rsidRPr="00215594">
              <w:rPr>
                <w:sz w:val="18"/>
                <w:szCs w:val="18"/>
                <w:vertAlign w:val="superscript"/>
              </w:rPr>
              <w:t>b,d</w:t>
            </w:r>
            <w:r w:rsidRPr="00215594">
              <w:rPr>
                <w:sz w:val="18"/>
                <w:szCs w:val="18"/>
              </w:rPr>
              <w:t>,</w:t>
            </w:r>
          </w:p>
          <w:p w14:paraId="1D412FF8" w14:textId="77777777" w:rsidR="00400398" w:rsidRPr="00215594" w:rsidRDefault="00400398">
            <w:pPr>
              <w:keepNext/>
              <w:keepLines/>
              <w:jc w:val="center"/>
              <w:rPr>
                <w:sz w:val="18"/>
                <w:szCs w:val="18"/>
              </w:rPr>
            </w:pPr>
            <w:r w:rsidRPr="00215594">
              <w:rPr>
                <w:sz w:val="18"/>
                <w:szCs w:val="18"/>
              </w:rPr>
              <w:t>Dermatite exfoliativa,</w:t>
            </w:r>
          </w:p>
          <w:p w14:paraId="68DA03D3" w14:textId="77777777" w:rsidR="00400398" w:rsidRPr="00215594" w:rsidRDefault="00400398">
            <w:pPr>
              <w:keepNext/>
              <w:keepLines/>
              <w:jc w:val="center"/>
              <w:rPr>
                <w:sz w:val="18"/>
                <w:szCs w:val="18"/>
              </w:rPr>
            </w:pPr>
            <w:r w:rsidRPr="00215594">
              <w:rPr>
                <w:sz w:val="18"/>
                <w:szCs w:val="18"/>
              </w:rPr>
              <w:t>Pele seca,</w:t>
            </w:r>
          </w:p>
          <w:p w14:paraId="0ED1A17A" w14:textId="77777777" w:rsidR="00400398" w:rsidRPr="00215594" w:rsidRDefault="00400398">
            <w:pPr>
              <w:keepNext/>
              <w:keepLines/>
              <w:jc w:val="center"/>
              <w:rPr>
                <w:sz w:val="18"/>
                <w:szCs w:val="18"/>
              </w:rPr>
            </w:pPr>
            <w:r w:rsidRPr="00215594">
              <w:rPr>
                <w:sz w:val="18"/>
                <w:szCs w:val="18"/>
              </w:rPr>
              <w:t>Descoloração da pele</w:t>
            </w:r>
          </w:p>
        </w:tc>
        <w:tc>
          <w:tcPr>
            <w:tcW w:w="766" w:type="pct"/>
            <w:tcBorders>
              <w:top w:val="single" w:sz="4" w:space="0" w:color="auto"/>
              <w:left w:val="single" w:sz="4" w:space="0" w:color="auto"/>
              <w:bottom w:val="single" w:sz="4" w:space="0" w:color="auto"/>
              <w:right w:val="single" w:sz="4" w:space="0" w:color="auto"/>
            </w:tcBorders>
          </w:tcPr>
          <w:p w14:paraId="1B2C8769" w14:textId="77777777" w:rsidR="00400398" w:rsidRPr="00215594" w:rsidRDefault="00400398">
            <w:pPr>
              <w:keepNext/>
              <w:keepLines/>
              <w:jc w:val="center"/>
              <w:rPr>
                <w:sz w:val="18"/>
                <w:szCs w:val="18"/>
              </w:rPr>
            </w:pPr>
            <w:r w:rsidRPr="00215594">
              <w:rPr>
                <w:sz w:val="18"/>
                <w:szCs w:val="18"/>
              </w:rPr>
              <w:t>Síndrome de eritrodisestesia palmo</w:t>
            </w:r>
            <w:r w:rsidRPr="00215594">
              <w:rPr>
                <w:sz w:val="18"/>
                <w:szCs w:val="18"/>
              </w:rPr>
              <w:noBreakHyphen/>
              <w:t>plantar</w:t>
            </w:r>
            <w:r w:rsidRPr="00215594" w:rsidDel="001A63F9">
              <w:rPr>
                <w:sz w:val="18"/>
                <w:szCs w:val="18"/>
              </w:rPr>
              <w:t xml:space="preserve"> </w:t>
            </w:r>
          </w:p>
        </w:tc>
        <w:tc>
          <w:tcPr>
            <w:tcW w:w="689" w:type="pct"/>
            <w:tcBorders>
              <w:top w:val="single" w:sz="4" w:space="0" w:color="auto"/>
              <w:left w:val="single" w:sz="4" w:space="0" w:color="auto"/>
              <w:bottom w:val="single" w:sz="4" w:space="0" w:color="auto"/>
              <w:right w:val="single" w:sz="4" w:space="0" w:color="auto"/>
            </w:tcBorders>
          </w:tcPr>
          <w:p w14:paraId="16538291" w14:textId="77777777" w:rsidR="00400398" w:rsidRPr="00215594" w:rsidRDefault="00400398" w:rsidP="00C82494">
            <w:pPr>
              <w:keepNext/>
              <w:keepLines/>
              <w:jc w:val="center"/>
              <w:rPr>
                <w:b/>
                <w:caps/>
                <w:sz w:val="18"/>
                <w:szCs w:val="18"/>
              </w:rPr>
            </w:pPr>
          </w:p>
        </w:tc>
        <w:tc>
          <w:tcPr>
            <w:tcW w:w="689" w:type="pct"/>
            <w:tcBorders>
              <w:top w:val="single" w:sz="4" w:space="0" w:color="auto"/>
              <w:left w:val="single" w:sz="4" w:space="0" w:color="auto"/>
              <w:bottom w:val="single" w:sz="4" w:space="0" w:color="auto"/>
              <w:right w:val="single" w:sz="4" w:space="0" w:color="auto"/>
            </w:tcBorders>
          </w:tcPr>
          <w:p w14:paraId="1CC4A9BA" w14:textId="77777777" w:rsidR="00400398" w:rsidRPr="00215594" w:rsidRDefault="00400398" w:rsidP="00C82494">
            <w:pPr>
              <w:keepNext/>
              <w:keepLines/>
              <w:jc w:val="center"/>
              <w:rPr>
                <w:b/>
                <w:caps/>
                <w:sz w:val="18"/>
                <w:szCs w:val="18"/>
              </w:rPr>
            </w:pPr>
          </w:p>
        </w:tc>
        <w:tc>
          <w:tcPr>
            <w:tcW w:w="628" w:type="pct"/>
            <w:tcBorders>
              <w:top w:val="single" w:sz="4" w:space="0" w:color="auto"/>
              <w:left w:val="single" w:sz="4" w:space="0" w:color="auto"/>
              <w:bottom w:val="single" w:sz="4" w:space="0" w:color="auto"/>
              <w:right w:val="single" w:sz="4" w:space="0" w:color="auto"/>
            </w:tcBorders>
          </w:tcPr>
          <w:p w14:paraId="3FB00F20" w14:textId="77777777" w:rsidR="00400398" w:rsidRPr="00215594" w:rsidRDefault="00400398" w:rsidP="00C82494">
            <w:pPr>
              <w:keepNext/>
              <w:keepLines/>
              <w:jc w:val="center"/>
              <w:rPr>
                <w:b/>
                <w:caps/>
                <w:sz w:val="18"/>
                <w:szCs w:val="18"/>
              </w:rPr>
            </w:pPr>
          </w:p>
        </w:tc>
        <w:tc>
          <w:tcPr>
            <w:tcW w:w="690" w:type="pct"/>
            <w:tcBorders>
              <w:top w:val="single" w:sz="4" w:space="0" w:color="auto"/>
              <w:left w:val="single" w:sz="4" w:space="0" w:color="auto"/>
              <w:bottom w:val="single" w:sz="4" w:space="0" w:color="auto"/>
              <w:right w:val="single" w:sz="4" w:space="0" w:color="auto"/>
            </w:tcBorders>
          </w:tcPr>
          <w:p w14:paraId="60410E32" w14:textId="77777777" w:rsidR="00400398" w:rsidRPr="00215594" w:rsidRDefault="00400398" w:rsidP="00C82494">
            <w:pPr>
              <w:keepNext/>
              <w:keepLines/>
              <w:jc w:val="center"/>
              <w:rPr>
                <w:b/>
                <w:caps/>
                <w:sz w:val="18"/>
                <w:szCs w:val="18"/>
              </w:rPr>
            </w:pPr>
          </w:p>
        </w:tc>
      </w:tr>
      <w:tr w:rsidR="00400398" w:rsidRPr="00215594" w14:paraId="2257F0D7" w14:textId="77777777" w:rsidTr="000603E8">
        <w:tc>
          <w:tcPr>
            <w:tcW w:w="771" w:type="pct"/>
            <w:tcBorders>
              <w:top w:val="single" w:sz="4" w:space="0" w:color="auto"/>
              <w:left w:val="single" w:sz="4" w:space="0" w:color="auto"/>
              <w:bottom w:val="single" w:sz="4" w:space="0" w:color="auto"/>
              <w:right w:val="single" w:sz="4" w:space="0" w:color="auto"/>
            </w:tcBorders>
          </w:tcPr>
          <w:p w14:paraId="081AF24A" w14:textId="77777777" w:rsidR="00400398" w:rsidRPr="00215594" w:rsidRDefault="00400398" w:rsidP="00A20651">
            <w:pPr>
              <w:keepNext/>
              <w:jc w:val="center"/>
              <w:rPr>
                <w:sz w:val="18"/>
                <w:szCs w:val="18"/>
              </w:rPr>
            </w:pPr>
            <w:r w:rsidRPr="00215594">
              <w:rPr>
                <w:sz w:val="18"/>
                <w:szCs w:val="18"/>
              </w:rPr>
              <w:t>Afeções musculosqueléticas e dos tecidos conjuntivos</w:t>
            </w:r>
          </w:p>
        </w:tc>
        <w:tc>
          <w:tcPr>
            <w:tcW w:w="767" w:type="pct"/>
            <w:tcBorders>
              <w:top w:val="single" w:sz="4" w:space="0" w:color="auto"/>
              <w:left w:val="single" w:sz="4" w:space="0" w:color="auto"/>
              <w:bottom w:val="single" w:sz="4" w:space="0" w:color="auto"/>
              <w:right w:val="single" w:sz="4" w:space="0" w:color="auto"/>
            </w:tcBorders>
          </w:tcPr>
          <w:p w14:paraId="0CCDC226" w14:textId="77777777" w:rsidR="00400398" w:rsidRPr="00215594" w:rsidRDefault="00400398" w:rsidP="000603E8">
            <w:pPr>
              <w:keepNext/>
              <w:jc w:val="center"/>
              <w:rPr>
                <w:sz w:val="18"/>
                <w:szCs w:val="18"/>
              </w:rPr>
            </w:pPr>
            <w:r w:rsidRPr="00215594">
              <w:rPr>
                <w:sz w:val="18"/>
                <w:szCs w:val="18"/>
              </w:rPr>
              <w:t>Artralgia</w:t>
            </w:r>
          </w:p>
          <w:p w14:paraId="4C9DE74C" w14:textId="77777777" w:rsidR="00C93B1B" w:rsidRPr="00215594" w:rsidRDefault="00C93B1B" w:rsidP="000603E8">
            <w:pPr>
              <w:keepNext/>
              <w:jc w:val="center"/>
              <w:rPr>
                <w:sz w:val="18"/>
                <w:szCs w:val="18"/>
              </w:rPr>
            </w:pPr>
            <w:r w:rsidRPr="00215594">
              <w:rPr>
                <w:sz w:val="18"/>
                <w:szCs w:val="18"/>
              </w:rPr>
              <w:t>Mialgia</w:t>
            </w:r>
          </w:p>
        </w:tc>
        <w:tc>
          <w:tcPr>
            <w:tcW w:w="766" w:type="pct"/>
            <w:tcBorders>
              <w:top w:val="single" w:sz="4" w:space="0" w:color="auto"/>
              <w:left w:val="single" w:sz="4" w:space="0" w:color="auto"/>
              <w:bottom w:val="single" w:sz="4" w:space="0" w:color="auto"/>
              <w:right w:val="single" w:sz="4" w:space="0" w:color="auto"/>
            </w:tcBorders>
          </w:tcPr>
          <w:p w14:paraId="60BF30FD" w14:textId="77777777" w:rsidR="00400398" w:rsidRPr="00215594" w:rsidRDefault="00400398" w:rsidP="000603E8">
            <w:pPr>
              <w:keepNext/>
              <w:jc w:val="center"/>
              <w:rPr>
                <w:sz w:val="18"/>
                <w:szCs w:val="18"/>
              </w:rPr>
            </w:pPr>
            <w:r w:rsidRPr="00215594">
              <w:rPr>
                <w:sz w:val="18"/>
                <w:szCs w:val="18"/>
              </w:rPr>
              <w:t>Fístula</w:t>
            </w:r>
            <w:r w:rsidRPr="00215594">
              <w:rPr>
                <w:sz w:val="18"/>
                <w:szCs w:val="18"/>
                <w:vertAlign w:val="superscript"/>
              </w:rPr>
              <w:t>b,d</w:t>
            </w:r>
            <w:r w:rsidRPr="00215594">
              <w:rPr>
                <w:sz w:val="18"/>
                <w:szCs w:val="18"/>
              </w:rPr>
              <w:t xml:space="preserve">, </w:t>
            </w:r>
          </w:p>
          <w:p w14:paraId="21C746B5" w14:textId="77777777" w:rsidR="00400398" w:rsidRPr="00215594" w:rsidRDefault="00400398" w:rsidP="000603E8">
            <w:pPr>
              <w:keepNext/>
              <w:jc w:val="center"/>
              <w:rPr>
                <w:sz w:val="18"/>
                <w:szCs w:val="18"/>
              </w:rPr>
            </w:pPr>
            <w:r w:rsidRPr="00215594">
              <w:rPr>
                <w:sz w:val="18"/>
                <w:szCs w:val="18"/>
              </w:rPr>
              <w:t>Fraqueza muscular,</w:t>
            </w:r>
          </w:p>
          <w:p w14:paraId="74F05DB3" w14:textId="77777777" w:rsidR="00400398" w:rsidRPr="00215594" w:rsidRDefault="00400398" w:rsidP="000603E8">
            <w:pPr>
              <w:keepNext/>
              <w:jc w:val="center"/>
              <w:rPr>
                <w:sz w:val="18"/>
                <w:szCs w:val="18"/>
              </w:rPr>
            </w:pPr>
            <w:r w:rsidRPr="00215594">
              <w:rPr>
                <w:sz w:val="18"/>
                <w:szCs w:val="18"/>
              </w:rPr>
              <w:t xml:space="preserve">Dorsalgia </w:t>
            </w:r>
          </w:p>
          <w:p w14:paraId="444794F6" w14:textId="77777777" w:rsidR="00400398" w:rsidRPr="00215594" w:rsidRDefault="00400398" w:rsidP="000603E8">
            <w:pPr>
              <w:keepNext/>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092A81CE" w14:textId="77777777" w:rsidR="00400398" w:rsidRPr="00215594" w:rsidRDefault="00400398" w:rsidP="000603E8">
            <w:pPr>
              <w:keepNext/>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3EC2668C" w14:textId="77777777" w:rsidR="00400398" w:rsidRPr="00215594" w:rsidRDefault="00400398" w:rsidP="000603E8">
            <w:pPr>
              <w:keepNext/>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14:paraId="42E4D0DE" w14:textId="77777777" w:rsidR="00400398" w:rsidRPr="00215594" w:rsidRDefault="00400398" w:rsidP="000603E8">
            <w:pPr>
              <w:keepNext/>
              <w:jc w:val="center"/>
              <w:rPr>
                <w:sz w:val="18"/>
                <w:szCs w:val="18"/>
              </w:rPr>
            </w:pPr>
          </w:p>
        </w:tc>
        <w:tc>
          <w:tcPr>
            <w:tcW w:w="690" w:type="pct"/>
            <w:tcBorders>
              <w:top w:val="single" w:sz="4" w:space="0" w:color="auto"/>
              <w:left w:val="single" w:sz="4" w:space="0" w:color="auto"/>
              <w:bottom w:val="single" w:sz="4" w:space="0" w:color="auto"/>
              <w:right w:val="single" w:sz="4" w:space="0" w:color="auto"/>
            </w:tcBorders>
          </w:tcPr>
          <w:p w14:paraId="5F2D9D7A" w14:textId="77777777" w:rsidR="00400398" w:rsidRPr="00215594" w:rsidRDefault="00400398" w:rsidP="000603E8">
            <w:pPr>
              <w:keepNext/>
              <w:jc w:val="center"/>
              <w:rPr>
                <w:sz w:val="18"/>
                <w:szCs w:val="18"/>
                <w:vertAlign w:val="superscript"/>
              </w:rPr>
            </w:pPr>
            <w:r w:rsidRPr="00215594">
              <w:rPr>
                <w:sz w:val="18"/>
                <w:szCs w:val="18"/>
              </w:rPr>
              <w:t>Osteonecrose da mandíbula</w:t>
            </w:r>
            <w:r w:rsidRPr="00215594">
              <w:rPr>
                <w:sz w:val="18"/>
                <w:szCs w:val="18"/>
                <w:vertAlign w:val="superscript"/>
              </w:rPr>
              <w:t>a,b</w:t>
            </w:r>
          </w:p>
          <w:p w14:paraId="73FF4070" w14:textId="77777777" w:rsidR="00886D58" w:rsidRPr="00215594" w:rsidRDefault="00886D58" w:rsidP="000603E8">
            <w:pPr>
              <w:keepNext/>
              <w:jc w:val="center"/>
              <w:rPr>
                <w:sz w:val="18"/>
                <w:szCs w:val="18"/>
              </w:rPr>
            </w:pPr>
            <w:r w:rsidRPr="00215594">
              <w:rPr>
                <w:sz w:val="18"/>
                <w:szCs w:val="18"/>
              </w:rPr>
              <w:t>Osteonecrose não mandibular</w:t>
            </w:r>
            <w:r w:rsidRPr="00215594">
              <w:rPr>
                <w:sz w:val="18"/>
                <w:szCs w:val="18"/>
                <w:vertAlign w:val="superscript"/>
                <w:lang w:eastAsia="en-US"/>
              </w:rPr>
              <w:t>a,f</w:t>
            </w:r>
          </w:p>
        </w:tc>
      </w:tr>
      <w:tr w:rsidR="00400398" w:rsidRPr="00215594" w14:paraId="0BCFF090" w14:textId="77777777" w:rsidTr="000603E8">
        <w:tc>
          <w:tcPr>
            <w:tcW w:w="771" w:type="pct"/>
            <w:tcBorders>
              <w:top w:val="single" w:sz="4" w:space="0" w:color="auto"/>
              <w:left w:val="single" w:sz="4" w:space="0" w:color="auto"/>
              <w:bottom w:val="single" w:sz="4" w:space="0" w:color="auto"/>
              <w:right w:val="single" w:sz="4" w:space="0" w:color="auto"/>
            </w:tcBorders>
          </w:tcPr>
          <w:p w14:paraId="22BF2E2A" w14:textId="77777777" w:rsidR="00400398" w:rsidRPr="00215594" w:rsidRDefault="00400398" w:rsidP="00A20651">
            <w:pPr>
              <w:keepNext/>
              <w:jc w:val="center"/>
              <w:rPr>
                <w:sz w:val="18"/>
                <w:szCs w:val="18"/>
              </w:rPr>
            </w:pPr>
            <w:r w:rsidRPr="00215594">
              <w:rPr>
                <w:sz w:val="18"/>
                <w:szCs w:val="18"/>
              </w:rPr>
              <w:t>Doenças renais e urinárias</w:t>
            </w:r>
          </w:p>
        </w:tc>
        <w:tc>
          <w:tcPr>
            <w:tcW w:w="767" w:type="pct"/>
            <w:tcBorders>
              <w:top w:val="single" w:sz="4" w:space="0" w:color="auto"/>
              <w:left w:val="single" w:sz="4" w:space="0" w:color="auto"/>
              <w:bottom w:val="single" w:sz="4" w:space="0" w:color="auto"/>
              <w:right w:val="single" w:sz="4" w:space="0" w:color="auto"/>
            </w:tcBorders>
          </w:tcPr>
          <w:p w14:paraId="1B5AD4BB" w14:textId="77777777" w:rsidR="00400398" w:rsidRPr="00215594" w:rsidRDefault="00400398" w:rsidP="000603E8">
            <w:pPr>
              <w:keepNext/>
              <w:jc w:val="center"/>
              <w:rPr>
                <w:sz w:val="18"/>
                <w:szCs w:val="18"/>
              </w:rPr>
            </w:pPr>
            <w:r w:rsidRPr="00215594">
              <w:rPr>
                <w:sz w:val="18"/>
                <w:szCs w:val="18"/>
              </w:rPr>
              <w:t>Proteinúria</w:t>
            </w:r>
            <w:r w:rsidRPr="00215594">
              <w:rPr>
                <w:sz w:val="18"/>
                <w:szCs w:val="18"/>
                <w:vertAlign w:val="superscript"/>
              </w:rPr>
              <w:t>b,d</w:t>
            </w:r>
          </w:p>
        </w:tc>
        <w:tc>
          <w:tcPr>
            <w:tcW w:w="766" w:type="pct"/>
            <w:tcBorders>
              <w:top w:val="single" w:sz="4" w:space="0" w:color="auto"/>
              <w:left w:val="single" w:sz="4" w:space="0" w:color="auto"/>
              <w:bottom w:val="single" w:sz="4" w:space="0" w:color="auto"/>
              <w:right w:val="single" w:sz="4" w:space="0" w:color="auto"/>
            </w:tcBorders>
          </w:tcPr>
          <w:p w14:paraId="069FCAC0" w14:textId="77777777" w:rsidR="00400398" w:rsidRPr="00215594" w:rsidRDefault="00400398" w:rsidP="000603E8">
            <w:pPr>
              <w:keepNext/>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3B31DFCC" w14:textId="77777777" w:rsidR="00400398" w:rsidRPr="00215594" w:rsidRDefault="00400398" w:rsidP="000603E8">
            <w:pPr>
              <w:keepNext/>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036369DB" w14:textId="77777777" w:rsidR="00400398" w:rsidRPr="00215594" w:rsidRDefault="00400398" w:rsidP="000603E8">
            <w:pPr>
              <w:keepNext/>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14:paraId="17E0BABF" w14:textId="77777777" w:rsidR="00400398" w:rsidRPr="00215594" w:rsidRDefault="00400398" w:rsidP="000603E8">
            <w:pPr>
              <w:keepNext/>
              <w:jc w:val="center"/>
              <w:rPr>
                <w:sz w:val="18"/>
                <w:szCs w:val="18"/>
              </w:rPr>
            </w:pPr>
          </w:p>
        </w:tc>
        <w:tc>
          <w:tcPr>
            <w:tcW w:w="690" w:type="pct"/>
            <w:tcBorders>
              <w:top w:val="single" w:sz="4" w:space="0" w:color="auto"/>
              <w:left w:val="single" w:sz="4" w:space="0" w:color="auto"/>
              <w:bottom w:val="single" w:sz="4" w:space="0" w:color="auto"/>
              <w:right w:val="single" w:sz="4" w:space="0" w:color="auto"/>
            </w:tcBorders>
          </w:tcPr>
          <w:p w14:paraId="2368F01B" w14:textId="77777777" w:rsidR="00400398" w:rsidRPr="00215594" w:rsidRDefault="00400398" w:rsidP="000603E8">
            <w:pPr>
              <w:keepNext/>
              <w:jc w:val="center"/>
              <w:rPr>
                <w:sz w:val="18"/>
                <w:szCs w:val="18"/>
              </w:rPr>
            </w:pPr>
          </w:p>
        </w:tc>
      </w:tr>
      <w:tr w:rsidR="00400398" w:rsidRPr="00215594" w14:paraId="7347DBB6" w14:textId="77777777" w:rsidTr="000603E8">
        <w:trPr>
          <w:cantSplit/>
        </w:trPr>
        <w:tc>
          <w:tcPr>
            <w:tcW w:w="771" w:type="pct"/>
            <w:tcBorders>
              <w:top w:val="single" w:sz="4" w:space="0" w:color="auto"/>
              <w:left w:val="single" w:sz="4" w:space="0" w:color="auto"/>
              <w:bottom w:val="single" w:sz="4" w:space="0" w:color="auto"/>
              <w:right w:val="single" w:sz="4" w:space="0" w:color="auto"/>
            </w:tcBorders>
          </w:tcPr>
          <w:p w14:paraId="434C72FE" w14:textId="77777777" w:rsidR="00400398" w:rsidRPr="00215594" w:rsidRDefault="00400398" w:rsidP="00A20651">
            <w:pPr>
              <w:jc w:val="center"/>
              <w:rPr>
                <w:sz w:val="18"/>
                <w:szCs w:val="18"/>
              </w:rPr>
            </w:pPr>
            <w:r w:rsidRPr="00215594">
              <w:rPr>
                <w:sz w:val="18"/>
                <w:szCs w:val="18"/>
              </w:rPr>
              <w:t>Doenças dos órgãos genitais e da mama</w:t>
            </w:r>
          </w:p>
        </w:tc>
        <w:tc>
          <w:tcPr>
            <w:tcW w:w="767" w:type="pct"/>
            <w:tcBorders>
              <w:top w:val="single" w:sz="4" w:space="0" w:color="auto"/>
              <w:left w:val="single" w:sz="4" w:space="0" w:color="auto"/>
              <w:bottom w:val="single" w:sz="4" w:space="0" w:color="auto"/>
              <w:right w:val="single" w:sz="4" w:space="0" w:color="auto"/>
            </w:tcBorders>
          </w:tcPr>
          <w:p w14:paraId="66E45A54" w14:textId="77777777" w:rsidR="00400398" w:rsidRPr="00215594" w:rsidRDefault="00400398" w:rsidP="000603E8">
            <w:pPr>
              <w:jc w:val="center"/>
              <w:rPr>
                <w:sz w:val="18"/>
                <w:szCs w:val="18"/>
              </w:rPr>
            </w:pPr>
            <w:r w:rsidRPr="00215594">
              <w:rPr>
                <w:sz w:val="18"/>
                <w:szCs w:val="18"/>
              </w:rPr>
              <w:t>Insuficiência dos ovários</w:t>
            </w:r>
            <w:r w:rsidRPr="00215594">
              <w:rPr>
                <w:sz w:val="18"/>
                <w:szCs w:val="18"/>
                <w:vertAlign w:val="superscript"/>
              </w:rPr>
              <w:t>b,c,d</w:t>
            </w:r>
          </w:p>
        </w:tc>
        <w:tc>
          <w:tcPr>
            <w:tcW w:w="766" w:type="pct"/>
            <w:tcBorders>
              <w:top w:val="single" w:sz="4" w:space="0" w:color="auto"/>
              <w:left w:val="single" w:sz="4" w:space="0" w:color="auto"/>
              <w:bottom w:val="single" w:sz="4" w:space="0" w:color="auto"/>
              <w:right w:val="single" w:sz="4" w:space="0" w:color="auto"/>
            </w:tcBorders>
          </w:tcPr>
          <w:p w14:paraId="616A4379" w14:textId="77777777" w:rsidR="00400398" w:rsidRPr="00215594" w:rsidDel="00187ACD" w:rsidRDefault="00400398" w:rsidP="000603E8">
            <w:pPr>
              <w:jc w:val="center"/>
              <w:rPr>
                <w:sz w:val="18"/>
                <w:szCs w:val="18"/>
              </w:rPr>
            </w:pPr>
            <w:r w:rsidRPr="00215594">
              <w:rPr>
                <w:sz w:val="18"/>
                <w:szCs w:val="18"/>
              </w:rPr>
              <w:t>Dor pélvica</w:t>
            </w:r>
          </w:p>
        </w:tc>
        <w:tc>
          <w:tcPr>
            <w:tcW w:w="689" w:type="pct"/>
            <w:tcBorders>
              <w:top w:val="single" w:sz="4" w:space="0" w:color="auto"/>
              <w:left w:val="single" w:sz="4" w:space="0" w:color="auto"/>
              <w:bottom w:val="single" w:sz="4" w:space="0" w:color="auto"/>
              <w:right w:val="single" w:sz="4" w:space="0" w:color="auto"/>
            </w:tcBorders>
          </w:tcPr>
          <w:p w14:paraId="44AB5592" w14:textId="77777777" w:rsidR="00400398" w:rsidRPr="00215594" w:rsidDel="00127FDF" w:rsidRDefault="00400398" w:rsidP="000603E8">
            <w:pPr>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7BFE88FE" w14:textId="77777777" w:rsidR="00400398" w:rsidRPr="00215594" w:rsidRDefault="00400398" w:rsidP="000603E8">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14:paraId="6EDA78FF" w14:textId="77777777" w:rsidR="00400398" w:rsidRPr="00215594" w:rsidRDefault="00400398" w:rsidP="000603E8">
            <w:pPr>
              <w:jc w:val="center"/>
              <w:rPr>
                <w:sz w:val="18"/>
                <w:szCs w:val="18"/>
              </w:rPr>
            </w:pPr>
          </w:p>
        </w:tc>
        <w:tc>
          <w:tcPr>
            <w:tcW w:w="690" w:type="pct"/>
            <w:tcBorders>
              <w:top w:val="single" w:sz="4" w:space="0" w:color="auto"/>
              <w:left w:val="single" w:sz="4" w:space="0" w:color="auto"/>
              <w:bottom w:val="single" w:sz="4" w:space="0" w:color="auto"/>
              <w:right w:val="single" w:sz="4" w:space="0" w:color="auto"/>
            </w:tcBorders>
          </w:tcPr>
          <w:p w14:paraId="4E60D13C" w14:textId="77777777" w:rsidR="00400398" w:rsidRPr="00215594" w:rsidRDefault="00400398" w:rsidP="000603E8">
            <w:pPr>
              <w:jc w:val="center"/>
              <w:rPr>
                <w:sz w:val="18"/>
                <w:szCs w:val="18"/>
              </w:rPr>
            </w:pPr>
          </w:p>
        </w:tc>
      </w:tr>
      <w:tr w:rsidR="00400398" w:rsidRPr="00215594" w14:paraId="5BB2D0EC" w14:textId="77777777" w:rsidTr="000603E8">
        <w:trPr>
          <w:cantSplit/>
        </w:trPr>
        <w:tc>
          <w:tcPr>
            <w:tcW w:w="771" w:type="pct"/>
            <w:tcBorders>
              <w:top w:val="single" w:sz="4" w:space="0" w:color="auto"/>
              <w:left w:val="single" w:sz="4" w:space="0" w:color="auto"/>
              <w:bottom w:val="single" w:sz="4" w:space="0" w:color="auto"/>
              <w:right w:val="single" w:sz="4" w:space="0" w:color="auto"/>
            </w:tcBorders>
          </w:tcPr>
          <w:p w14:paraId="26C4CB0E" w14:textId="77777777" w:rsidR="00400398" w:rsidRPr="00215594" w:rsidRDefault="00400398" w:rsidP="00C82494">
            <w:pPr>
              <w:jc w:val="center"/>
              <w:rPr>
                <w:sz w:val="18"/>
                <w:szCs w:val="18"/>
              </w:rPr>
            </w:pPr>
            <w:r w:rsidRPr="00215594">
              <w:rPr>
                <w:sz w:val="18"/>
                <w:szCs w:val="18"/>
              </w:rPr>
              <w:t>Afeções congénitas, familiares e genéticas</w:t>
            </w:r>
          </w:p>
        </w:tc>
        <w:tc>
          <w:tcPr>
            <w:tcW w:w="767" w:type="pct"/>
            <w:tcBorders>
              <w:top w:val="single" w:sz="4" w:space="0" w:color="auto"/>
              <w:left w:val="single" w:sz="4" w:space="0" w:color="auto"/>
              <w:bottom w:val="single" w:sz="4" w:space="0" w:color="auto"/>
              <w:right w:val="single" w:sz="4" w:space="0" w:color="auto"/>
            </w:tcBorders>
          </w:tcPr>
          <w:p w14:paraId="66AEAE54" w14:textId="77777777" w:rsidR="00400398" w:rsidRPr="00215594" w:rsidRDefault="00400398" w:rsidP="00712E12">
            <w:pPr>
              <w:keepNext/>
              <w:keepLines/>
              <w:jc w:val="center"/>
              <w:rPr>
                <w:sz w:val="18"/>
                <w:szCs w:val="18"/>
              </w:rPr>
            </w:pPr>
          </w:p>
        </w:tc>
        <w:tc>
          <w:tcPr>
            <w:tcW w:w="766" w:type="pct"/>
            <w:tcBorders>
              <w:top w:val="single" w:sz="4" w:space="0" w:color="auto"/>
              <w:left w:val="single" w:sz="4" w:space="0" w:color="auto"/>
              <w:bottom w:val="single" w:sz="4" w:space="0" w:color="auto"/>
              <w:right w:val="single" w:sz="4" w:space="0" w:color="auto"/>
            </w:tcBorders>
          </w:tcPr>
          <w:p w14:paraId="5662A8FA" w14:textId="77777777" w:rsidR="00400398" w:rsidRPr="00215594" w:rsidRDefault="00400398" w:rsidP="00712E12">
            <w:pPr>
              <w:keepNext/>
              <w:keepLines/>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21F95E35" w14:textId="77777777" w:rsidR="00400398" w:rsidRPr="00215594" w:rsidRDefault="00400398" w:rsidP="00712E12">
            <w:pPr>
              <w:keepNext/>
              <w:keepLines/>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769FD37E" w14:textId="77777777" w:rsidR="00400398" w:rsidRPr="00215594" w:rsidRDefault="00400398" w:rsidP="00712E12">
            <w:pPr>
              <w:keepNext/>
              <w:keepLines/>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14:paraId="6C818A79" w14:textId="77777777" w:rsidR="00400398" w:rsidRPr="00215594" w:rsidRDefault="00400398" w:rsidP="00712E12">
            <w:pPr>
              <w:keepNext/>
              <w:keepLines/>
              <w:jc w:val="center"/>
              <w:rPr>
                <w:sz w:val="18"/>
                <w:szCs w:val="18"/>
              </w:rPr>
            </w:pPr>
          </w:p>
        </w:tc>
        <w:tc>
          <w:tcPr>
            <w:tcW w:w="690" w:type="pct"/>
            <w:tcBorders>
              <w:top w:val="single" w:sz="4" w:space="0" w:color="auto"/>
              <w:left w:val="single" w:sz="4" w:space="0" w:color="auto"/>
              <w:bottom w:val="single" w:sz="4" w:space="0" w:color="auto"/>
              <w:right w:val="single" w:sz="4" w:space="0" w:color="auto"/>
            </w:tcBorders>
          </w:tcPr>
          <w:p w14:paraId="40AA2DFB" w14:textId="77777777" w:rsidR="00400398" w:rsidRPr="00215594" w:rsidRDefault="00400398" w:rsidP="00B35395">
            <w:pPr>
              <w:keepNext/>
              <w:keepLines/>
              <w:jc w:val="center"/>
              <w:rPr>
                <w:sz w:val="18"/>
                <w:szCs w:val="18"/>
              </w:rPr>
            </w:pPr>
            <w:r w:rsidRPr="00215594">
              <w:rPr>
                <w:sz w:val="18"/>
                <w:szCs w:val="18"/>
              </w:rPr>
              <w:t>Anomalias fetais</w:t>
            </w:r>
            <w:r w:rsidRPr="00215594">
              <w:rPr>
                <w:sz w:val="18"/>
                <w:szCs w:val="18"/>
                <w:vertAlign w:val="superscript"/>
              </w:rPr>
              <w:t>a,b</w:t>
            </w:r>
          </w:p>
        </w:tc>
      </w:tr>
      <w:tr w:rsidR="00400398" w:rsidRPr="00215594" w14:paraId="5D48F491" w14:textId="77777777" w:rsidTr="000603E8">
        <w:trPr>
          <w:cantSplit/>
        </w:trPr>
        <w:tc>
          <w:tcPr>
            <w:tcW w:w="771" w:type="pct"/>
            <w:tcBorders>
              <w:top w:val="single" w:sz="4" w:space="0" w:color="auto"/>
              <w:left w:val="single" w:sz="4" w:space="0" w:color="auto"/>
              <w:bottom w:val="single" w:sz="4" w:space="0" w:color="auto"/>
              <w:right w:val="single" w:sz="4" w:space="0" w:color="auto"/>
            </w:tcBorders>
          </w:tcPr>
          <w:p w14:paraId="7605C64C" w14:textId="77777777" w:rsidR="00400398" w:rsidRPr="00215594" w:rsidRDefault="00400398" w:rsidP="00C82494">
            <w:pPr>
              <w:jc w:val="center"/>
              <w:rPr>
                <w:sz w:val="18"/>
                <w:szCs w:val="18"/>
              </w:rPr>
            </w:pPr>
            <w:r w:rsidRPr="00215594">
              <w:rPr>
                <w:sz w:val="18"/>
                <w:szCs w:val="18"/>
              </w:rPr>
              <w:t>Perturbações gerais e alterações no local de administração</w:t>
            </w:r>
          </w:p>
        </w:tc>
        <w:tc>
          <w:tcPr>
            <w:tcW w:w="767" w:type="pct"/>
            <w:tcBorders>
              <w:top w:val="single" w:sz="4" w:space="0" w:color="auto"/>
              <w:left w:val="single" w:sz="4" w:space="0" w:color="auto"/>
              <w:bottom w:val="single" w:sz="4" w:space="0" w:color="auto"/>
              <w:right w:val="single" w:sz="4" w:space="0" w:color="auto"/>
            </w:tcBorders>
          </w:tcPr>
          <w:p w14:paraId="56954646" w14:textId="77777777" w:rsidR="00400398" w:rsidRPr="00215594" w:rsidRDefault="00400398" w:rsidP="00712E12">
            <w:pPr>
              <w:keepNext/>
              <w:keepLines/>
              <w:jc w:val="center"/>
              <w:rPr>
                <w:sz w:val="18"/>
                <w:szCs w:val="18"/>
              </w:rPr>
            </w:pPr>
            <w:r w:rsidRPr="00215594">
              <w:rPr>
                <w:sz w:val="18"/>
                <w:szCs w:val="18"/>
              </w:rPr>
              <w:t>Astenia,</w:t>
            </w:r>
          </w:p>
          <w:p w14:paraId="37B5BE3A" w14:textId="77777777" w:rsidR="00400398" w:rsidRPr="00215594" w:rsidRDefault="00400398" w:rsidP="00712E12">
            <w:pPr>
              <w:keepNext/>
              <w:keepLines/>
              <w:jc w:val="center"/>
              <w:rPr>
                <w:sz w:val="18"/>
                <w:szCs w:val="18"/>
              </w:rPr>
            </w:pPr>
            <w:r w:rsidRPr="00215594">
              <w:rPr>
                <w:sz w:val="18"/>
                <w:szCs w:val="18"/>
              </w:rPr>
              <w:t>Fadiga,</w:t>
            </w:r>
          </w:p>
          <w:p w14:paraId="524F85E5" w14:textId="77777777" w:rsidR="00400398" w:rsidRPr="00215594" w:rsidRDefault="00400398" w:rsidP="00712E12">
            <w:pPr>
              <w:keepNext/>
              <w:keepLines/>
              <w:jc w:val="center"/>
              <w:rPr>
                <w:sz w:val="18"/>
                <w:szCs w:val="18"/>
              </w:rPr>
            </w:pPr>
            <w:r w:rsidRPr="00215594">
              <w:rPr>
                <w:sz w:val="18"/>
                <w:szCs w:val="18"/>
              </w:rPr>
              <w:t>Pirexia,</w:t>
            </w:r>
          </w:p>
          <w:p w14:paraId="4FD07F54" w14:textId="77777777" w:rsidR="00400398" w:rsidRPr="00215594" w:rsidRDefault="00400398" w:rsidP="00712E12">
            <w:pPr>
              <w:keepNext/>
              <w:keepLines/>
              <w:jc w:val="center"/>
              <w:rPr>
                <w:sz w:val="18"/>
                <w:szCs w:val="18"/>
              </w:rPr>
            </w:pPr>
            <w:r w:rsidRPr="00215594">
              <w:rPr>
                <w:sz w:val="18"/>
                <w:szCs w:val="18"/>
              </w:rPr>
              <w:t>Dor,</w:t>
            </w:r>
          </w:p>
          <w:p w14:paraId="0CB18AE4" w14:textId="77777777" w:rsidR="00400398" w:rsidRPr="00215594" w:rsidRDefault="00400398" w:rsidP="00712E12">
            <w:pPr>
              <w:keepNext/>
              <w:keepLines/>
              <w:jc w:val="center"/>
              <w:rPr>
                <w:sz w:val="18"/>
                <w:szCs w:val="18"/>
              </w:rPr>
            </w:pPr>
            <w:r w:rsidRPr="00215594">
              <w:rPr>
                <w:sz w:val="18"/>
                <w:szCs w:val="18"/>
              </w:rPr>
              <w:t>Inflamação da mucosa</w:t>
            </w:r>
          </w:p>
        </w:tc>
        <w:tc>
          <w:tcPr>
            <w:tcW w:w="766" w:type="pct"/>
            <w:tcBorders>
              <w:top w:val="single" w:sz="4" w:space="0" w:color="auto"/>
              <w:left w:val="single" w:sz="4" w:space="0" w:color="auto"/>
              <w:bottom w:val="single" w:sz="4" w:space="0" w:color="auto"/>
              <w:right w:val="single" w:sz="4" w:space="0" w:color="auto"/>
            </w:tcBorders>
          </w:tcPr>
          <w:p w14:paraId="122A0A59" w14:textId="77777777" w:rsidR="00400398" w:rsidRPr="00215594" w:rsidRDefault="00400398" w:rsidP="00712E12">
            <w:pPr>
              <w:keepNext/>
              <w:keepLines/>
              <w:jc w:val="center"/>
              <w:rPr>
                <w:sz w:val="18"/>
                <w:szCs w:val="18"/>
              </w:rPr>
            </w:pPr>
            <w:r w:rsidRPr="00215594">
              <w:rPr>
                <w:sz w:val="18"/>
                <w:szCs w:val="18"/>
              </w:rPr>
              <w:t>Letargia</w:t>
            </w:r>
          </w:p>
        </w:tc>
        <w:tc>
          <w:tcPr>
            <w:tcW w:w="689" w:type="pct"/>
            <w:tcBorders>
              <w:top w:val="single" w:sz="4" w:space="0" w:color="auto"/>
              <w:left w:val="single" w:sz="4" w:space="0" w:color="auto"/>
              <w:bottom w:val="single" w:sz="4" w:space="0" w:color="auto"/>
              <w:right w:val="single" w:sz="4" w:space="0" w:color="auto"/>
            </w:tcBorders>
          </w:tcPr>
          <w:p w14:paraId="71DBB0AD" w14:textId="77777777" w:rsidR="00400398" w:rsidRPr="00215594" w:rsidRDefault="00400398" w:rsidP="00712E12">
            <w:pPr>
              <w:keepNext/>
              <w:keepLines/>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1415CD78" w14:textId="77777777" w:rsidR="00400398" w:rsidRPr="00215594" w:rsidRDefault="00400398" w:rsidP="00712E12">
            <w:pPr>
              <w:keepNext/>
              <w:keepLines/>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14:paraId="2378285F" w14:textId="77777777" w:rsidR="00400398" w:rsidRPr="00215594" w:rsidRDefault="00400398" w:rsidP="00712E12">
            <w:pPr>
              <w:keepNext/>
              <w:keepLines/>
              <w:jc w:val="center"/>
              <w:rPr>
                <w:sz w:val="18"/>
                <w:szCs w:val="18"/>
              </w:rPr>
            </w:pPr>
          </w:p>
        </w:tc>
        <w:tc>
          <w:tcPr>
            <w:tcW w:w="690" w:type="pct"/>
            <w:tcBorders>
              <w:top w:val="single" w:sz="4" w:space="0" w:color="auto"/>
              <w:left w:val="single" w:sz="4" w:space="0" w:color="auto"/>
              <w:bottom w:val="single" w:sz="4" w:space="0" w:color="auto"/>
              <w:right w:val="single" w:sz="4" w:space="0" w:color="auto"/>
            </w:tcBorders>
          </w:tcPr>
          <w:p w14:paraId="53B18BB1" w14:textId="77777777" w:rsidR="00400398" w:rsidRPr="00215594" w:rsidRDefault="00400398" w:rsidP="00712E12">
            <w:pPr>
              <w:keepNext/>
              <w:keepLines/>
              <w:jc w:val="center"/>
              <w:rPr>
                <w:sz w:val="18"/>
                <w:szCs w:val="18"/>
              </w:rPr>
            </w:pPr>
          </w:p>
        </w:tc>
      </w:tr>
      <w:tr w:rsidR="00400398" w:rsidRPr="00215594" w14:paraId="3C75141D" w14:textId="77777777" w:rsidTr="000603E8">
        <w:trPr>
          <w:cantSplit/>
        </w:trPr>
        <w:tc>
          <w:tcPr>
            <w:tcW w:w="771" w:type="pct"/>
            <w:tcBorders>
              <w:top w:val="single" w:sz="4" w:space="0" w:color="auto"/>
              <w:left w:val="single" w:sz="4" w:space="0" w:color="auto"/>
              <w:bottom w:val="single" w:sz="4" w:space="0" w:color="auto"/>
              <w:right w:val="single" w:sz="4" w:space="0" w:color="auto"/>
            </w:tcBorders>
          </w:tcPr>
          <w:p w14:paraId="52DB54C3" w14:textId="77777777" w:rsidR="00400398" w:rsidRPr="00215594" w:rsidRDefault="00400398" w:rsidP="00712E12">
            <w:pPr>
              <w:keepNext/>
              <w:keepLines/>
              <w:jc w:val="center"/>
              <w:rPr>
                <w:sz w:val="18"/>
                <w:szCs w:val="18"/>
              </w:rPr>
            </w:pPr>
            <w:r w:rsidRPr="00215594">
              <w:rPr>
                <w:sz w:val="18"/>
                <w:szCs w:val="18"/>
              </w:rPr>
              <w:t>Exames complementares de diagnóstico</w:t>
            </w:r>
          </w:p>
        </w:tc>
        <w:tc>
          <w:tcPr>
            <w:tcW w:w="767" w:type="pct"/>
            <w:tcBorders>
              <w:top w:val="single" w:sz="4" w:space="0" w:color="auto"/>
              <w:left w:val="single" w:sz="4" w:space="0" w:color="auto"/>
              <w:bottom w:val="single" w:sz="4" w:space="0" w:color="auto"/>
              <w:right w:val="single" w:sz="4" w:space="0" w:color="auto"/>
            </w:tcBorders>
          </w:tcPr>
          <w:p w14:paraId="434FA0DF" w14:textId="77777777" w:rsidR="00400398" w:rsidRPr="00215594" w:rsidRDefault="009C7B71" w:rsidP="00712E12">
            <w:pPr>
              <w:keepNext/>
              <w:keepLines/>
              <w:jc w:val="center"/>
              <w:rPr>
                <w:sz w:val="18"/>
                <w:szCs w:val="18"/>
              </w:rPr>
            </w:pPr>
            <w:r w:rsidRPr="00215594">
              <w:rPr>
                <w:sz w:val="18"/>
                <w:szCs w:val="18"/>
              </w:rPr>
              <w:t>Peso diminuído</w:t>
            </w:r>
          </w:p>
        </w:tc>
        <w:tc>
          <w:tcPr>
            <w:tcW w:w="766" w:type="pct"/>
            <w:tcBorders>
              <w:top w:val="single" w:sz="4" w:space="0" w:color="auto"/>
              <w:left w:val="single" w:sz="4" w:space="0" w:color="auto"/>
              <w:bottom w:val="single" w:sz="4" w:space="0" w:color="auto"/>
              <w:right w:val="single" w:sz="4" w:space="0" w:color="auto"/>
            </w:tcBorders>
          </w:tcPr>
          <w:p w14:paraId="60DB514B" w14:textId="77777777" w:rsidR="00400398" w:rsidRPr="00215594" w:rsidRDefault="00400398" w:rsidP="00712E12">
            <w:pPr>
              <w:keepNext/>
              <w:keepLines/>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58CA929F" w14:textId="77777777" w:rsidR="00400398" w:rsidRPr="00215594" w:rsidRDefault="00400398" w:rsidP="00712E12">
            <w:pPr>
              <w:keepNext/>
              <w:keepLines/>
              <w:jc w:val="center"/>
              <w:rPr>
                <w:sz w:val="18"/>
                <w:szCs w:val="18"/>
              </w:rPr>
            </w:pPr>
          </w:p>
        </w:tc>
        <w:tc>
          <w:tcPr>
            <w:tcW w:w="689" w:type="pct"/>
            <w:tcBorders>
              <w:top w:val="single" w:sz="4" w:space="0" w:color="auto"/>
              <w:left w:val="single" w:sz="4" w:space="0" w:color="auto"/>
              <w:bottom w:val="single" w:sz="4" w:space="0" w:color="auto"/>
              <w:right w:val="single" w:sz="4" w:space="0" w:color="auto"/>
            </w:tcBorders>
          </w:tcPr>
          <w:p w14:paraId="6E67B893" w14:textId="77777777" w:rsidR="00400398" w:rsidRPr="00215594" w:rsidRDefault="00400398" w:rsidP="00712E12">
            <w:pPr>
              <w:keepNext/>
              <w:keepLines/>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14:paraId="1C20BEF0" w14:textId="77777777" w:rsidR="00400398" w:rsidRPr="00215594" w:rsidRDefault="00400398" w:rsidP="00712E12">
            <w:pPr>
              <w:keepNext/>
              <w:keepLines/>
              <w:jc w:val="center"/>
              <w:rPr>
                <w:sz w:val="18"/>
                <w:szCs w:val="18"/>
              </w:rPr>
            </w:pPr>
          </w:p>
        </w:tc>
        <w:tc>
          <w:tcPr>
            <w:tcW w:w="690" w:type="pct"/>
            <w:tcBorders>
              <w:top w:val="single" w:sz="4" w:space="0" w:color="auto"/>
              <w:left w:val="single" w:sz="4" w:space="0" w:color="auto"/>
              <w:bottom w:val="single" w:sz="4" w:space="0" w:color="auto"/>
              <w:right w:val="single" w:sz="4" w:space="0" w:color="auto"/>
            </w:tcBorders>
          </w:tcPr>
          <w:p w14:paraId="2F49C771" w14:textId="77777777" w:rsidR="00400398" w:rsidRPr="00215594" w:rsidRDefault="00400398" w:rsidP="00712E12">
            <w:pPr>
              <w:keepNext/>
              <w:keepLines/>
              <w:jc w:val="center"/>
              <w:rPr>
                <w:sz w:val="18"/>
                <w:szCs w:val="18"/>
              </w:rPr>
            </w:pPr>
          </w:p>
        </w:tc>
      </w:tr>
    </w:tbl>
    <w:p w14:paraId="7291831C" w14:textId="77777777" w:rsidR="00400398" w:rsidRPr="00F049B1" w:rsidRDefault="00400398" w:rsidP="001C36E6">
      <w:pPr>
        <w:keepNext/>
        <w:keepLines/>
        <w:tabs>
          <w:tab w:val="left" w:pos="4920"/>
        </w:tabs>
        <w:ind w:left="142" w:hanging="142"/>
        <w:rPr>
          <w:color w:val="000000"/>
          <w:sz w:val="18"/>
          <w:szCs w:val="18"/>
        </w:rPr>
      </w:pPr>
      <w:r w:rsidRPr="00F049B1">
        <w:rPr>
          <w:sz w:val="18"/>
          <w:szCs w:val="18"/>
        </w:rPr>
        <w:t xml:space="preserve">Quando os acontecimentos em ensaios clínicos foram observados tanto como reações adversas medicamentosas de todos os Graus e de Grau 3-5, </w:t>
      </w:r>
      <w:r w:rsidRPr="00F049B1">
        <w:rPr>
          <w:color w:val="000000"/>
          <w:sz w:val="18"/>
          <w:szCs w:val="18"/>
        </w:rPr>
        <w:t>foi notificada a frequência mais elevada. Os dados não estão ajustados à diferente duração do tratamento.</w:t>
      </w:r>
    </w:p>
    <w:p w14:paraId="535FBC90" w14:textId="77777777" w:rsidR="00400398" w:rsidRPr="00F049B1" w:rsidRDefault="00400398" w:rsidP="00712E12">
      <w:pPr>
        <w:keepNext/>
        <w:keepLines/>
        <w:tabs>
          <w:tab w:val="left" w:pos="4920"/>
        </w:tabs>
        <w:ind w:left="142" w:hanging="142"/>
        <w:rPr>
          <w:b/>
          <w:color w:val="000000"/>
          <w:sz w:val="18"/>
          <w:szCs w:val="18"/>
        </w:rPr>
      </w:pPr>
      <w:r w:rsidRPr="00F049B1">
        <w:rPr>
          <w:color w:val="000000"/>
          <w:sz w:val="18"/>
          <w:szCs w:val="18"/>
          <w:vertAlign w:val="superscript"/>
        </w:rPr>
        <w:t>a</w:t>
      </w:r>
      <w:r w:rsidRPr="00F049B1">
        <w:rPr>
          <w:color w:val="000000"/>
          <w:sz w:val="18"/>
          <w:szCs w:val="18"/>
        </w:rPr>
        <w:t xml:space="preserve"> Para mais informação, ver Tabela 3 </w:t>
      </w:r>
      <w:r w:rsidRPr="00F049B1">
        <w:rPr>
          <w:b/>
          <w:color w:val="000000"/>
          <w:sz w:val="18"/>
          <w:szCs w:val="18"/>
        </w:rPr>
        <w:t>“</w:t>
      </w:r>
      <w:r w:rsidRPr="00F049B1">
        <w:rPr>
          <w:rStyle w:val="HdTab1Char"/>
          <w:rFonts w:ascii="Times New Roman" w:hAnsi="Times New Roman"/>
          <w:b w:val="0"/>
          <w:color w:val="000000"/>
          <w:sz w:val="18"/>
          <w:szCs w:val="18"/>
          <w:lang w:val="pt-PT"/>
        </w:rPr>
        <w:t>Reações adversas notificadas em ambiente pós</w:t>
      </w:r>
      <w:r w:rsidRPr="00F049B1">
        <w:rPr>
          <w:rStyle w:val="HdTab1Char"/>
          <w:rFonts w:ascii="Times New Roman" w:hAnsi="Times New Roman"/>
          <w:b w:val="0"/>
          <w:color w:val="000000"/>
          <w:sz w:val="18"/>
          <w:szCs w:val="18"/>
          <w:lang w:val="pt-PT"/>
        </w:rPr>
        <w:noBreakHyphen/>
        <w:t>comercialização”.</w:t>
      </w:r>
    </w:p>
    <w:p w14:paraId="1AD1AFAA" w14:textId="77777777" w:rsidR="00400398" w:rsidRPr="00F049B1" w:rsidRDefault="00400398" w:rsidP="00712E12">
      <w:pPr>
        <w:keepNext/>
        <w:keepLines/>
        <w:tabs>
          <w:tab w:val="left" w:pos="4920"/>
        </w:tabs>
        <w:ind w:left="142" w:hanging="142"/>
        <w:rPr>
          <w:color w:val="000000"/>
          <w:sz w:val="18"/>
          <w:szCs w:val="18"/>
        </w:rPr>
      </w:pPr>
      <w:r w:rsidRPr="00F049B1">
        <w:rPr>
          <w:color w:val="000000"/>
          <w:sz w:val="18"/>
          <w:szCs w:val="18"/>
          <w:vertAlign w:val="superscript"/>
        </w:rPr>
        <w:t>b</w:t>
      </w:r>
      <w:r w:rsidRPr="00F049B1">
        <w:rPr>
          <w:color w:val="000000"/>
          <w:sz w:val="18"/>
          <w:szCs w:val="18"/>
        </w:rPr>
        <w:t xml:space="preserve"> Os termos representam um grupo de acontecimentos que descrevem um conceito médico em vez de uma condição única ou o termo preferido do MedDRA (Dicionário Médico para Atividades Regulamentares). Este grupo de termos médicos pode envolver a mesma fisiopatologia subjacente (p.ex. reações tromboembólicas arteriais incluem acidente vascular cerebral, enfarte do miocárdio, acidente isquémico transitório e outras reações tromboembólicas arteriais).</w:t>
      </w:r>
    </w:p>
    <w:p w14:paraId="794CCDF1" w14:textId="77777777" w:rsidR="00400398" w:rsidRPr="00F049B1" w:rsidRDefault="00400398" w:rsidP="00F206BA">
      <w:pPr>
        <w:rPr>
          <w:sz w:val="18"/>
          <w:szCs w:val="18"/>
        </w:rPr>
      </w:pPr>
      <w:r w:rsidRPr="00F049B1">
        <w:rPr>
          <w:color w:val="000000"/>
          <w:sz w:val="18"/>
          <w:szCs w:val="18"/>
          <w:vertAlign w:val="superscript"/>
        </w:rPr>
        <w:t>c</w:t>
      </w:r>
      <w:r w:rsidRPr="00F049B1">
        <w:rPr>
          <w:color w:val="000000"/>
          <w:sz w:val="18"/>
          <w:szCs w:val="18"/>
        </w:rPr>
        <w:t xml:space="preserve"> Com base num sub-estudo do NSABP C-08 com 295 doentes</w:t>
      </w:r>
      <w:r w:rsidRPr="00F049B1">
        <w:rPr>
          <w:sz w:val="18"/>
          <w:szCs w:val="18"/>
        </w:rPr>
        <w:t>.</w:t>
      </w:r>
    </w:p>
    <w:p w14:paraId="128597CE" w14:textId="77777777" w:rsidR="00400398" w:rsidRPr="00F049B1" w:rsidRDefault="00400398" w:rsidP="00F206BA">
      <w:pPr>
        <w:rPr>
          <w:sz w:val="18"/>
          <w:szCs w:val="18"/>
        </w:rPr>
      </w:pPr>
      <w:r w:rsidRPr="00F049B1">
        <w:rPr>
          <w:sz w:val="18"/>
          <w:szCs w:val="18"/>
          <w:vertAlign w:val="superscript"/>
        </w:rPr>
        <w:t>d</w:t>
      </w:r>
      <w:r w:rsidRPr="00F049B1">
        <w:rPr>
          <w:sz w:val="18"/>
          <w:szCs w:val="18"/>
        </w:rPr>
        <w:t xml:space="preserve"> Para mais informação, ver abaixo a secção “Informações adicionais sobre determinadas reações adversas”.</w:t>
      </w:r>
    </w:p>
    <w:p w14:paraId="2A1D7A0D" w14:textId="77777777" w:rsidR="00400398" w:rsidRPr="00F049B1" w:rsidRDefault="00400398" w:rsidP="00BB1467">
      <w:pPr>
        <w:rPr>
          <w:sz w:val="18"/>
          <w:szCs w:val="18"/>
        </w:rPr>
      </w:pPr>
      <w:r w:rsidRPr="00F049B1">
        <w:rPr>
          <w:sz w:val="18"/>
          <w:szCs w:val="18"/>
          <w:vertAlign w:val="superscript"/>
        </w:rPr>
        <w:t>e</w:t>
      </w:r>
      <w:r w:rsidRPr="00F049B1">
        <w:rPr>
          <w:sz w:val="18"/>
          <w:szCs w:val="18"/>
        </w:rPr>
        <w:t xml:space="preserve"> As fístulas reto-vaginais são as fístulas mais frequentes da categoria das fístulas entre o trato GI e a vagina.l.</w:t>
      </w:r>
    </w:p>
    <w:p w14:paraId="47E011C0" w14:textId="77777777" w:rsidR="00886D58" w:rsidRPr="00F049B1" w:rsidRDefault="00886D58" w:rsidP="00BB1467">
      <w:pPr>
        <w:rPr>
          <w:sz w:val="18"/>
          <w:szCs w:val="18"/>
        </w:rPr>
      </w:pPr>
      <w:r w:rsidRPr="00F049B1">
        <w:rPr>
          <w:sz w:val="18"/>
          <w:szCs w:val="18"/>
          <w:vertAlign w:val="superscript"/>
        </w:rPr>
        <w:t>f</w:t>
      </w:r>
      <w:r w:rsidRPr="00F049B1">
        <w:rPr>
          <w:sz w:val="18"/>
          <w:szCs w:val="18"/>
        </w:rPr>
        <w:t xml:space="preserve"> Observada apenas na população pediátrica.</w:t>
      </w:r>
    </w:p>
    <w:p w14:paraId="7A15C219" w14:textId="77777777" w:rsidR="00400398" w:rsidRPr="00F049B1" w:rsidRDefault="00400398" w:rsidP="00F206BA">
      <w:pPr>
        <w:rPr>
          <w:sz w:val="18"/>
          <w:szCs w:val="18"/>
        </w:rPr>
      </w:pPr>
    </w:p>
    <w:p w14:paraId="2FC420A2" w14:textId="77777777" w:rsidR="00400398" w:rsidRPr="00913779" w:rsidRDefault="00400398" w:rsidP="00EA31CF">
      <w:pPr>
        <w:keepNext/>
        <w:keepLines/>
        <w:rPr>
          <w:b/>
        </w:rPr>
      </w:pPr>
      <w:r w:rsidRPr="00913779">
        <w:rPr>
          <w:b/>
        </w:rPr>
        <w:lastRenderedPageBreak/>
        <w:t xml:space="preserve">Tabela 2: </w:t>
      </w:r>
      <w:r w:rsidRPr="00913779">
        <w:rPr>
          <w:b/>
        </w:rPr>
        <w:tab/>
        <w:t xml:space="preserve">Reações </w:t>
      </w:r>
      <w:r w:rsidR="006707E9">
        <w:rPr>
          <w:b/>
        </w:rPr>
        <w:t>a</w:t>
      </w:r>
      <w:r w:rsidRPr="00913779">
        <w:rPr>
          <w:b/>
        </w:rPr>
        <w:t xml:space="preserve">dversas </w:t>
      </w:r>
      <w:r w:rsidR="006707E9">
        <w:rPr>
          <w:b/>
        </w:rPr>
        <w:t>g</w:t>
      </w:r>
      <w:r w:rsidRPr="00913779">
        <w:rPr>
          <w:b/>
        </w:rPr>
        <w:t xml:space="preserve">raves por </w:t>
      </w:r>
      <w:r w:rsidR="006707E9">
        <w:rPr>
          <w:b/>
        </w:rPr>
        <w:t>f</w:t>
      </w:r>
      <w:r w:rsidRPr="00913779">
        <w:rPr>
          <w:b/>
        </w:rPr>
        <w:t xml:space="preserve">requência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275"/>
        <w:gridCol w:w="1559"/>
        <w:gridCol w:w="1276"/>
        <w:gridCol w:w="1276"/>
        <w:gridCol w:w="1134"/>
        <w:gridCol w:w="1417"/>
      </w:tblGrid>
      <w:tr w:rsidR="00400398" w:rsidRPr="00215594" w14:paraId="4C14A881" w14:textId="77777777" w:rsidTr="002C295F">
        <w:trPr>
          <w:trHeight w:val="734"/>
          <w:tblHeader/>
        </w:trPr>
        <w:tc>
          <w:tcPr>
            <w:tcW w:w="1419" w:type="dxa"/>
          </w:tcPr>
          <w:p w14:paraId="1224C1E4" w14:textId="77777777" w:rsidR="00400398" w:rsidRPr="001E05C2" w:rsidRDefault="00400398" w:rsidP="00EA31CF">
            <w:pPr>
              <w:keepNext/>
              <w:keepLines/>
              <w:jc w:val="center"/>
              <w:rPr>
                <w:b/>
                <w:sz w:val="21"/>
                <w:szCs w:val="21"/>
                <w:highlight w:val="yellow"/>
              </w:rPr>
            </w:pPr>
            <w:r w:rsidRPr="001E05C2">
              <w:rPr>
                <w:b/>
                <w:sz w:val="21"/>
                <w:szCs w:val="21"/>
              </w:rPr>
              <w:t xml:space="preserve">Classes de sistemas de órgãos </w:t>
            </w:r>
          </w:p>
        </w:tc>
        <w:tc>
          <w:tcPr>
            <w:tcW w:w="1275" w:type="dxa"/>
          </w:tcPr>
          <w:p w14:paraId="272F15E8" w14:textId="77777777" w:rsidR="00400398" w:rsidRPr="001E05C2" w:rsidRDefault="00400398" w:rsidP="00EA31CF">
            <w:pPr>
              <w:keepNext/>
              <w:keepLines/>
              <w:jc w:val="center"/>
              <w:rPr>
                <w:b/>
                <w:i/>
                <w:noProof/>
                <w:sz w:val="20"/>
                <w:highlight w:val="yellow"/>
              </w:rPr>
            </w:pPr>
            <w:r w:rsidRPr="001E05C2">
              <w:rPr>
                <w:b/>
                <w:sz w:val="20"/>
              </w:rPr>
              <w:t>Muito frequentes</w:t>
            </w:r>
          </w:p>
        </w:tc>
        <w:tc>
          <w:tcPr>
            <w:tcW w:w="1559" w:type="dxa"/>
          </w:tcPr>
          <w:p w14:paraId="54682319" w14:textId="77777777" w:rsidR="00400398" w:rsidRPr="001E05C2" w:rsidRDefault="00400398" w:rsidP="00EA31CF">
            <w:pPr>
              <w:keepNext/>
              <w:keepLines/>
              <w:jc w:val="center"/>
              <w:rPr>
                <w:b/>
                <w:sz w:val="20"/>
              </w:rPr>
            </w:pPr>
            <w:r w:rsidRPr="001E05C2">
              <w:rPr>
                <w:b/>
                <w:sz w:val="20"/>
              </w:rPr>
              <w:t>Frequentes</w:t>
            </w:r>
          </w:p>
          <w:p w14:paraId="3A174A4D" w14:textId="77777777" w:rsidR="00400398" w:rsidRPr="001E05C2" w:rsidRDefault="00400398" w:rsidP="00EA31CF">
            <w:pPr>
              <w:keepNext/>
              <w:keepLines/>
              <w:ind w:left="567" w:hanging="567"/>
              <w:jc w:val="center"/>
              <w:outlineLvl w:val="0"/>
              <w:rPr>
                <w:b/>
                <w:i/>
                <w:noProof/>
                <w:sz w:val="20"/>
                <w:highlight w:val="yellow"/>
              </w:rPr>
            </w:pPr>
          </w:p>
        </w:tc>
        <w:tc>
          <w:tcPr>
            <w:tcW w:w="1276" w:type="dxa"/>
          </w:tcPr>
          <w:p w14:paraId="2A8A4C1B" w14:textId="77777777" w:rsidR="00400398" w:rsidRPr="001E05C2" w:rsidRDefault="00400398" w:rsidP="00EA31CF">
            <w:pPr>
              <w:keepNext/>
              <w:keepLines/>
              <w:jc w:val="center"/>
              <w:rPr>
                <w:b/>
                <w:i/>
                <w:noProof/>
                <w:sz w:val="20"/>
                <w:highlight w:val="yellow"/>
              </w:rPr>
            </w:pPr>
            <w:r w:rsidRPr="001E05C2">
              <w:rPr>
                <w:b/>
                <w:sz w:val="20"/>
              </w:rPr>
              <w:t>Pouco Frequentes</w:t>
            </w:r>
          </w:p>
        </w:tc>
        <w:tc>
          <w:tcPr>
            <w:tcW w:w="1276" w:type="dxa"/>
          </w:tcPr>
          <w:p w14:paraId="16968360" w14:textId="77777777" w:rsidR="00400398" w:rsidRPr="001E05C2" w:rsidRDefault="00400398" w:rsidP="00EA31CF">
            <w:pPr>
              <w:keepNext/>
              <w:keepLines/>
              <w:jc w:val="center"/>
              <w:rPr>
                <w:b/>
                <w:i/>
                <w:noProof/>
                <w:sz w:val="20"/>
                <w:highlight w:val="yellow"/>
              </w:rPr>
            </w:pPr>
            <w:r w:rsidRPr="001E05C2">
              <w:rPr>
                <w:b/>
                <w:sz w:val="20"/>
              </w:rPr>
              <w:t>Raros</w:t>
            </w:r>
          </w:p>
        </w:tc>
        <w:tc>
          <w:tcPr>
            <w:tcW w:w="1134" w:type="dxa"/>
          </w:tcPr>
          <w:p w14:paraId="273AAC01" w14:textId="77777777" w:rsidR="00400398" w:rsidRPr="001E05C2" w:rsidRDefault="00400398" w:rsidP="00EA31CF">
            <w:pPr>
              <w:keepNext/>
              <w:keepLines/>
              <w:jc w:val="center"/>
              <w:rPr>
                <w:b/>
                <w:i/>
                <w:noProof/>
                <w:sz w:val="20"/>
                <w:highlight w:val="yellow"/>
              </w:rPr>
            </w:pPr>
            <w:r w:rsidRPr="001E05C2">
              <w:rPr>
                <w:b/>
                <w:sz w:val="20"/>
              </w:rPr>
              <w:t>Muito raros</w:t>
            </w:r>
          </w:p>
        </w:tc>
        <w:tc>
          <w:tcPr>
            <w:tcW w:w="1417" w:type="dxa"/>
          </w:tcPr>
          <w:p w14:paraId="10E569B3" w14:textId="77777777" w:rsidR="00400398" w:rsidRPr="001E05C2" w:rsidRDefault="00400398" w:rsidP="00EA31CF">
            <w:pPr>
              <w:keepNext/>
              <w:keepLines/>
              <w:jc w:val="center"/>
              <w:rPr>
                <w:b/>
                <w:i/>
                <w:noProof/>
                <w:sz w:val="20"/>
                <w:highlight w:val="yellow"/>
              </w:rPr>
            </w:pPr>
            <w:r w:rsidRPr="001E05C2">
              <w:rPr>
                <w:b/>
                <w:sz w:val="20"/>
              </w:rPr>
              <w:t>Frequência Desconhecida</w:t>
            </w:r>
          </w:p>
        </w:tc>
      </w:tr>
      <w:tr w:rsidR="00400398" w:rsidRPr="00215594" w14:paraId="17C0A9FC" w14:textId="77777777" w:rsidTr="009C7B71">
        <w:trPr>
          <w:trHeight w:val="143"/>
        </w:trPr>
        <w:tc>
          <w:tcPr>
            <w:tcW w:w="1419" w:type="dxa"/>
          </w:tcPr>
          <w:p w14:paraId="4F914AB5" w14:textId="77777777" w:rsidR="00400398" w:rsidRPr="00215594" w:rsidRDefault="00400398" w:rsidP="00EA31CF">
            <w:pPr>
              <w:keepNext/>
              <w:keepLines/>
              <w:jc w:val="center"/>
              <w:rPr>
                <w:i/>
                <w:noProof/>
                <w:sz w:val="20"/>
                <w:highlight w:val="yellow"/>
              </w:rPr>
            </w:pPr>
            <w:r w:rsidRPr="00215594">
              <w:rPr>
                <w:sz w:val="20"/>
              </w:rPr>
              <w:t>Infeções e infestações</w:t>
            </w:r>
          </w:p>
        </w:tc>
        <w:tc>
          <w:tcPr>
            <w:tcW w:w="1275" w:type="dxa"/>
          </w:tcPr>
          <w:p w14:paraId="13EBE689" w14:textId="77777777" w:rsidR="00400398" w:rsidRPr="00215594" w:rsidRDefault="00400398" w:rsidP="00EA31CF">
            <w:pPr>
              <w:keepNext/>
              <w:keepLines/>
              <w:ind w:left="567" w:hanging="567"/>
              <w:jc w:val="center"/>
              <w:outlineLvl w:val="0"/>
              <w:rPr>
                <w:noProof/>
                <w:sz w:val="20"/>
                <w:highlight w:val="yellow"/>
              </w:rPr>
            </w:pPr>
          </w:p>
        </w:tc>
        <w:tc>
          <w:tcPr>
            <w:tcW w:w="1559" w:type="dxa"/>
          </w:tcPr>
          <w:p w14:paraId="5BF7D502" w14:textId="77777777" w:rsidR="00400398" w:rsidRPr="00215594" w:rsidRDefault="00400398" w:rsidP="00EA31CF">
            <w:pPr>
              <w:keepNext/>
              <w:keepLines/>
              <w:jc w:val="center"/>
              <w:rPr>
                <w:sz w:val="20"/>
              </w:rPr>
            </w:pPr>
            <w:r w:rsidRPr="00215594">
              <w:rPr>
                <w:sz w:val="20"/>
              </w:rPr>
              <w:t>Sepsis,</w:t>
            </w:r>
          </w:p>
          <w:p w14:paraId="4DB39341" w14:textId="77777777" w:rsidR="00400398" w:rsidRPr="00215594" w:rsidRDefault="00400398" w:rsidP="00EA31CF">
            <w:pPr>
              <w:keepNext/>
              <w:keepLines/>
              <w:jc w:val="center"/>
              <w:rPr>
                <w:sz w:val="20"/>
              </w:rPr>
            </w:pPr>
            <w:r w:rsidRPr="00215594">
              <w:rPr>
                <w:sz w:val="20"/>
              </w:rPr>
              <w:t>Celulite</w:t>
            </w:r>
            <w:r w:rsidR="006C7C03" w:rsidRPr="00215594">
              <w:rPr>
                <w:sz w:val="20"/>
              </w:rPr>
              <w:t>,</w:t>
            </w:r>
          </w:p>
          <w:p w14:paraId="7D25032B" w14:textId="77777777" w:rsidR="00400398" w:rsidRPr="00215594" w:rsidRDefault="00400398" w:rsidP="00EA31CF">
            <w:pPr>
              <w:keepNext/>
              <w:keepLines/>
              <w:jc w:val="center"/>
              <w:rPr>
                <w:sz w:val="20"/>
              </w:rPr>
            </w:pPr>
            <w:r w:rsidRPr="00215594">
              <w:rPr>
                <w:sz w:val="20"/>
              </w:rPr>
              <w:t>Abcesso</w:t>
            </w:r>
            <w:r w:rsidRPr="00215594">
              <w:rPr>
                <w:sz w:val="20"/>
                <w:vertAlign w:val="superscript"/>
              </w:rPr>
              <w:t>a,b</w:t>
            </w:r>
            <w:r w:rsidRPr="00215594">
              <w:rPr>
                <w:sz w:val="20"/>
              </w:rPr>
              <w:t>,</w:t>
            </w:r>
          </w:p>
          <w:p w14:paraId="0FF791AB" w14:textId="77777777" w:rsidR="00400398" w:rsidRPr="00215594" w:rsidRDefault="00400398" w:rsidP="00EA31CF">
            <w:pPr>
              <w:keepNext/>
              <w:keepLines/>
              <w:jc w:val="center"/>
              <w:rPr>
                <w:sz w:val="20"/>
              </w:rPr>
            </w:pPr>
            <w:r w:rsidRPr="00215594">
              <w:rPr>
                <w:sz w:val="20"/>
              </w:rPr>
              <w:t xml:space="preserve">Infeção, </w:t>
            </w:r>
          </w:p>
          <w:p w14:paraId="279C0924" w14:textId="77777777" w:rsidR="00400398" w:rsidRPr="00215594" w:rsidRDefault="00400398" w:rsidP="00EA31CF">
            <w:pPr>
              <w:keepNext/>
              <w:keepLines/>
              <w:jc w:val="center"/>
              <w:rPr>
                <w:sz w:val="20"/>
                <w:highlight w:val="yellow"/>
              </w:rPr>
            </w:pPr>
            <w:r w:rsidRPr="00215594">
              <w:rPr>
                <w:sz w:val="20"/>
              </w:rPr>
              <w:t>Infeção do trato urinário</w:t>
            </w:r>
          </w:p>
        </w:tc>
        <w:tc>
          <w:tcPr>
            <w:tcW w:w="1276" w:type="dxa"/>
          </w:tcPr>
          <w:p w14:paraId="28177083" w14:textId="77777777" w:rsidR="00400398" w:rsidRPr="00215594" w:rsidRDefault="00400398" w:rsidP="00EA31CF">
            <w:pPr>
              <w:keepNext/>
              <w:keepLines/>
              <w:jc w:val="center"/>
              <w:rPr>
                <w:sz w:val="20"/>
                <w:highlight w:val="yellow"/>
              </w:rPr>
            </w:pPr>
          </w:p>
        </w:tc>
        <w:tc>
          <w:tcPr>
            <w:tcW w:w="1276" w:type="dxa"/>
          </w:tcPr>
          <w:p w14:paraId="2644218A" w14:textId="77777777" w:rsidR="00400398" w:rsidRPr="00215594" w:rsidRDefault="00400398" w:rsidP="00EA31CF">
            <w:pPr>
              <w:keepNext/>
              <w:keepLines/>
              <w:jc w:val="center"/>
              <w:rPr>
                <w:sz w:val="20"/>
                <w:highlight w:val="yellow"/>
              </w:rPr>
            </w:pPr>
          </w:p>
        </w:tc>
        <w:tc>
          <w:tcPr>
            <w:tcW w:w="1134" w:type="dxa"/>
          </w:tcPr>
          <w:p w14:paraId="1EC77DB5" w14:textId="77777777" w:rsidR="00400398" w:rsidRPr="00215594" w:rsidRDefault="00400398" w:rsidP="00EA31CF">
            <w:pPr>
              <w:keepNext/>
              <w:keepLines/>
              <w:jc w:val="center"/>
              <w:rPr>
                <w:sz w:val="20"/>
                <w:highlight w:val="yellow"/>
              </w:rPr>
            </w:pPr>
          </w:p>
        </w:tc>
        <w:tc>
          <w:tcPr>
            <w:tcW w:w="1417" w:type="dxa"/>
          </w:tcPr>
          <w:p w14:paraId="662E42AC" w14:textId="77777777" w:rsidR="00400398" w:rsidRPr="00215594" w:rsidRDefault="00400398" w:rsidP="00EA31CF">
            <w:pPr>
              <w:keepNext/>
              <w:keepLines/>
              <w:jc w:val="center"/>
              <w:rPr>
                <w:noProof/>
                <w:sz w:val="20"/>
                <w:highlight w:val="yellow"/>
              </w:rPr>
            </w:pPr>
            <w:r w:rsidRPr="00215594">
              <w:rPr>
                <w:sz w:val="20"/>
              </w:rPr>
              <w:t>Fascite necrotizante</w:t>
            </w:r>
            <w:r w:rsidRPr="00215594">
              <w:rPr>
                <w:sz w:val="20"/>
                <w:vertAlign w:val="superscript"/>
              </w:rPr>
              <w:t>c</w:t>
            </w:r>
          </w:p>
        </w:tc>
      </w:tr>
      <w:tr w:rsidR="00400398" w:rsidRPr="00215594" w14:paraId="5F6AAA43" w14:textId="77777777" w:rsidTr="009C7B71">
        <w:trPr>
          <w:trHeight w:val="143"/>
        </w:trPr>
        <w:tc>
          <w:tcPr>
            <w:tcW w:w="1419" w:type="dxa"/>
          </w:tcPr>
          <w:p w14:paraId="5545F8CB" w14:textId="77777777" w:rsidR="00400398" w:rsidRPr="00215594" w:rsidRDefault="00400398" w:rsidP="00EA31CF">
            <w:pPr>
              <w:keepNext/>
              <w:keepLines/>
              <w:jc w:val="center"/>
              <w:rPr>
                <w:sz w:val="20"/>
                <w:highlight w:val="yellow"/>
              </w:rPr>
            </w:pPr>
            <w:r w:rsidRPr="00215594">
              <w:rPr>
                <w:sz w:val="20"/>
              </w:rPr>
              <w:t>Doenças do sangue e do sistema linfático</w:t>
            </w:r>
          </w:p>
        </w:tc>
        <w:tc>
          <w:tcPr>
            <w:tcW w:w="1275" w:type="dxa"/>
          </w:tcPr>
          <w:p w14:paraId="78667230" w14:textId="77777777" w:rsidR="00400398" w:rsidRPr="00215594" w:rsidRDefault="00400398" w:rsidP="00EA31CF">
            <w:pPr>
              <w:keepNext/>
              <w:keepLines/>
              <w:jc w:val="center"/>
              <w:rPr>
                <w:noProof/>
                <w:sz w:val="20"/>
              </w:rPr>
            </w:pPr>
            <w:r w:rsidRPr="00215594">
              <w:rPr>
                <w:noProof/>
                <w:sz w:val="20"/>
              </w:rPr>
              <w:t>Neutropenia febril,</w:t>
            </w:r>
          </w:p>
          <w:p w14:paraId="0D37919A" w14:textId="77777777" w:rsidR="00400398" w:rsidRPr="00215594" w:rsidRDefault="00400398" w:rsidP="00EA31CF">
            <w:pPr>
              <w:keepNext/>
              <w:keepLines/>
              <w:jc w:val="center"/>
              <w:rPr>
                <w:noProof/>
                <w:sz w:val="20"/>
              </w:rPr>
            </w:pPr>
            <w:r w:rsidRPr="00215594">
              <w:rPr>
                <w:noProof/>
                <w:sz w:val="20"/>
              </w:rPr>
              <w:t>Leucopenia,</w:t>
            </w:r>
          </w:p>
          <w:p w14:paraId="27D985A8" w14:textId="77777777" w:rsidR="00400398" w:rsidRPr="00215594" w:rsidRDefault="00400398" w:rsidP="00EA31CF">
            <w:pPr>
              <w:keepNext/>
              <w:keepLines/>
              <w:jc w:val="center"/>
              <w:rPr>
                <w:sz w:val="20"/>
                <w:highlight w:val="yellow"/>
              </w:rPr>
            </w:pPr>
            <w:r w:rsidRPr="00215594">
              <w:rPr>
                <w:noProof/>
                <w:sz w:val="20"/>
              </w:rPr>
              <w:t>Neutropeniaa</w:t>
            </w:r>
            <w:r w:rsidRPr="00215594">
              <w:rPr>
                <w:noProof/>
                <w:sz w:val="20"/>
                <w:vertAlign w:val="superscript"/>
              </w:rPr>
              <w:t>a</w:t>
            </w:r>
            <w:r w:rsidRPr="00215594">
              <w:rPr>
                <w:noProof/>
                <w:sz w:val="20"/>
              </w:rPr>
              <w:t>, Trombocitopenia</w:t>
            </w:r>
          </w:p>
        </w:tc>
        <w:tc>
          <w:tcPr>
            <w:tcW w:w="1559" w:type="dxa"/>
          </w:tcPr>
          <w:p w14:paraId="5EE94729" w14:textId="77777777" w:rsidR="00400398" w:rsidRPr="00215594" w:rsidRDefault="00400398" w:rsidP="00EA31CF">
            <w:pPr>
              <w:keepNext/>
              <w:keepLines/>
              <w:jc w:val="center"/>
              <w:rPr>
                <w:noProof/>
                <w:sz w:val="20"/>
                <w:highlight w:val="yellow"/>
              </w:rPr>
            </w:pPr>
            <w:r w:rsidRPr="00215594">
              <w:rPr>
                <w:noProof/>
                <w:color w:val="000000"/>
                <w:sz w:val="20"/>
              </w:rPr>
              <w:t>Anemia</w:t>
            </w:r>
            <w:r w:rsidRPr="00215594">
              <w:rPr>
                <w:color w:val="000000"/>
                <w:sz w:val="20"/>
                <w:lang w:eastAsia="en-US"/>
              </w:rPr>
              <w:t>, Linfopenia</w:t>
            </w:r>
          </w:p>
        </w:tc>
        <w:tc>
          <w:tcPr>
            <w:tcW w:w="1276" w:type="dxa"/>
          </w:tcPr>
          <w:p w14:paraId="365BD486" w14:textId="77777777" w:rsidR="00400398" w:rsidRPr="00215594" w:rsidRDefault="00400398" w:rsidP="00EA31CF">
            <w:pPr>
              <w:keepNext/>
              <w:keepLines/>
              <w:ind w:left="567" w:hanging="567"/>
              <w:jc w:val="center"/>
              <w:outlineLvl w:val="0"/>
              <w:rPr>
                <w:noProof/>
                <w:sz w:val="20"/>
                <w:highlight w:val="yellow"/>
              </w:rPr>
            </w:pPr>
          </w:p>
        </w:tc>
        <w:tc>
          <w:tcPr>
            <w:tcW w:w="1276" w:type="dxa"/>
          </w:tcPr>
          <w:p w14:paraId="7BF4F058" w14:textId="77777777" w:rsidR="00400398" w:rsidRPr="00215594" w:rsidRDefault="00400398" w:rsidP="00EA31CF">
            <w:pPr>
              <w:keepNext/>
              <w:keepLines/>
              <w:ind w:left="567" w:hanging="567"/>
              <w:jc w:val="center"/>
              <w:outlineLvl w:val="0"/>
              <w:rPr>
                <w:noProof/>
                <w:sz w:val="20"/>
                <w:highlight w:val="yellow"/>
              </w:rPr>
            </w:pPr>
          </w:p>
        </w:tc>
        <w:tc>
          <w:tcPr>
            <w:tcW w:w="1134" w:type="dxa"/>
          </w:tcPr>
          <w:p w14:paraId="7EB54DBC" w14:textId="77777777" w:rsidR="00400398" w:rsidRPr="00215594" w:rsidRDefault="00400398" w:rsidP="00EA31CF">
            <w:pPr>
              <w:keepNext/>
              <w:keepLines/>
              <w:ind w:left="567" w:hanging="567"/>
              <w:jc w:val="center"/>
              <w:outlineLvl w:val="0"/>
              <w:rPr>
                <w:noProof/>
                <w:sz w:val="20"/>
                <w:highlight w:val="yellow"/>
              </w:rPr>
            </w:pPr>
          </w:p>
        </w:tc>
        <w:tc>
          <w:tcPr>
            <w:tcW w:w="1417" w:type="dxa"/>
          </w:tcPr>
          <w:p w14:paraId="0C74298C" w14:textId="77777777" w:rsidR="00400398" w:rsidRPr="00215594" w:rsidRDefault="00400398" w:rsidP="00EA31CF">
            <w:pPr>
              <w:keepNext/>
              <w:keepLines/>
              <w:ind w:left="567" w:hanging="567"/>
              <w:jc w:val="center"/>
              <w:outlineLvl w:val="0"/>
              <w:rPr>
                <w:noProof/>
                <w:sz w:val="20"/>
                <w:highlight w:val="yellow"/>
              </w:rPr>
            </w:pPr>
          </w:p>
        </w:tc>
      </w:tr>
      <w:tr w:rsidR="00400398" w:rsidRPr="00215594" w14:paraId="1E558B85" w14:textId="77777777" w:rsidTr="009C7B71">
        <w:trPr>
          <w:trHeight w:val="143"/>
        </w:trPr>
        <w:tc>
          <w:tcPr>
            <w:tcW w:w="1419" w:type="dxa"/>
          </w:tcPr>
          <w:p w14:paraId="1A12B458" w14:textId="77777777" w:rsidR="00400398" w:rsidRPr="00215594" w:rsidRDefault="00400398" w:rsidP="00EA31CF">
            <w:pPr>
              <w:keepNext/>
              <w:keepLines/>
              <w:jc w:val="center"/>
              <w:rPr>
                <w:sz w:val="20"/>
              </w:rPr>
            </w:pPr>
            <w:r w:rsidRPr="00215594">
              <w:rPr>
                <w:sz w:val="20"/>
              </w:rPr>
              <w:t>Doenças do sistema imunitário</w:t>
            </w:r>
          </w:p>
        </w:tc>
        <w:tc>
          <w:tcPr>
            <w:tcW w:w="1275" w:type="dxa"/>
          </w:tcPr>
          <w:p w14:paraId="5A9D4BF0" w14:textId="77777777" w:rsidR="00400398" w:rsidRPr="00215594" w:rsidRDefault="00400398" w:rsidP="00EA31CF">
            <w:pPr>
              <w:keepNext/>
              <w:keepLines/>
              <w:ind w:left="567" w:hanging="567"/>
              <w:jc w:val="center"/>
              <w:outlineLvl w:val="0"/>
              <w:rPr>
                <w:noProof/>
                <w:sz w:val="20"/>
              </w:rPr>
            </w:pPr>
          </w:p>
        </w:tc>
        <w:tc>
          <w:tcPr>
            <w:tcW w:w="1559" w:type="dxa"/>
          </w:tcPr>
          <w:p w14:paraId="5F772A53" w14:textId="77777777" w:rsidR="00400398" w:rsidRPr="00215594" w:rsidRDefault="00185520" w:rsidP="00EA31CF">
            <w:pPr>
              <w:keepNext/>
              <w:keepLines/>
              <w:jc w:val="center"/>
              <w:rPr>
                <w:color w:val="000000"/>
                <w:sz w:val="20"/>
                <w:lang w:eastAsia="en-US"/>
              </w:rPr>
            </w:pPr>
            <w:r w:rsidRPr="00215594">
              <w:rPr>
                <w:sz w:val="20"/>
              </w:rPr>
              <w:t>Hipersensibilidade, Reações à perfusão</w:t>
            </w:r>
            <w:r w:rsidRPr="00215594">
              <w:rPr>
                <w:sz w:val="20"/>
                <w:vertAlign w:val="superscript"/>
              </w:rPr>
              <w:t>a,b,c</w:t>
            </w:r>
          </w:p>
        </w:tc>
        <w:tc>
          <w:tcPr>
            <w:tcW w:w="1276" w:type="dxa"/>
          </w:tcPr>
          <w:p w14:paraId="799FA0D1" w14:textId="77777777" w:rsidR="00400398" w:rsidRPr="00215594" w:rsidRDefault="00400398" w:rsidP="00EA31CF">
            <w:pPr>
              <w:keepNext/>
              <w:keepLines/>
              <w:jc w:val="center"/>
              <w:rPr>
                <w:sz w:val="20"/>
                <w:highlight w:val="yellow"/>
              </w:rPr>
            </w:pPr>
          </w:p>
        </w:tc>
        <w:tc>
          <w:tcPr>
            <w:tcW w:w="1276" w:type="dxa"/>
          </w:tcPr>
          <w:p w14:paraId="7BE97CFD" w14:textId="77777777" w:rsidR="00400398" w:rsidRPr="00215594" w:rsidRDefault="00185520" w:rsidP="00EA31CF">
            <w:pPr>
              <w:keepNext/>
              <w:keepLines/>
              <w:jc w:val="center"/>
              <w:rPr>
                <w:sz w:val="20"/>
                <w:highlight w:val="yellow"/>
              </w:rPr>
            </w:pPr>
            <w:r w:rsidRPr="00185520">
              <w:rPr>
                <w:sz w:val="20"/>
              </w:rPr>
              <w:t>Choque anafilático</w:t>
            </w:r>
          </w:p>
        </w:tc>
        <w:tc>
          <w:tcPr>
            <w:tcW w:w="1134" w:type="dxa"/>
          </w:tcPr>
          <w:p w14:paraId="476CFAE8" w14:textId="77777777" w:rsidR="00400398" w:rsidRPr="00215594" w:rsidRDefault="00400398" w:rsidP="00EA31CF">
            <w:pPr>
              <w:keepNext/>
              <w:keepLines/>
              <w:jc w:val="center"/>
              <w:rPr>
                <w:sz w:val="20"/>
                <w:highlight w:val="yellow"/>
              </w:rPr>
            </w:pPr>
          </w:p>
        </w:tc>
        <w:tc>
          <w:tcPr>
            <w:tcW w:w="1417" w:type="dxa"/>
          </w:tcPr>
          <w:p w14:paraId="3AE28001" w14:textId="77777777" w:rsidR="00400398" w:rsidRPr="00215594" w:rsidRDefault="00400398" w:rsidP="006C7C03">
            <w:pPr>
              <w:keepNext/>
              <w:keepLines/>
              <w:jc w:val="center"/>
              <w:rPr>
                <w:sz w:val="20"/>
                <w:highlight w:val="yellow"/>
              </w:rPr>
            </w:pPr>
          </w:p>
        </w:tc>
      </w:tr>
      <w:tr w:rsidR="00400398" w:rsidRPr="00215594" w14:paraId="5BA75C1E" w14:textId="77777777" w:rsidTr="009C7B71">
        <w:trPr>
          <w:trHeight w:val="143"/>
        </w:trPr>
        <w:tc>
          <w:tcPr>
            <w:tcW w:w="1419" w:type="dxa"/>
          </w:tcPr>
          <w:p w14:paraId="52D62909" w14:textId="77777777" w:rsidR="00400398" w:rsidRPr="00215594" w:rsidRDefault="00400398" w:rsidP="00EA31CF">
            <w:pPr>
              <w:keepNext/>
              <w:keepLines/>
              <w:jc w:val="center"/>
              <w:rPr>
                <w:sz w:val="20"/>
                <w:highlight w:val="yellow"/>
              </w:rPr>
            </w:pPr>
            <w:r w:rsidRPr="00215594">
              <w:rPr>
                <w:sz w:val="20"/>
              </w:rPr>
              <w:t>Doenças do metabolismo e da nutrição</w:t>
            </w:r>
          </w:p>
        </w:tc>
        <w:tc>
          <w:tcPr>
            <w:tcW w:w="1275" w:type="dxa"/>
          </w:tcPr>
          <w:p w14:paraId="7CF10F30" w14:textId="77777777" w:rsidR="00400398" w:rsidRPr="00215594" w:rsidRDefault="00400398" w:rsidP="00EA31CF">
            <w:pPr>
              <w:keepNext/>
              <w:keepLines/>
              <w:jc w:val="center"/>
              <w:rPr>
                <w:sz w:val="20"/>
                <w:highlight w:val="yellow"/>
              </w:rPr>
            </w:pPr>
          </w:p>
        </w:tc>
        <w:tc>
          <w:tcPr>
            <w:tcW w:w="1559" w:type="dxa"/>
          </w:tcPr>
          <w:p w14:paraId="46E0AB3C" w14:textId="77777777" w:rsidR="00400398" w:rsidRPr="00215594" w:rsidRDefault="00400398" w:rsidP="00EA31CF">
            <w:pPr>
              <w:keepNext/>
              <w:keepLines/>
              <w:jc w:val="center"/>
              <w:rPr>
                <w:sz w:val="20"/>
              </w:rPr>
            </w:pPr>
            <w:r w:rsidRPr="00215594">
              <w:rPr>
                <w:sz w:val="20"/>
              </w:rPr>
              <w:t>Desidratação</w:t>
            </w:r>
          </w:p>
          <w:p w14:paraId="3415EDF2" w14:textId="77777777" w:rsidR="00C93B1B" w:rsidRPr="00215594" w:rsidRDefault="00C93B1B" w:rsidP="00EA31CF">
            <w:pPr>
              <w:keepNext/>
              <w:keepLines/>
              <w:jc w:val="center"/>
              <w:rPr>
                <w:b/>
                <w:sz w:val="20"/>
              </w:rPr>
            </w:pPr>
            <w:r w:rsidRPr="00215594">
              <w:rPr>
                <w:sz w:val="20"/>
              </w:rPr>
              <w:t>Hiponatremia</w:t>
            </w:r>
          </w:p>
          <w:p w14:paraId="48562BE3" w14:textId="77777777" w:rsidR="00400398" w:rsidRPr="00215594" w:rsidRDefault="00400398" w:rsidP="00EA31CF">
            <w:pPr>
              <w:keepNext/>
              <w:keepLines/>
              <w:ind w:left="567" w:hanging="567"/>
              <w:jc w:val="center"/>
              <w:outlineLvl w:val="0"/>
              <w:rPr>
                <w:noProof/>
                <w:sz w:val="20"/>
                <w:highlight w:val="yellow"/>
              </w:rPr>
            </w:pPr>
          </w:p>
        </w:tc>
        <w:tc>
          <w:tcPr>
            <w:tcW w:w="1276" w:type="dxa"/>
          </w:tcPr>
          <w:p w14:paraId="2CDE8E8A" w14:textId="77777777" w:rsidR="00400398" w:rsidRPr="00215594" w:rsidRDefault="00400398" w:rsidP="00EA31CF">
            <w:pPr>
              <w:keepNext/>
              <w:keepLines/>
              <w:ind w:left="567" w:hanging="567"/>
              <w:jc w:val="center"/>
              <w:outlineLvl w:val="0"/>
              <w:rPr>
                <w:noProof/>
                <w:sz w:val="20"/>
                <w:highlight w:val="yellow"/>
              </w:rPr>
            </w:pPr>
          </w:p>
        </w:tc>
        <w:tc>
          <w:tcPr>
            <w:tcW w:w="1276" w:type="dxa"/>
          </w:tcPr>
          <w:p w14:paraId="710F0D43" w14:textId="77777777" w:rsidR="00400398" w:rsidRPr="00215594" w:rsidRDefault="00400398" w:rsidP="00EA31CF">
            <w:pPr>
              <w:keepNext/>
              <w:keepLines/>
              <w:ind w:left="567" w:hanging="567"/>
              <w:jc w:val="center"/>
              <w:outlineLvl w:val="0"/>
              <w:rPr>
                <w:noProof/>
                <w:sz w:val="20"/>
                <w:highlight w:val="yellow"/>
              </w:rPr>
            </w:pPr>
          </w:p>
        </w:tc>
        <w:tc>
          <w:tcPr>
            <w:tcW w:w="1134" w:type="dxa"/>
          </w:tcPr>
          <w:p w14:paraId="697CA7F7" w14:textId="77777777" w:rsidR="00400398" w:rsidRPr="00215594" w:rsidRDefault="00400398" w:rsidP="00EA31CF">
            <w:pPr>
              <w:keepNext/>
              <w:keepLines/>
              <w:ind w:left="567" w:hanging="567"/>
              <w:jc w:val="center"/>
              <w:outlineLvl w:val="0"/>
              <w:rPr>
                <w:noProof/>
                <w:sz w:val="20"/>
                <w:highlight w:val="yellow"/>
              </w:rPr>
            </w:pPr>
          </w:p>
        </w:tc>
        <w:tc>
          <w:tcPr>
            <w:tcW w:w="1417" w:type="dxa"/>
          </w:tcPr>
          <w:p w14:paraId="6E44ACD5" w14:textId="77777777" w:rsidR="00400398" w:rsidRPr="00215594" w:rsidRDefault="00400398" w:rsidP="00EA31CF">
            <w:pPr>
              <w:keepNext/>
              <w:keepLines/>
              <w:ind w:left="567" w:hanging="567"/>
              <w:jc w:val="center"/>
              <w:outlineLvl w:val="0"/>
              <w:rPr>
                <w:noProof/>
                <w:sz w:val="20"/>
                <w:highlight w:val="yellow"/>
              </w:rPr>
            </w:pPr>
          </w:p>
        </w:tc>
      </w:tr>
      <w:tr w:rsidR="00400398" w:rsidRPr="00215594" w14:paraId="338879AB" w14:textId="77777777" w:rsidTr="009C7B71">
        <w:trPr>
          <w:trHeight w:val="143"/>
        </w:trPr>
        <w:tc>
          <w:tcPr>
            <w:tcW w:w="1419" w:type="dxa"/>
          </w:tcPr>
          <w:p w14:paraId="3E85C4BD" w14:textId="77777777" w:rsidR="00400398" w:rsidRPr="00215594" w:rsidRDefault="00400398" w:rsidP="00EA31CF">
            <w:pPr>
              <w:keepNext/>
              <w:keepLines/>
              <w:jc w:val="center"/>
              <w:rPr>
                <w:sz w:val="20"/>
              </w:rPr>
            </w:pPr>
            <w:r w:rsidRPr="00215594">
              <w:rPr>
                <w:sz w:val="20"/>
              </w:rPr>
              <w:t>Doenças do sistema nervoso</w:t>
            </w:r>
          </w:p>
        </w:tc>
        <w:tc>
          <w:tcPr>
            <w:tcW w:w="1275" w:type="dxa"/>
          </w:tcPr>
          <w:p w14:paraId="2CD95855" w14:textId="77777777" w:rsidR="00400398" w:rsidRPr="00215594" w:rsidRDefault="00400398" w:rsidP="00EA31CF">
            <w:pPr>
              <w:keepNext/>
              <w:keepLines/>
              <w:jc w:val="center"/>
              <w:rPr>
                <w:sz w:val="20"/>
              </w:rPr>
            </w:pPr>
            <w:r w:rsidRPr="00215594">
              <w:rPr>
                <w:sz w:val="20"/>
              </w:rPr>
              <w:t>Neuropatia periférica sensorial</w:t>
            </w:r>
            <w:r w:rsidRPr="00215594">
              <w:rPr>
                <w:sz w:val="20"/>
                <w:vertAlign w:val="superscript"/>
              </w:rPr>
              <w:t>a</w:t>
            </w:r>
          </w:p>
          <w:p w14:paraId="291E8E45" w14:textId="77777777" w:rsidR="00400398" w:rsidRPr="00215594" w:rsidRDefault="00400398" w:rsidP="00EA31CF">
            <w:pPr>
              <w:keepNext/>
              <w:keepLines/>
              <w:ind w:left="567" w:hanging="567"/>
              <w:jc w:val="center"/>
              <w:outlineLvl w:val="0"/>
              <w:rPr>
                <w:noProof/>
                <w:sz w:val="20"/>
                <w:highlight w:val="yellow"/>
              </w:rPr>
            </w:pPr>
          </w:p>
        </w:tc>
        <w:tc>
          <w:tcPr>
            <w:tcW w:w="1559" w:type="dxa"/>
          </w:tcPr>
          <w:p w14:paraId="1444BB4B" w14:textId="77777777" w:rsidR="00400398" w:rsidRPr="00215594" w:rsidRDefault="00400398" w:rsidP="00EA31CF">
            <w:pPr>
              <w:keepNext/>
              <w:keepLines/>
              <w:jc w:val="center"/>
              <w:rPr>
                <w:sz w:val="20"/>
              </w:rPr>
            </w:pPr>
            <w:r w:rsidRPr="00215594">
              <w:rPr>
                <w:sz w:val="20"/>
              </w:rPr>
              <w:t>Acidente vascular cerebral,</w:t>
            </w:r>
          </w:p>
          <w:p w14:paraId="2BD1F800" w14:textId="77777777" w:rsidR="00400398" w:rsidRPr="00215594" w:rsidRDefault="00400398" w:rsidP="00EA31CF">
            <w:pPr>
              <w:keepNext/>
              <w:keepLines/>
              <w:jc w:val="center"/>
              <w:rPr>
                <w:sz w:val="20"/>
              </w:rPr>
            </w:pPr>
            <w:r w:rsidRPr="00215594">
              <w:rPr>
                <w:sz w:val="20"/>
              </w:rPr>
              <w:t>Síncope,</w:t>
            </w:r>
          </w:p>
          <w:p w14:paraId="3123E3FB" w14:textId="77777777" w:rsidR="00400398" w:rsidRPr="00215594" w:rsidRDefault="00400398" w:rsidP="00EA31CF">
            <w:pPr>
              <w:keepNext/>
              <w:keepLines/>
              <w:jc w:val="center"/>
              <w:rPr>
                <w:sz w:val="20"/>
              </w:rPr>
            </w:pPr>
            <w:r w:rsidRPr="00215594">
              <w:rPr>
                <w:sz w:val="20"/>
              </w:rPr>
              <w:t>Sonolência,</w:t>
            </w:r>
          </w:p>
          <w:p w14:paraId="48EDCEB4" w14:textId="77777777" w:rsidR="00400398" w:rsidRPr="00215594" w:rsidRDefault="00400398" w:rsidP="00EA31CF">
            <w:pPr>
              <w:keepNext/>
              <w:keepLines/>
              <w:jc w:val="center"/>
              <w:rPr>
                <w:noProof/>
                <w:sz w:val="20"/>
                <w:highlight w:val="yellow"/>
              </w:rPr>
            </w:pPr>
            <w:r w:rsidRPr="00215594">
              <w:rPr>
                <w:sz w:val="20"/>
              </w:rPr>
              <w:t>Cefaleia</w:t>
            </w:r>
          </w:p>
        </w:tc>
        <w:tc>
          <w:tcPr>
            <w:tcW w:w="1276" w:type="dxa"/>
          </w:tcPr>
          <w:p w14:paraId="661FA3E8" w14:textId="77777777" w:rsidR="00400398" w:rsidRPr="00215594" w:rsidRDefault="00400398" w:rsidP="00EA31CF">
            <w:pPr>
              <w:keepNext/>
              <w:keepLines/>
              <w:ind w:left="567" w:hanging="567"/>
              <w:jc w:val="center"/>
              <w:outlineLvl w:val="0"/>
              <w:rPr>
                <w:noProof/>
                <w:sz w:val="20"/>
                <w:highlight w:val="yellow"/>
              </w:rPr>
            </w:pPr>
          </w:p>
        </w:tc>
        <w:tc>
          <w:tcPr>
            <w:tcW w:w="1276" w:type="dxa"/>
          </w:tcPr>
          <w:p w14:paraId="66DFF749" w14:textId="77777777" w:rsidR="00400398" w:rsidRPr="00215594" w:rsidRDefault="00400398" w:rsidP="00EA31CF">
            <w:pPr>
              <w:keepNext/>
              <w:keepLines/>
              <w:ind w:left="567" w:hanging="567"/>
              <w:jc w:val="center"/>
              <w:outlineLvl w:val="0"/>
              <w:rPr>
                <w:noProof/>
                <w:sz w:val="20"/>
                <w:highlight w:val="yellow"/>
              </w:rPr>
            </w:pPr>
          </w:p>
        </w:tc>
        <w:tc>
          <w:tcPr>
            <w:tcW w:w="1134" w:type="dxa"/>
          </w:tcPr>
          <w:p w14:paraId="391E9CF6" w14:textId="77777777" w:rsidR="00400398" w:rsidRPr="00215594" w:rsidRDefault="00400398" w:rsidP="00EA31CF">
            <w:pPr>
              <w:keepNext/>
              <w:keepLines/>
              <w:ind w:left="567" w:hanging="567"/>
              <w:jc w:val="center"/>
              <w:outlineLvl w:val="0"/>
              <w:rPr>
                <w:noProof/>
                <w:sz w:val="20"/>
                <w:highlight w:val="yellow"/>
              </w:rPr>
            </w:pPr>
          </w:p>
        </w:tc>
        <w:tc>
          <w:tcPr>
            <w:tcW w:w="1417" w:type="dxa"/>
          </w:tcPr>
          <w:p w14:paraId="6678635B" w14:textId="77777777" w:rsidR="00400398" w:rsidRPr="00215594" w:rsidRDefault="00400398" w:rsidP="00EA31CF">
            <w:pPr>
              <w:keepNext/>
              <w:keepLines/>
              <w:jc w:val="center"/>
              <w:rPr>
                <w:sz w:val="20"/>
                <w:highlight w:val="yellow"/>
                <w:vertAlign w:val="superscript"/>
              </w:rPr>
            </w:pPr>
            <w:r w:rsidRPr="00215594">
              <w:rPr>
                <w:sz w:val="20"/>
              </w:rPr>
              <w:t>Síndrome de encefalopatia posterior reversível</w:t>
            </w:r>
            <w:r w:rsidRPr="00215594">
              <w:rPr>
                <w:sz w:val="20"/>
                <w:vertAlign w:val="superscript"/>
              </w:rPr>
              <w:t>a,b,c</w:t>
            </w:r>
            <w:r w:rsidRPr="00215594">
              <w:rPr>
                <w:sz w:val="20"/>
              </w:rPr>
              <w:t>, Encefalopatia hipertensiva</w:t>
            </w:r>
            <w:r w:rsidRPr="00215594">
              <w:rPr>
                <w:sz w:val="20"/>
                <w:vertAlign w:val="superscript"/>
              </w:rPr>
              <w:t>c</w:t>
            </w:r>
          </w:p>
        </w:tc>
      </w:tr>
      <w:tr w:rsidR="00400398" w:rsidRPr="00215594" w14:paraId="718CD681" w14:textId="77777777" w:rsidTr="009C7B71">
        <w:trPr>
          <w:trHeight w:val="143"/>
        </w:trPr>
        <w:tc>
          <w:tcPr>
            <w:tcW w:w="1419" w:type="dxa"/>
          </w:tcPr>
          <w:p w14:paraId="15B06645" w14:textId="77777777" w:rsidR="00400398" w:rsidRPr="00215594" w:rsidRDefault="00400398">
            <w:pPr>
              <w:keepNext/>
              <w:keepLines/>
              <w:jc w:val="center"/>
              <w:rPr>
                <w:noProof/>
                <w:sz w:val="20"/>
              </w:rPr>
            </w:pPr>
            <w:r w:rsidRPr="00215594">
              <w:rPr>
                <w:noProof/>
                <w:color w:val="000000"/>
                <w:sz w:val="20"/>
              </w:rPr>
              <w:t>Cardiopatias</w:t>
            </w:r>
          </w:p>
        </w:tc>
        <w:tc>
          <w:tcPr>
            <w:tcW w:w="1275" w:type="dxa"/>
          </w:tcPr>
          <w:p w14:paraId="2B50340B" w14:textId="77777777" w:rsidR="00400398" w:rsidRPr="00215594" w:rsidRDefault="00400398" w:rsidP="00C82494">
            <w:pPr>
              <w:keepNext/>
              <w:keepLines/>
              <w:jc w:val="center"/>
              <w:rPr>
                <w:noProof/>
                <w:sz w:val="20"/>
                <w:highlight w:val="yellow"/>
              </w:rPr>
            </w:pPr>
          </w:p>
        </w:tc>
        <w:tc>
          <w:tcPr>
            <w:tcW w:w="1559" w:type="dxa"/>
          </w:tcPr>
          <w:p w14:paraId="3EE94EB5" w14:textId="77777777" w:rsidR="00400398" w:rsidRPr="00215594" w:rsidRDefault="00400398">
            <w:pPr>
              <w:keepNext/>
              <w:keepLines/>
              <w:jc w:val="center"/>
              <w:rPr>
                <w:sz w:val="20"/>
                <w:highlight w:val="yellow"/>
              </w:rPr>
            </w:pPr>
            <w:r w:rsidRPr="00215594">
              <w:rPr>
                <w:sz w:val="20"/>
              </w:rPr>
              <w:t>Insuficiência cardíaca congestiva</w:t>
            </w:r>
            <w:r w:rsidRPr="00215594">
              <w:rPr>
                <w:sz w:val="20"/>
                <w:vertAlign w:val="superscript"/>
              </w:rPr>
              <w:t>a,b</w:t>
            </w:r>
            <w:r w:rsidR="009C7B71" w:rsidRPr="00215594">
              <w:rPr>
                <w:sz w:val="20"/>
              </w:rPr>
              <w:t xml:space="preserve">, </w:t>
            </w:r>
            <w:r w:rsidRPr="00215594">
              <w:rPr>
                <w:sz w:val="20"/>
              </w:rPr>
              <w:t>Taquicardia supraventricular</w:t>
            </w:r>
          </w:p>
        </w:tc>
        <w:tc>
          <w:tcPr>
            <w:tcW w:w="1276" w:type="dxa"/>
          </w:tcPr>
          <w:p w14:paraId="177D3EE3" w14:textId="77777777" w:rsidR="00400398" w:rsidRPr="00215594" w:rsidRDefault="00400398" w:rsidP="00C82494">
            <w:pPr>
              <w:keepNext/>
              <w:keepLines/>
              <w:jc w:val="center"/>
              <w:rPr>
                <w:b/>
                <w:caps/>
                <w:sz w:val="20"/>
                <w:highlight w:val="yellow"/>
              </w:rPr>
            </w:pPr>
          </w:p>
        </w:tc>
        <w:tc>
          <w:tcPr>
            <w:tcW w:w="1276" w:type="dxa"/>
          </w:tcPr>
          <w:p w14:paraId="3AE248BB" w14:textId="77777777" w:rsidR="00400398" w:rsidRPr="00215594" w:rsidRDefault="00400398" w:rsidP="00C82494">
            <w:pPr>
              <w:keepNext/>
              <w:keepLines/>
              <w:jc w:val="center"/>
              <w:rPr>
                <w:b/>
                <w:caps/>
                <w:sz w:val="20"/>
                <w:highlight w:val="yellow"/>
              </w:rPr>
            </w:pPr>
          </w:p>
        </w:tc>
        <w:tc>
          <w:tcPr>
            <w:tcW w:w="1134" w:type="dxa"/>
          </w:tcPr>
          <w:p w14:paraId="160D059A" w14:textId="77777777" w:rsidR="00400398" w:rsidRPr="00215594" w:rsidRDefault="00400398" w:rsidP="00C82494">
            <w:pPr>
              <w:keepNext/>
              <w:keepLines/>
              <w:jc w:val="center"/>
              <w:rPr>
                <w:b/>
                <w:caps/>
                <w:sz w:val="20"/>
                <w:highlight w:val="yellow"/>
              </w:rPr>
            </w:pPr>
          </w:p>
        </w:tc>
        <w:tc>
          <w:tcPr>
            <w:tcW w:w="1417" w:type="dxa"/>
          </w:tcPr>
          <w:p w14:paraId="0C9CAC5B" w14:textId="77777777" w:rsidR="00400398" w:rsidRPr="00215594" w:rsidRDefault="00400398" w:rsidP="00C82494">
            <w:pPr>
              <w:keepNext/>
              <w:keepLines/>
              <w:jc w:val="center"/>
              <w:rPr>
                <w:b/>
                <w:caps/>
                <w:sz w:val="20"/>
                <w:highlight w:val="yellow"/>
              </w:rPr>
            </w:pPr>
          </w:p>
        </w:tc>
      </w:tr>
      <w:tr w:rsidR="00400398" w:rsidRPr="00215594" w14:paraId="68167BB0" w14:textId="77777777" w:rsidTr="009C7B71">
        <w:trPr>
          <w:trHeight w:val="143"/>
        </w:trPr>
        <w:tc>
          <w:tcPr>
            <w:tcW w:w="1419" w:type="dxa"/>
          </w:tcPr>
          <w:p w14:paraId="430DFC96" w14:textId="77777777" w:rsidR="00400398" w:rsidRPr="00215594" w:rsidRDefault="00400398" w:rsidP="00712E12">
            <w:pPr>
              <w:keepNext/>
              <w:keepLines/>
              <w:jc w:val="center"/>
              <w:rPr>
                <w:noProof/>
                <w:sz w:val="20"/>
                <w:highlight w:val="yellow"/>
              </w:rPr>
            </w:pPr>
            <w:r w:rsidRPr="00215594">
              <w:rPr>
                <w:sz w:val="20"/>
              </w:rPr>
              <w:t>Vasculopatias</w:t>
            </w:r>
          </w:p>
        </w:tc>
        <w:tc>
          <w:tcPr>
            <w:tcW w:w="1275" w:type="dxa"/>
          </w:tcPr>
          <w:p w14:paraId="0A9FEBB9" w14:textId="77777777" w:rsidR="00400398" w:rsidRPr="00215594" w:rsidRDefault="00400398" w:rsidP="00712E12">
            <w:pPr>
              <w:keepNext/>
              <w:keepLines/>
              <w:jc w:val="center"/>
              <w:rPr>
                <w:noProof/>
                <w:sz w:val="20"/>
                <w:highlight w:val="yellow"/>
              </w:rPr>
            </w:pPr>
            <w:r w:rsidRPr="00215594">
              <w:rPr>
                <w:noProof/>
                <w:color w:val="000000"/>
                <w:sz w:val="20"/>
              </w:rPr>
              <w:t>Hipertensão</w:t>
            </w:r>
            <w:r w:rsidRPr="00215594">
              <w:rPr>
                <w:noProof/>
                <w:color w:val="000000"/>
                <w:sz w:val="20"/>
                <w:vertAlign w:val="superscript"/>
              </w:rPr>
              <w:t>a,b</w:t>
            </w:r>
          </w:p>
        </w:tc>
        <w:tc>
          <w:tcPr>
            <w:tcW w:w="1559" w:type="dxa"/>
          </w:tcPr>
          <w:p w14:paraId="3422DAE5" w14:textId="77777777" w:rsidR="00400398" w:rsidRPr="00215594" w:rsidRDefault="00400398" w:rsidP="00712E12">
            <w:pPr>
              <w:keepNext/>
              <w:keepLines/>
              <w:jc w:val="center"/>
              <w:rPr>
                <w:sz w:val="20"/>
              </w:rPr>
            </w:pPr>
            <w:r w:rsidRPr="00215594">
              <w:rPr>
                <w:sz w:val="20"/>
              </w:rPr>
              <w:t>Tromboembolismo arterial</w:t>
            </w:r>
            <w:r w:rsidRPr="00215594">
              <w:rPr>
                <w:sz w:val="20"/>
                <w:vertAlign w:val="superscript"/>
              </w:rPr>
              <w:t>a,b</w:t>
            </w:r>
            <w:r w:rsidRPr="00215594">
              <w:rPr>
                <w:sz w:val="20"/>
              </w:rPr>
              <w:t>,</w:t>
            </w:r>
          </w:p>
          <w:p w14:paraId="38344FFE" w14:textId="77777777" w:rsidR="00400398" w:rsidRPr="00215594" w:rsidRDefault="00400398" w:rsidP="00712E12">
            <w:pPr>
              <w:keepNext/>
              <w:keepLines/>
              <w:jc w:val="center"/>
              <w:rPr>
                <w:sz w:val="20"/>
                <w:highlight w:val="yellow"/>
              </w:rPr>
            </w:pPr>
            <w:r w:rsidRPr="00215594">
              <w:rPr>
                <w:sz w:val="20"/>
              </w:rPr>
              <w:t>Hemorragia</w:t>
            </w:r>
            <w:r w:rsidRPr="00215594">
              <w:rPr>
                <w:sz w:val="20"/>
                <w:vertAlign w:val="superscript"/>
              </w:rPr>
              <w:t>a,b</w:t>
            </w:r>
            <w:r w:rsidRPr="00215594">
              <w:rPr>
                <w:sz w:val="20"/>
              </w:rPr>
              <w:t>, Tromboembolismo (venoso)</w:t>
            </w:r>
            <w:r w:rsidRPr="00215594">
              <w:rPr>
                <w:sz w:val="20"/>
                <w:vertAlign w:val="superscript"/>
              </w:rPr>
              <w:t>a,b</w:t>
            </w:r>
            <w:r w:rsidRPr="00215594">
              <w:rPr>
                <w:sz w:val="20"/>
              </w:rPr>
              <w:t>, Trombose venosa profunda</w:t>
            </w:r>
          </w:p>
        </w:tc>
        <w:tc>
          <w:tcPr>
            <w:tcW w:w="1276" w:type="dxa"/>
          </w:tcPr>
          <w:p w14:paraId="49EDA415" w14:textId="77777777" w:rsidR="00400398" w:rsidRPr="00215594" w:rsidRDefault="00400398" w:rsidP="00712E12">
            <w:pPr>
              <w:keepNext/>
              <w:keepLines/>
              <w:jc w:val="center"/>
              <w:rPr>
                <w:sz w:val="20"/>
                <w:highlight w:val="yellow"/>
              </w:rPr>
            </w:pPr>
          </w:p>
        </w:tc>
        <w:tc>
          <w:tcPr>
            <w:tcW w:w="1276" w:type="dxa"/>
          </w:tcPr>
          <w:p w14:paraId="3CBC872E" w14:textId="77777777" w:rsidR="00400398" w:rsidRPr="00215594" w:rsidRDefault="00400398" w:rsidP="00712E12">
            <w:pPr>
              <w:keepNext/>
              <w:keepLines/>
              <w:jc w:val="center"/>
              <w:rPr>
                <w:sz w:val="20"/>
                <w:highlight w:val="yellow"/>
              </w:rPr>
            </w:pPr>
          </w:p>
        </w:tc>
        <w:tc>
          <w:tcPr>
            <w:tcW w:w="1134" w:type="dxa"/>
          </w:tcPr>
          <w:p w14:paraId="279AC97A" w14:textId="77777777" w:rsidR="00400398" w:rsidRPr="00215594" w:rsidRDefault="00400398" w:rsidP="00712E12">
            <w:pPr>
              <w:keepNext/>
              <w:keepLines/>
              <w:jc w:val="center"/>
              <w:rPr>
                <w:sz w:val="20"/>
                <w:highlight w:val="yellow"/>
              </w:rPr>
            </w:pPr>
          </w:p>
        </w:tc>
        <w:tc>
          <w:tcPr>
            <w:tcW w:w="1417" w:type="dxa"/>
          </w:tcPr>
          <w:p w14:paraId="78301805" w14:textId="77777777" w:rsidR="00400398" w:rsidRPr="00215594" w:rsidRDefault="00400398" w:rsidP="00987330">
            <w:pPr>
              <w:keepNext/>
              <w:keepLines/>
              <w:jc w:val="center"/>
              <w:rPr>
                <w:sz w:val="20"/>
                <w:highlight w:val="yellow"/>
              </w:rPr>
            </w:pPr>
            <w:r w:rsidRPr="00215594">
              <w:rPr>
                <w:sz w:val="20"/>
              </w:rPr>
              <w:t>Microangiopatia trombótica renal</w:t>
            </w:r>
            <w:r w:rsidRPr="00215594">
              <w:rPr>
                <w:sz w:val="20"/>
                <w:vertAlign w:val="superscript"/>
              </w:rPr>
              <w:t>b,c</w:t>
            </w:r>
            <w:r w:rsidR="00F017B3" w:rsidRPr="00215594">
              <w:rPr>
                <w:sz w:val="18"/>
                <w:szCs w:val="18"/>
              </w:rPr>
              <w:t xml:space="preserve">, Aneurismas e dissecções </w:t>
            </w:r>
            <w:r w:rsidR="00987330" w:rsidRPr="00215594">
              <w:rPr>
                <w:sz w:val="18"/>
                <w:szCs w:val="18"/>
              </w:rPr>
              <w:t>das artérias</w:t>
            </w:r>
          </w:p>
        </w:tc>
      </w:tr>
      <w:tr w:rsidR="00400398" w:rsidRPr="00215594" w14:paraId="46A6C70D" w14:textId="77777777" w:rsidTr="009C7B71">
        <w:trPr>
          <w:trHeight w:val="143"/>
        </w:trPr>
        <w:tc>
          <w:tcPr>
            <w:tcW w:w="1419" w:type="dxa"/>
          </w:tcPr>
          <w:p w14:paraId="41940327" w14:textId="77777777" w:rsidR="00400398" w:rsidRPr="00215594" w:rsidRDefault="00400398" w:rsidP="000603E8">
            <w:pPr>
              <w:jc w:val="center"/>
              <w:rPr>
                <w:sz w:val="20"/>
                <w:highlight w:val="yellow"/>
              </w:rPr>
            </w:pPr>
            <w:r w:rsidRPr="00215594">
              <w:rPr>
                <w:sz w:val="20"/>
              </w:rPr>
              <w:t>Doenças respiratórias, torácicas e do mediastino</w:t>
            </w:r>
          </w:p>
        </w:tc>
        <w:tc>
          <w:tcPr>
            <w:tcW w:w="1275" w:type="dxa"/>
          </w:tcPr>
          <w:p w14:paraId="6649BE71" w14:textId="77777777" w:rsidR="00400398" w:rsidRPr="00215594" w:rsidRDefault="00400398" w:rsidP="000603E8">
            <w:pPr>
              <w:jc w:val="center"/>
              <w:rPr>
                <w:sz w:val="20"/>
                <w:highlight w:val="yellow"/>
              </w:rPr>
            </w:pPr>
          </w:p>
        </w:tc>
        <w:tc>
          <w:tcPr>
            <w:tcW w:w="1559" w:type="dxa"/>
          </w:tcPr>
          <w:p w14:paraId="361BD5A2" w14:textId="77777777" w:rsidR="00400398" w:rsidRPr="00215594" w:rsidRDefault="00400398" w:rsidP="000603E8">
            <w:pPr>
              <w:jc w:val="center"/>
              <w:rPr>
                <w:sz w:val="20"/>
              </w:rPr>
            </w:pPr>
            <w:r w:rsidRPr="00215594">
              <w:rPr>
                <w:sz w:val="20"/>
              </w:rPr>
              <w:t>Hemorragia pulmonar/</w:t>
            </w:r>
          </w:p>
          <w:p w14:paraId="64DF86DC" w14:textId="77777777" w:rsidR="00400398" w:rsidRPr="00215594" w:rsidRDefault="00400398" w:rsidP="000603E8">
            <w:pPr>
              <w:jc w:val="center"/>
              <w:rPr>
                <w:sz w:val="20"/>
              </w:rPr>
            </w:pPr>
            <w:r w:rsidRPr="00215594">
              <w:rPr>
                <w:sz w:val="20"/>
              </w:rPr>
              <w:t>Hemoptise</w:t>
            </w:r>
            <w:r w:rsidRPr="00215594">
              <w:rPr>
                <w:sz w:val="20"/>
                <w:vertAlign w:val="superscript"/>
              </w:rPr>
              <w:t>a,b</w:t>
            </w:r>
            <w:r w:rsidRPr="00215594">
              <w:rPr>
                <w:sz w:val="20"/>
              </w:rPr>
              <w:t>,</w:t>
            </w:r>
          </w:p>
          <w:p w14:paraId="6E458C0C" w14:textId="77777777" w:rsidR="00400398" w:rsidRPr="00215594" w:rsidRDefault="00400398" w:rsidP="000603E8">
            <w:pPr>
              <w:jc w:val="center"/>
              <w:rPr>
                <w:sz w:val="20"/>
              </w:rPr>
            </w:pPr>
            <w:r w:rsidRPr="00215594">
              <w:rPr>
                <w:sz w:val="20"/>
              </w:rPr>
              <w:t>Embolia pulmonar,</w:t>
            </w:r>
          </w:p>
          <w:p w14:paraId="7D1A984D" w14:textId="77777777" w:rsidR="00400398" w:rsidRPr="00215594" w:rsidRDefault="00400398" w:rsidP="000603E8">
            <w:pPr>
              <w:jc w:val="center"/>
              <w:rPr>
                <w:sz w:val="20"/>
              </w:rPr>
            </w:pPr>
            <w:r w:rsidRPr="00215594">
              <w:rPr>
                <w:sz w:val="20"/>
              </w:rPr>
              <w:t>Epistaxe, Dispneia,</w:t>
            </w:r>
          </w:p>
          <w:p w14:paraId="0051AA34" w14:textId="77777777" w:rsidR="00400398" w:rsidRPr="00215594" w:rsidRDefault="00400398" w:rsidP="000603E8">
            <w:pPr>
              <w:jc w:val="center"/>
              <w:rPr>
                <w:sz w:val="20"/>
              </w:rPr>
            </w:pPr>
            <w:r w:rsidRPr="00215594">
              <w:rPr>
                <w:sz w:val="20"/>
              </w:rPr>
              <w:t>Hipoxia</w:t>
            </w:r>
          </w:p>
        </w:tc>
        <w:tc>
          <w:tcPr>
            <w:tcW w:w="1276" w:type="dxa"/>
          </w:tcPr>
          <w:p w14:paraId="57FB337A" w14:textId="77777777" w:rsidR="00400398" w:rsidRPr="00215594" w:rsidRDefault="00400398" w:rsidP="000603E8">
            <w:pPr>
              <w:ind w:left="567" w:hanging="567"/>
              <w:jc w:val="center"/>
              <w:outlineLvl w:val="0"/>
              <w:rPr>
                <w:noProof/>
                <w:sz w:val="20"/>
                <w:highlight w:val="yellow"/>
              </w:rPr>
            </w:pPr>
          </w:p>
        </w:tc>
        <w:tc>
          <w:tcPr>
            <w:tcW w:w="1276" w:type="dxa"/>
          </w:tcPr>
          <w:p w14:paraId="5AF2BE11" w14:textId="77777777" w:rsidR="00400398" w:rsidRPr="00215594" w:rsidRDefault="00400398" w:rsidP="000603E8">
            <w:pPr>
              <w:ind w:left="567" w:hanging="567"/>
              <w:jc w:val="center"/>
              <w:outlineLvl w:val="0"/>
              <w:rPr>
                <w:noProof/>
                <w:sz w:val="20"/>
                <w:highlight w:val="yellow"/>
              </w:rPr>
            </w:pPr>
          </w:p>
        </w:tc>
        <w:tc>
          <w:tcPr>
            <w:tcW w:w="1134" w:type="dxa"/>
          </w:tcPr>
          <w:p w14:paraId="2D7265DF" w14:textId="77777777" w:rsidR="00400398" w:rsidRPr="00215594" w:rsidRDefault="00400398" w:rsidP="000603E8">
            <w:pPr>
              <w:ind w:left="567" w:hanging="567"/>
              <w:jc w:val="center"/>
              <w:outlineLvl w:val="0"/>
              <w:rPr>
                <w:noProof/>
                <w:sz w:val="20"/>
                <w:highlight w:val="yellow"/>
              </w:rPr>
            </w:pPr>
          </w:p>
        </w:tc>
        <w:tc>
          <w:tcPr>
            <w:tcW w:w="1417" w:type="dxa"/>
          </w:tcPr>
          <w:p w14:paraId="18BAF1BB" w14:textId="77777777" w:rsidR="00400398" w:rsidRPr="00215594" w:rsidRDefault="00400398" w:rsidP="000603E8">
            <w:pPr>
              <w:jc w:val="center"/>
              <w:rPr>
                <w:sz w:val="20"/>
              </w:rPr>
            </w:pPr>
            <w:r w:rsidRPr="00215594">
              <w:rPr>
                <w:sz w:val="20"/>
              </w:rPr>
              <w:t>Hipertensão pulmonar</w:t>
            </w:r>
            <w:r w:rsidRPr="00215594">
              <w:rPr>
                <w:sz w:val="20"/>
                <w:vertAlign w:val="superscript"/>
              </w:rPr>
              <w:t>c</w:t>
            </w:r>
            <w:r w:rsidRPr="00215594">
              <w:rPr>
                <w:sz w:val="20"/>
              </w:rPr>
              <w:t>,</w:t>
            </w:r>
          </w:p>
          <w:p w14:paraId="56D864FB" w14:textId="77777777" w:rsidR="00400398" w:rsidRPr="00215594" w:rsidRDefault="00400398" w:rsidP="000603E8">
            <w:pPr>
              <w:jc w:val="center"/>
              <w:rPr>
                <w:sz w:val="20"/>
                <w:highlight w:val="yellow"/>
              </w:rPr>
            </w:pPr>
            <w:r w:rsidRPr="00215594">
              <w:rPr>
                <w:sz w:val="20"/>
              </w:rPr>
              <w:t>Perfuração do septo nasal</w:t>
            </w:r>
            <w:r w:rsidRPr="00215594">
              <w:rPr>
                <w:sz w:val="20"/>
                <w:vertAlign w:val="superscript"/>
              </w:rPr>
              <w:t>c</w:t>
            </w:r>
          </w:p>
        </w:tc>
      </w:tr>
      <w:tr w:rsidR="00400398" w:rsidRPr="00215594" w14:paraId="4B2C67B1" w14:textId="77777777" w:rsidTr="009C7B71">
        <w:trPr>
          <w:trHeight w:val="143"/>
        </w:trPr>
        <w:tc>
          <w:tcPr>
            <w:tcW w:w="1419" w:type="dxa"/>
          </w:tcPr>
          <w:p w14:paraId="072F1DB6" w14:textId="77777777" w:rsidR="00400398" w:rsidRPr="00215594" w:rsidRDefault="00400398" w:rsidP="00EB1E8F">
            <w:pPr>
              <w:jc w:val="center"/>
              <w:rPr>
                <w:noProof/>
                <w:sz w:val="20"/>
                <w:highlight w:val="yellow"/>
              </w:rPr>
            </w:pPr>
            <w:r w:rsidRPr="00215594">
              <w:rPr>
                <w:sz w:val="20"/>
              </w:rPr>
              <w:t>Doenças gastrointestinais</w:t>
            </w:r>
          </w:p>
        </w:tc>
        <w:tc>
          <w:tcPr>
            <w:tcW w:w="1275" w:type="dxa"/>
          </w:tcPr>
          <w:p w14:paraId="35937661" w14:textId="77777777" w:rsidR="00400398" w:rsidRPr="00215594" w:rsidRDefault="00400398" w:rsidP="00EB1E8F">
            <w:pPr>
              <w:jc w:val="center"/>
              <w:rPr>
                <w:sz w:val="20"/>
              </w:rPr>
            </w:pPr>
            <w:r w:rsidRPr="00215594">
              <w:rPr>
                <w:sz w:val="20"/>
              </w:rPr>
              <w:t>Diarreia,</w:t>
            </w:r>
          </w:p>
          <w:p w14:paraId="753147F8" w14:textId="77777777" w:rsidR="00400398" w:rsidRPr="00215594" w:rsidRDefault="00400398" w:rsidP="00EB1E8F">
            <w:pPr>
              <w:jc w:val="center"/>
              <w:rPr>
                <w:sz w:val="20"/>
              </w:rPr>
            </w:pPr>
            <w:r w:rsidRPr="00215594">
              <w:rPr>
                <w:sz w:val="20"/>
              </w:rPr>
              <w:t>Náusea,</w:t>
            </w:r>
          </w:p>
          <w:p w14:paraId="7EA2E209" w14:textId="77777777" w:rsidR="00400398" w:rsidRPr="00215594" w:rsidRDefault="00400398" w:rsidP="00EB1E8F">
            <w:pPr>
              <w:jc w:val="center"/>
              <w:rPr>
                <w:noProof/>
                <w:sz w:val="20"/>
                <w:highlight w:val="yellow"/>
              </w:rPr>
            </w:pPr>
            <w:r w:rsidRPr="00215594">
              <w:rPr>
                <w:sz w:val="20"/>
              </w:rPr>
              <w:t xml:space="preserve">Vómitos, Dor </w:t>
            </w:r>
            <w:r w:rsidR="00547C7A" w:rsidRPr="00215594">
              <w:rPr>
                <w:sz w:val="20"/>
              </w:rPr>
              <w:t>a</w:t>
            </w:r>
            <w:r w:rsidRPr="00215594">
              <w:rPr>
                <w:sz w:val="20"/>
              </w:rPr>
              <w:t>bdominal</w:t>
            </w:r>
          </w:p>
        </w:tc>
        <w:tc>
          <w:tcPr>
            <w:tcW w:w="1559" w:type="dxa"/>
          </w:tcPr>
          <w:p w14:paraId="49C677AB" w14:textId="77777777" w:rsidR="00400398" w:rsidRPr="00215594" w:rsidRDefault="00400398" w:rsidP="00EB1E8F">
            <w:pPr>
              <w:jc w:val="center"/>
              <w:rPr>
                <w:sz w:val="20"/>
              </w:rPr>
            </w:pPr>
            <w:r w:rsidRPr="00215594">
              <w:rPr>
                <w:sz w:val="20"/>
              </w:rPr>
              <w:t>Perfuração intestinal,</w:t>
            </w:r>
          </w:p>
          <w:p w14:paraId="5DE9B376" w14:textId="77777777" w:rsidR="00400398" w:rsidRPr="00215594" w:rsidRDefault="00400398" w:rsidP="00EB1E8F">
            <w:pPr>
              <w:jc w:val="center"/>
              <w:rPr>
                <w:sz w:val="20"/>
              </w:rPr>
            </w:pPr>
            <w:r w:rsidRPr="00215594">
              <w:rPr>
                <w:sz w:val="20"/>
              </w:rPr>
              <w:t>Ileus,</w:t>
            </w:r>
          </w:p>
          <w:p w14:paraId="699695A0" w14:textId="77777777" w:rsidR="00400398" w:rsidRPr="00215594" w:rsidRDefault="00400398" w:rsidP="00EB1E8F">
            <w:pPr>
              <w:jc w:val="center"/>
              <w:rPr>
                <w:sz w:val="20"/>
              </w:rPr>
            </w:pPr>
            <w:r w:rsidRPr="00215594">
              <w:rPr>
                <w:sz w:val="20"/>
              </w:rPr>
              <w:t>Obstrução intestinal,</w:t>
            </w:r>
          </w:p>
          <w:p w14:paraId="50F6FA35" w14:textId="77777777" w:rsidR="00400398" w:rsidRPr="00215594" w:rsidRDefault="00400398" w:rsidP="00EB1E8F">
            <w:pPr>
              <w:jc w:val="center"/>
              <w:rPr>
                <w:sz w:val="20"/>
              </w:rPr>
            </w:pPr>
            <w:r w:rsidRPr="00215594">
              <w:rPr>
                <w:sz w:val="20"/>
              </w:rPr>
              <w:t>Fístula retovaginal</w:t>
            </w:r>
            <w:r w:rsidRPr="00215594">
              <w:rPr>
                <w:bCs/>
                <w:sz w:val="20"/>
                <w:vertAlign w:val="superscript"/>
                <w:lang w:eastAsia="zh-TW"/>
              </w:rPr>
              <w:t>c,d</w:t>
            </w:r>
            <w:r w:rsidRPr="00215594">
              <w:rPr>
                <w:sz w:val="20"/>
              </w:rPr>
              <w:t>, Afeção gastrointestinal,</w:t>
            </w:r>
          </w:p>
          <w:p w14:paraId="2DE9B05A" w14:textId="77777777" w:rsidR="00400398" w:rsidRPr="00215594" w:rsidRDefault="00400398" w:rsidP="00EB1E8F">
            <w:pPr>
              <w:jc w:val="center"/>
              <w:rPr>
                <w:sz w:val="20"/>
                <w:highlight w:val="yellow"/>
              </w:rPr>
            </w:pPr>
            <w:r w:rsidRPr="00215594">
              <w:rPr>
                <w:sz w:val="20"/>
              </w:rPr>
              <w:t>Estomatite, Proctalgia</w:t>
            </w:r>
          </w:p>
        </w:tc>
        <w:tc>
          <w:tcPr>
            <w:tcW w:w="1276" w:type="dxa"/>
          </w:tcPr>
          <w:p w14:paraId="791F3227" w14:textId="77777777" w:rsidR="00400398" w:rsidRPr="00215594" w:rsidRDefault="00400398" w:rsidP="00EB1E8F">
            <w:pPr>
              <w:jc w:val="center"/>
              <w:rPr>
                <w:b/>
                <w:caps/>
                <w:sz w:val="20"/>
                <w:highlight w:val="yellow"/>
              </w:rPr>
            </w:pPr>
          </w:p>
        </w:tc>
        <w:tc>
          <w:tcPr>
            <w:tcW w:w="1276" w:type="dxa"/>
          </w:tcPr>
          <w:p w14:paraId="3CD3EA9E" w14:textId="77777777" w:rsidR="00400398" w:rsidRPr="00215594" w:rsidRDefault="00400398" w:rsidP="00EB1E8F">
            <w:pPr>
              <w:jc w:val="center"/>
              <w:rPr>
                <w:b/>
                <w:caps/>
                <w:sz w:val="20"/>
                <w:highlight w:val="yellow"/>
              </w:rPr>
            </w:pPr>
          </w:p>
        </w:tc>
        <w:tc>
          <w:tcPr>
            <w:tcW w:w="1134" w:type="dxa"/>
          </w:tcPr>
          <w:p w14:paraId="28DC9155" w14:textId="77777777" w:rsidR="00400398" w:rsidRPr="00215594" w:rsidRDefault="00400398" w:rsidP="00EB1E8F">
            <w:pPr>
              <w:jc w:val="center"/>
              <w:rPr>
                <w:b/>
                <w:caps/>
                <w:sz w:val="20"/>
                <w:highlight w:val="yellow"/>
              </w:rPr>
            </w:pPr>
          </w:p>
        </w:tc>
        <w:tc>
          <w:tcPr>
            <w:tcW w:w="1417" w:type="dxa"/>
          </w:tcPr>
          <w:p w14:paraId="30C02CDE" w14:textId="77777777" w:rsidR="00400398" w:rsidRPr="00215594" w:rsidRDefault="00400398" w:rsidP="00EB1E8F">
            <w:pPr>
              <w:jc w:val="center"/>
              <w:rPr>
                <w:sz w:val="20"/>
              </w:rPr>
            </w:pPr>
            <w:r w:rsidRPr="00215594">
              <w:rPr>
                <w:sz w:val="20"/>
              </w:rPr>
              <w:t>Perfuração gastrointestinal</w:t>
            </w:r>
            <w:r w:rsidRPr="00215594">
              <w:rPr>
                <w:sz w:val="20"/>
                <w:vertAlign w:val="superscript"/>
              </w:rPr>
              <w:t>a,b</w:t>
            </w:r>
            <w:r w:rsidRPr="00215594">
              <w:rPr>
                <w:sz w:val="20"/>
              </w:rPr>
              <w:t>, Úlcera gastrointestinal</w:t>
            </w:r>
            <w:r w:rsidRPr="00215594">
              <w:rPr>
                <w:sz w:val="20"/>
                <w:vertAlign w:val="superscript"/>
              </w:rPr>
              <w:t>c</w:t>
            </w:r>
            <w:r w:rsidRPr="00215594">
              <w:rPr>
                <w:sz w:val="20"/>
              </w:rPr>
              <w:t>, Hemorragia retal</w:t>
            </w:r>
          </w:p>
          <w:p w14:paraId="578602F5" w14:textId="77777777" w:rsidR="00400398" w:rsidRPr="00215594" w:rsidRDefault="00400398" w:rsidP="00EB1E8F">
            <w:pPr>
              <w:jc w:val="center"/>
              <w:rPr>
                <w:b/>
                <w:caps/>
                <w:sz w:val="20"/>
                <w:highlight w:val="yellow"/>
              </w:rPr>
            </w:pPr>
          </w:p>
        </w:tc>
      </w:tr>
      <w:tr w:rsidR="00400398" w:rsidRPr="00215594" w14:paraId="683C14A0" w14:textId="77777777" w:rsidTr="009C7B71">
        <w:trPr>
          <w:trHeight w:val="143"/>
        </w:trPr>
        <w:tc>
          <w:tcPr>
            <w:tcW w:w="1419" w:type="dxa"/>
          </w:tcPr>
          <w:p w14:paraId="0192C05B" w14:textId="77777777" w:rsidR="00400398" w:rsidRPr="00215594" w:rsidRDefault="00400398" w:rsidP="000603E8">
            <w:pPr>
              <w:keepNext/>
              <w:keepLines/>
              <w:jc w:val="center"/>
              <w:rPr>
                <w:sz w:val="20"/>
              </w:rPr>
            </w:pPr>
            <w:r w:rsidRPr="00215594">
              <w:rPr>
                <w:sz w:val="20"/>
              </w:rPr>
              <w:lastRenderedPageBreak/>
              <w:t>Afeções hepatobiliares</w:t>
            </w:r>
          </w:p>
        </w:tc>
        <w:tc>
          <w:tcPr>
            <w:tcW w:w="1275" w:type="dxa"/>
          </w:tcPr>
          <w:p w14:paraId="75EA085F" w14:textId="77777777" w:rsidR="00400398" w:rsidRPr="00215594" w:rsidRDefault="00400398" w:rsidP="000603E8">
            <w:pPr>
              <w:keepNext/>
              <w:keepLines/>
              <w:jc w:val="center"/>
              <w:rPr>
                <w:sz w:val="20"/>
                <w:highlight w:val="yellow"/>
              </w:rPr>
            </w:pPr>
          </w:p>
        </w:tc>
        <w:tc>
          <w:tcPr>
            <w:tcW w:w="1559" w:type="dxa"/>
          </w:tcPr>
          <w:p w14:paraId="2E500FE3" w14:textId="77777777" w:rsidR="00400398" w:rsidRPr="00215594" w:rsidRDefault="00400398" w:rsidP="000603E8">
            <w:pPr>
              <w:keepNext/>
              <w:keepLines/>
              <w:jc w:val="center"/>
              <w:rPr>
                <w:sz w:val="20"/>
              </w:rPr>
            </w:pPr>
          </w:p>
        </w:tc>
        <w:tc>
          <w:tcPr>
            <w:tcW w:w="1276" w:type="dxa"/>
          </w:tcPr>
          <w:p w14:paraId="507E41B8" w14:textId="77777777" w:rsidR="00400398" w:rsidRPr="00215594" w:rsidRDefault="00400398" w:rsidP="000603E8">
            <w:pPr>
              <w:keepNext/>
              <w:keepLines/>
              <w:jc w:val="center"/>
              <w:rPr>
                <w:sz w:val="20"/>
                <w:highlight w:val="yellow"/>
              </w:rPr>
            </w:pPr>
          </w:p>
        </w:tc>
        <w:tc>
          <w:tcPr>
            <w:tcW w:w="1276" w:type="dxa"/>
          </w:tcPr>
          <w:p w14:paraId="16AC09E9" w14:textId="77777777" w:rsidR="00400398" w:rsidRPr="00215594" w:rsidRDefault="00400398" w:rsidP="000603E8">
            <w:pPr>
              <w:keepNext/>
              <w:keepLines/>
              <w:jc w:val="center"/>
              <w:rPr>
                <w:sz w:val="20"/>
                <w:highlight w:val="yellow"/>
              </w:rPr>
            </w:pPr>
          </w:p>
        </w:tc>
        <w:tc>
          <w:tcPr>
            <w:tcW w:w="1134" w:type="dxa"/>
          </w:tcPr>
          <w:p w14:paraId="6104EFDB" w14:textId="77777777" w:rsidR="00400398" w:rsidRPr="00215594" w:rsidRDefault="00400398" w:rsidP="000603E8">
            <w:pPr>
              <w:keepNext/>
              <w:keepLines/>
              <w:jc w:val="center"/>
              <w:rPr>
                <w:sz w:val="20"/>
                <w:highlight w:val="yellow"/>
              </w:rPr>
            </w:pPr>
          </w:p>
        </w:tc>
        <w:tc>
          <w:tcPr>
            <w:tcW w:w="1417" w:type="dxa"/>
          </w:tcPr>
          <w:p w14:paraId="157297F3" w14:textId="77777777" w:rsidR="00400398" w:rsidRPr="00215594" w:rsidRDefault="00400398" w:rsidP="006C7C03">
            <w:pPr>
              <w:keepNext/>
              <w:keepLines/>
              <w:jc w:val="center"/>
              <w:rPr>
                <w:sz w:val="20"/>
                <w:highlight w:val="yellow"/>
                <w:vertAlign w:val="superscript"/>
              </w:rPr>
            </w:pPr>
            <w:r w:rsidRPr="00215594">
              <w:rPr>
                <w:sz w:val="20"/>
              </w:rPr>
              <w:t xml:space="preserve">Perfuração da </w:t>
            </w:r>
            <w:r w:rsidR="006C7C03" w:rsidRPr="00215594">
              <w:rPr>
                <w:sz w:val="20"/>
              </w:rPr>
              <w:t>vesícula biliar</w:t>
            </w:r>
            <w:r w:rsidRPr="00215594">
              <w:rPr>
                <w:sz w:val="20"/>
                <w:vertAlign w:val="superscript"/>
              </w:rPr>
              <w:t>b,c</w:t>
            </w:r>
          </w:p>
        </w:tc>
      </w:tr>
      <w:tr w:rsidR="00400398" w:rsidRPr="00215594" w14:paraId="048983C5" w14:textId="77777777" w:rsidTr="009C7B71">
        <w:trPr>
          <w:trHeight w:val="1308"/>
        </w:trPr>
        <w:tc>
          <w:tcPr>
            <w:tcW w:w="1419" w:type="dxa"/>
          </w:tcPr>
          <w:p w14:paraId="63F025AD" w14:textId="77777777" w:rsidR="00400398" w:rsidRPr="00215594" w:rsidRDefault="00400398" w:rsidP="000603E8">
            <w:pPr>
              <w:keepNext/>
              <w:keepLines/>
              <w:jc w:val="center"/>
              <w:rPr>
                <w:sz w:val="20"/>
                <w:highlight w:val="yellow"/>
              </w:rPr>
            </w:pPr>
            <w:r w:rsidRPr="00215594">
              <w:rPr>
                <w:sz w:val="20"/>
              </w:rPr>
              <w:t>Afeções dos tecidos cutâneos e subcutâneos</w:t>
            </w:r>
          </w:p>
        </w:tc>
        <w:tc>
          <w:tcPr>
            <w:tcW w:w="1275" w:type="dxa"/>
          </w:tcPr>
          <w:p w14:paraId="0EE238BD" w14:textId="77777777" w:rsidR="00400398" w:rsidRPr="00215594" w:rsidRDefault="00400398" w:rsidP="000603E8">
            <w:pPr>
              <w:keepNext/>
              <w:keepLines/>
              <w:jc w:val="center"/>
              <w:rPr>
                <w:sz w:val="20"/>
                <w:highlight w:val="yellow"/>
              </w:rPr>
            </w:pPr>
          </w:p>
        </w:tc>
        <w:tc>
          <w:tcPr>
            <w:tcW w:w="1559" w:type="dxa"/>
          </w:tcPr>
          <w:p w14:paraId="17A76ACD" w14:textId="77777777" w:rsidR="00400398" w:rsidRPr="00215594" w:rsidRDefault="00400398" w:rsidP="000603E8">
            <w:pPr>
              <w:keepNext/>
              <w:keepLines/>
              <w:jc w:val="center"/>
              <w:rPr>
                <w:sz w:val="20"/>
              </w:rPr>
            </w:pPr>
            <w:r w:rsidRPr="00215594">
              <w:rPr>
                <w:sz w:val="20"/>
              </w:rPr>
              <w:t>Complicações na cicatrização de feridas</w:t>
            </w:r>
            <w:r w:rsidRPr="00215594">
              <w:rPr>
                <w:sz w:val="20"/>
                <w:vertAlign w:val="superscript"/>
              </w:rPr>
              <w:t>a,b</w:t>
            </w:r>
            <w:r w:rsidRPr="00215594">
              <w:rPr>
                <w:sz w:val="20"/>
              </w:rPr>
              <w:t>,</w:t>
            </w:r>
          </w:p>
          <w:p w14:paraId="0CB90089" w14:textId="77777777" w:rsidR="00400398" w:rsidRPr="00215594" w:rsidRDefault="00400398" w:rsidP="000603E8">
            <w:pPr>
              <w:keepNext/>
              <w:keepLines/>
              <w:jc w:val="center"/>
              <w:rPr>
                <w:sz w:val="20"/>
                <w:highlight w:val="yellow"/>
              </w:rPr>
            </w:pPr>
            <w:r w:rsidRPr="00215594">
              <w:rPr>
                <w:sz w:val="20"/>
              </w:rPr>
              <w:t>Síndrome de eritrodisestesia palmo</w:t>
            </w:r>
            <w:r w:rsidRPr="00215594">
              <w:rPr>
                <w:sz w:val="20"/>
              </w:rPr>
              <w:noBreakHyphen/>
              <w:t>plantar</w:t>
            </w:r>
          </w:p>
        </w:tc>
        <w:tc>
          <w:tcPr>
            <w:tcW w:w="1276" w:type="dxa"/>
          </w:tcPr>
          <w:p w14:paraId="305634E1" w14:textId="77777777" w:rsidR="00400398" w:rsidRPr="00215594" w:rsidRDefault="00400398" w:rsidP="000603E8">
            <w:pPr>
              <w:keepNext/>
              <w:keepLines/>
              <w:jc w:val="center"/>
              <w:rPr>
                <w:sz w:val="20"/>
                <w:highlight w:val="yellow"/>
              </w:rPr>
            </w:pPr>
          </w:p>
        </w:tc>
        <w:tc>
          <w:tcPr>
            <w:tcW w:w="1276" w:type="dxa"/>
          </w:tcPr>
          <w:p w14:paraId="76375C8C" w14:textId="77777777" w:rsidR="00400398" w:rsidRPr="00215594" w:rsidRDefault="00400398" w:rsidP="000603E8">
            <w:pPr>
              <w:keepNext/>
              <w:keepLines/>
              <w:jc w:val="center"/>
              <w:rPr>
                <w:sz w:val="20"/>
                <w:highlight w:val="yellow"/>
              </w:rPr>
            </w:pPr>
          </w:p>
        </w:tc>
        <w:tc>
          <w:tcPr>
            <w:tcW w:w="1134" w:type="dxa"/>
          </w:tcPr>
          <w:p w14:paraId="44E66BA2" w14:textId="77777777" w:rsidR="00400398" w:rsidRPr="00215594" w:rsidRDefault="00400398" w:rsidP="000603E8">
            <w:pPr>
              <w:keepNext/>
              <w:keepLines/>
              <w:jc w:val="center"/>
              <w:rPr>
                <w:sz w:val="20"/>
                <w:highlight w:val="yellow"/>
              </w:rPr>
            </w:pPr>
          </w:p>
        </w:tc>
        <w:tc>
          <w:tcPr>
            <w:tcW w:w="1417" w:type="dxa"/>
          </w:tcPr>
          <w:p w14:paraId="56BBFA98" w14:textId="77777777" w:rsidR="00400398" w:rsidRPr="00215594" w:rsidRDefault="00400398" w:rsidP="000603E8">
            <w:pPr>
              <w:keepNext/>
              <w:keepLines/>
              <w:jc w:val="center"/>
              <w:rPr>
                <w:sz w:val="20"/>
                <w:highlight w:val="yellow"/>
              </w:rPr>
            </w:pPr>
          </w:p>
        </w:tc>
      </w:tr>
      <w:tr w:rsidR="00400398" w:rsidRPr="00215594" w14:paraId="60E30119" w14:textId="77777777" w:rsidTr="009C7B71">
        <w:trPr>
          <w:trHeight w:val="143"/>
        </w:trPr>
        <w:tc>
          <w:tcPr>
            <w:tcW w:w="1419" w:type="dxa"/>
          </w:tcPr>
          <w:p w14:paraId="2A90DB48" w14:textId="77777777" w:rsidR="00400398" w:rsidRPr="00215594" w:rsidRDefault="00400398" w:rsidP="000603E8">
            <w:pPr>
              <w:jc w:val="center"/>
              <w:rPr>
                <w:i/>
                <w:sz w:val="20"/>
                <w:highlight w:val="yellow"/>
              </w:rPr>
            </w:pPr>
            <w:r w:rsidRPr="00215594">
              <w:rPr>
                <w:sz w:val="20"/>
              </w:rPr>
              <w:t>Afeções musculosqueléticas e dos tecidos conjuntivos</w:t>
            </w:r>
          </w:p>
        </w:tc>
        <w:tc>
          <w:tcPr>
            <w:tcW w:w="1275" w:type="dxa"/>
          </w:tcPr>
          <w:p w14:paraId="12393446" w14:textId="77777777" w:rsidR="00400398" w:rsidRPr="00215594" w:rsidRDefault="00400398" w:rsidP="000603E8">
            <w:pPr>
              <w:jc w:val="center"/>
              <w:rPr>
                <w:sz w:val="20"/>
                <w:highlight w:val="yellow"/>
              </w:rPr>
            </w:pPr>
          </w:p>
        </w:tc>
        <w:tc>
          <w:tcPr>
            <w:tcW w:w="1559" w:type="dxa"/>
          </w:tcPr>
          <w:p w14:paraId="3797101C" w14:textId="77777777" w:rsidR="00400398" w:rsidRPr="00215594" w:rsidRDefault="00400398" w:rsidP="000603E8">
            <w:pPr>
              <w:keepNext/>
              <w:jc w:val="center"/>
              <w:rPr>
                <w:sz w:val="20"/>
              </w:rPr>
            </w:pPr>
            <w:r w:rsidRPr="00215594">
              <w:rPr>
                <w:sz w:val="20"/>
              </w:rPr>
              <w:t>Fístula</w:t>
            </w:r>
            <w:r w:rsidRPr="00215594">
              <w:rPr>
                <w:sz w:val="20"/>
                <w:vertAlign w:val="superscript"/>
              </w:rPr>
              <w:t>a,b</w:t>
            </w:r>
            <w:r w:rsidRPr="00215594">
              <w:rPr>
                <w:sz w:val="20"/>
              </w:rPr>
              <w:t>, Mialgia,</w:t>
            </w:r>
          </w:p>
          <w:p w14:paraId="3951E23B" w14:textId="77777777" w:rsidR="00400398" w:rsidRPr="00215594" w:rsidRDefault="00400398" w:rsidP="000603E8">
            <w:pPr>
              <w:jc w:val="center"/>
              <w:rPr>
                <w:sz w:val="20"/>
              </w:rPr>
            </w:pPr>
            <w:r w:rsidRPr="00215594">
              <w:rPr>
                <w:sz w:val="20"/>
              </w:rPr>
              <w:t xml:space="preserve">Artralgia, </w:t>
            </w:r>
          </w:p>
          <w:p w14:paraId="1560C608" w14:textId="77777777" w:rsidR="00400398" w:rsidRPr="00215594" w:rsidRDefault="00400398" w:rsidP="00AE0778">
            <w:pPr>
              <w:jc w:val="center"/>
              <w:rPr>
                <w:noProof/>
                <w:sz w:val="20"/>
                <w:highlight w:val="yellow"/>
              </w:rPr>
            </w:pPr>
            <w:r w:rsidRPr="00215594">
              <w:rPr>
                <w:sz w:val="20"/>
              </w:rPr>
              <w:t>Fraqueza muscular, Dorsalgia</w:t>
            </w:r>
          </w:p>
        </w:tc>
        <w:tc>
          <w:tcPr>
            <w:tcW w:w="1276" w:type="dxa"/>
          </w:tcPr>
          <w:p w14:paraId="3C99D728" w14:textId="77777777" w:rsidR="00400398" w:rsidRPr="00215594" w:rsidRDefault="00400398" w:rsidP="000603E8">
            <w:pPr>
              <w:ind w:left="567" w:hanging="567"/>
              <w:jc w:val="center"/>
              <w:outlineLvl w:val="0"/>
              <w:rPr>
                <w:noProof/>
                <w:sz w:val="20"/>
                <w:highlight w:val="yellow"/>
              </w:rPr>
            </w:pPr>
          </w:p>
        </w:tc>
        <w:tc>
          <w:tcPr>
            <w:tcW w:w="1276" w:type="dxa"/>
          </w:tcPr>
          <w:p w14:paraId="74DFE07C" w14:textId="77777777" w:rsidR="00400398" w:rsidRPr="00215594" w:rsidRDefault="00400398" w:rsidP="000603E8">
            <w:pPr>
              <w:ind w:left="567" w:hanging="567"/>
              <w:jc w:val="center"/>
              <w:outlineLvl w:val="0"/>
              <w:rPr>
                <w:noProof/>
                <w:sz w:val="20"/>
                <w:highlight w:val="yellow"/>
              </w:rPr>
            </w:pPr>
          </w:p>
        </w:tc>
        <w:tc>
          <w:tcPr>
            <w:tcW w:w="1134" w:type="dxa"/>
          </w:tcPr>
          <w:p w14:paraId="4BB3F5C6" w14:textId="77777777" w:rsidR="00400398" w:rsidRPr="00215594" w:rsidRDefault="00400398" w:rsidP="000603E8">
            <w:pPr>
              <w:ind w:left="567" w:hanging="567"/>
              <w:jc w:val="center"/>
              <w:outlineLvl w:val="0"/>
              <w:rPr>
                <w:noProof/>
                <w:sz w:val="20"/>
                <w:highlight w:val="yellow"/>
              </w:rPr>
            </w:pPr>
          </w:p>
        </w:tc>
        <w:tc>
          <w:tcPr>
            <w:tcW w:w="1417" w:type="dxa"/>
          </w:tcPr>
          <w:p w14:paraId="51E8892A" w14:textId="77777777" w:rsidR="00400398" w:rsidRPr="00215594" w:rsidRDefault="00400398" w:rsidP="000603E8">
            <w:pPr>
              <w:jc w:val="center"/>
              <w:rPr>
                <w:sz w:val="20"/>
                <w:highlight w:val="yellow"/>
                <w:vertAlign w:val="superscript"/>
              </w:rPr>
            </w:pPr>
            <w:r w:rsidRPr="00215594">
              <w:rPr>
                <w:sz w:val="20"/>
              </w:rPr>
              <w:t>Osteonecrose da mandíbula</w:t>
            </w:r>
            <w:r w:rsidRPr="00215594">
              <w:rPr>
                <w:sz w:val="20"/>
                <w:vertAlign w:val="superscript"/>
              </w:rPr>
              <w:t>b,c</w:t>
            </w:r>
          </w:p>
        </w:tc>
      </w:tr>
      <w:tr w:rsidR="00400398" w:rsidRPr="00215594" w14:paraId="6B52B0D5" w14:textId="77777777" w:rsidTr="009C7B71">
        <w:trPr>
          <w:trHeight w:val="143"/>
        </w:trPr>
        <w:tc>
          <w:tcPr>
            <w:tcW w:w="1419" w:type="dxa"/>
          </w:tcPr>
          <w:p w14:paraId="7FAE0B0C" w14:textId="77777777" w:rsidR="00400398" w:rsidRPr="00215594" w:rsidRDefault="00400398" w:rsidP="000603E8">
            <w:pPr>
              <w:jc w:val="center"/>
              <w:rPr>
                <w:i/>
                <w:noProof/>
                <w:sz w:val="20"/>
                <w:highlight w:val="yellow"/>
              </w:rPr>
            </w:pPr>
            <w:r w:rsidRPr="00215594">
              <w:rPr>
                <w:sz w:val="20"/>
              </w:rPr>
              <w:t>Doenças renais e urinárias</w:t>
            </w:r>
          </w:p>
        </w:tc>
        <w:tc>
          <w:tcPr>
            <w:tcW w:w="1275" w:type="dxa"/>
          </w:tcPr>
          <w:p w14:paraId="52EACBEF" w14:textId="77777777" w:rsidR="00400398" w:rsidRPr="00215594" w:rsidRDefault="00400398" w:rsidP="000603E8">
            <w:pPr>
              <w:keepNext/>
              <w:keepLines/>
              <w:ind w:left="567" w:hanging="567"/>
              <w:jc w:val="center"/>
              <w:outlineLvl w:val="0"/>
              <w:rPr>
                <w:noProof/>
                <w:sz w:val="20"/>
                <w:highlight w:val="yellow"/>
              </w:rPr>
            </w:pPr>
          </w:p>
        </w:tc>
        <w:tc>
          <w:tcPr>
            <w:tcW w:w="1559" w:type="dxa"/>
          </w:tcPr>
          <w:p w14:paraId="149E8457" w14:textId="77777777" w:rsidR="00400398" w:rsidRPr="00215594" w:rsidRDefault="00400398" w:rsidP="000603E8">
            <w:pPr>
              <w:keepNext/>
              <w:jc w:val="center"/>
              <w:rPr>
                <w:sz w:val="20"/>
              </w:rPr>
            </w:pPr>
            <w:r w:rsidRPr="00215594">
              <w:rPr>
                <w:sz w:val="20"/>
              </w:rPr>
              <w:t>Proteinúria</w:t>
            </w:r>
            <w:r w:rsidRPr="00215594">
              <w:rPr>
                <w:sz w:val="20"/>
                <w:vertAlign w:val="superscript"/>
              </w:rPr>
              <w:t>a,b</w:t>
            </w:r>
          </w:p>
          <w:p w14:paraId="2047C264" w14:textId="77777777" w:rsidR="00400398" w:rsidRPr="00215594" w:rsidRDefault="00400398" w:rsidP="000603E8">
            <w:pPr>
              <w:keepNext/>
              <w:keepLines/>
              <w:jc w:val="center"/>
              <w:rPr>
                <w:sz w:val="20"/>
                <w:highlight w:val="yellow"/>
              </w:rPr>
            </w:pPr>
          </w:p>
        </w:tc>
        <w:tc>
          <w:tcPr>
            <w:tcW w:w="1276" w:type="dxa"/>
          </w:tcPr>
          <w:p w14:paraId="7BF9466C" w14:textId="77777777" w:rsidR="00400398" w:rsidRPr="00215594" w:rsidRDefault="00400398" w:rsidP="000603E8">
            <w:pPr>
              <w:keepNext/>
              <w:keepLines/>
              <w:jc w:val="center"/>
              <w:rPr>
                <w:sz w:val="20"/>
                <w:highlight w:val="yellow"/>
              </w:rPr>
            </w:pPr>
          </w:p>
        </w:tc>
        <w:tc>
          <w:tcPr>
            <w:tcW w:w="1276" w:type="dxa"/>
          </w:tcPr>
          <w:p w14:paraId="250FA41B" w14:textId="77777777" w:rsidR="00400398" w:rsidRPr="00215594" w:rsidRDefault="00400398" w:rsidP="000603E8">
            <w:pPr>
              <w:keepNext/>
              <w:keepLines/>
              <w:jc w:val="center"/>
              <w:rPr>
                <w:sz w:val="20"/>
                <w:highlight w:val="yellow"/>
              </w:rPr>
            </w:pPr>
          </w:p>
        </w:tc>
        <w:tc>
          <w:tcPr>
            <w:tcW w:w="1134" w:type="dxa"/>
          </w:tcPr>
          <w:p w14:paraId="641777D9" w14:textId="77777777" w:rsidR="00400398" w:rsidRPr="00215594" w:rsidRDefault="00400398" w:rsidP="000603E8">
            <w:pPr>
              <w:keepNext/>
              <w:keepLines/>
              <w:jc w:val="center"/>
              <w:rPr>
                <w:sz w:val="20"/>
                <w:highlight w:val="yellow"/>
              </w:rPr>
            </w:pPr>
          </w:p>
        </w:tc>
        <w:tc>
          <w:tcPr>
            <w:tcW w:w="1417" w:type="dxa"/>
          </w:tcPr>
          <w:p w14:paraId="735DAA14" w14:textId="77777777" w:rsidR="00400398" w:rsidRPr="00215594" w:rsidRDefault="00400398" w:rsidP="000603E8">
            <w:pPr>
              <w:keepNext/>
              <w:keepLines/>
              <w:jc w:val="center"/>
              <w:rPr>
                <w:sz w:val="20"/>
                <w:highlight w:val="yellow"/>
              </w:rPr>
            </w:pPr>
          </w:p>
        </w:tc>
      </w:tr>
      <w:tr w:rsidR="00400398" w:rsidRPr="00215594" w14:paraId="30A0D6DB" w14:textId="77777777" w:rsidTr="009C7B71">
        <w:trPr>
          <w:trHeight w:val="143"/>
        </w:trPr>
        <w:tc>
          <w:tcPr>
            <w:tcW w:w="1419" w:type="dxa"/>
          </w:tcPr>
          <w:p w14:paraId="5E56C70D" w14:textId="77777777" w:rsidR="00400398" w:rsidRPr="00215594" w:rsidRDefault="00400398" w:rsidP="000603E8">
            <w:pPr>
              <w:jc w:val="center"/>
              <w:rPr>
                <w:sz w:val="20"/>
              </w:rPr>
            </w:pPr>
            <w:r w:rsidRPr="00215594">
              <w:rPr>
                <w:sz w:val="20"/>
              </w:rPr>
              <w:t>Doenças dos órgãos genitais e da mama</w:t>
            </w:r>
          </w:p>
        </w:tc>
        <w:tc>
          <w:tcPr>
            <w:tcW w:w="1275" w:type="dxa"/>
          </w:tcPr>
          <w:p w14:paraId="421F1850" w14:textId="77777777" w:rsidR="00400398" w:rsidRPr="00215594" w:rsidRDefault="00400398" w:rsidP="000603E8">
            <w:pPr>
              <w:keepNext/>
              <w:keepLines/>
              <w:jc w:val="center"/>
              <w:rPr>
                <w:sz w:val="20"/>
                <w:highlight w:val="yellow"/>
              </w:rPr>
            </w:pPr>
          </w:p>
        </w:tc>
        <w:tc>
          <w:tcPr>
            <w:tcW w:w="1559" w:type="dxa"/>
          </w:tcPr>
          <w:p w14:paraId="3DF47FB1" w14:textId="77777777" w:rsidR="00400398" w:rsidRPr="00215594" w:rsidRDefault="00400398" w:rsidP="000603E8">
            <w:pPr>
              <w:keepNext/>
              <w:jc w:val="center"/>
              <w:rPr>
                <w:sz w:val="20"/>
              </w:rPr>
            </w:pPr>
            <w:r w:rsidRPr="00215594">
              <w:rPr>
                <w:sz w:val="20"/>
              </w:rPr>
              <w:t>Dor pélvica</w:t>
            </w:r>
          </w:p>
        </w:tc>
        <w:tc>
          <w:tcPr>
            <w:tcW w:w="1276" w:type="dxa"/>
          </w:tcPr>
          <w:p w14:paraId="67D37FD7" w14:textId="77777777" w:rsidR="00400398" w:rsidRPr="00215594" w:rsidRDefault="00400398" w:rsidP="000603E8">
            <w:pPr>
              <w:keepNext/>
              <w:keepLines/>
              <w:jc w:val="center"/>
              <w:rPr>
                <w:sz w:val="20"/>
                <w:highlight w:val="yellow"/>
              </w:rPr>
            </w:pPr>
          </w:p>
        </w:tc>
        <w:tc>
          <w:tcPr>
            <w:tcW w:w="1276" w:type="dxa"/>
          </w:tcPr>
          <w:p w14:paraId="37DC5371" w14:textId="77777777" w:rsidR="00400398" w:rsidRPr="00215594" w:rsidRDefault="00400398" w:rsidP="000603E8">
            <w:pPr>
              <w:keepNext/>
              <w:keepLines/>
              <w:jc w:val="center"/>
              <w:rPr>
                <w:sz w:val="20"/>
                <w:highlight w:val="yellow"/>
              </w:rPr>
            </w:pPr>
          </w:p>
        </w:tc>
        <w:tc>
          <w:tcPr>
            <w:tcW w:w="1134" w:type="dxa"/>
          </w:tcPr>
          <w:p w14:paraId="1A79E4F4" w14:textId="77777777" w:rsidR="00400398" w:rsidRPr="00215594" w:rsidRDefault="00400398" w:rsidP="000603E8">
            <w:pPr>
              <w:keepNext/>
              <w:keepLines/>
              <w:jc w:val="center"/>
              <w:rPr>
                <w:sz w:val="20"/>
                <w:highlight w:val="yellow"/>
              </w:rPr>
            </w:pPr>
          </w:p>
        </w:tc>
        <w:tc>
          <w:tcPr>
            <w:tcW w:w="1417" w:type="dxa"/>
          </w:tcPr>
          <w:p w14:paraId="51512261" w14:textId="77777777" w:rsidR="00400398" w:rsidRPr="00215594" w:rsidRDefault="00400398" w:rsidP="000603E8">
            <w:pPr>
              <w:keepNext/>
              <w:keepLines/>
              <w:jc w:val="center"/>
              <w:rPr>
                <w:sz w:val="20"/>
                <w:highlight w:val="yellow"/>
                <w:vertAlign w:val="superscript"/>
              </w:rPr>
            </w:pPr>
            <w:r w:rsidRPr="00215594">
              <w:rPr>
                <w:sz w:val="20"/>
              </w:rPr>
              <w:t>Insuficiência ovárica</w:t>
            </w:r>
            <w:r w:rsidRPr="00215594">
              <w:rPr>
                <w:sz w:val="20"/>
                <w:vertAlign w:val="superscript"/>
              </w:rPr>
              <w:t>a,b</w:t>
            </w:r>
          </w:p>
        </w:tc>
      </w:tr>
      <w:tr w:rsidR="00400398" w:rsidRPr="00215594" w14:paraId="64002C3C" w14:textId="77777777" w:rsidTr="009C7B71">
        <w:trPr>
          <w:cantSplit/>
        </w:trPr>
        <w:tc>
          <w:tcPr>
            <w:tcW w:w="1419" w:type="dxa"/>
          </w:tcPr>
          <w:p w14:paraId="255F4D74" w14:textId="77777777" w:rsidR="00400398" w:rsidRPr="00215594" w:rsidRDefault="00400398" w:rsidP="002C295F">
            <w:pPr>
              <w:keepNext/>
              <w:keepLines/>
              <w:jc w:val="center"/>
              <w:rPr>
                <w:sz w:val="20"/>
              </w:rPr>
            </w:pPr>
            <w:r w:rsidRPr="00215594">
              <w:rPr>
                <w:sz w:val="20"/>
              </w:rPr>
              <w:t>Afeções congénitas, familiares e genéticas</w:t>
            </w:r>
          </w:p>
        </w:tc>
        <w:tc>
          <w:tcPr>
            <w:tcW w:w="1275" w:type="dxa"/>
          </w:tcPr>
          <w:p w14:paraId="542B0FF7" w14:textId="77777777" w:rsidR="00400398" w:rsidRPr="00215594" w:rsidRDefault="00400398" w:rsidP="002C295F">
            <w:pPr>
              <w:keepNext/>
              <w:keepLines/>
              <w:jc w:val="center"/>
              <w:rPr>
                <w:sz w:val="20"/>
              </w:rPr>
            </w:pPr>
          </w:p>
        </w:tc>
        <w:tc>
          <w:tcPr>
            <w:tcW w:w="1559" w:type="dxa"/>
          </w:tcPr>
          <w:p w14:paraId="131052BF" w14:textId="77777777" w:rsidR="00400398" w:rsidRPr="00215594" w:rsidRDefault="00400398" w:rsidP="002C295F">
            <w:pPr>
              <w:keepNext/>
              <w:keepLines/>
              <w:jc w:val="center"/>
              <w:rPr>
                <w:sz w:val="20"/>
              </w:rPr>
            </w:pPr>
          </w:p>
        </w:tc>
        <w:tc>
          <w:tcPr>
            <w:tcW w:w="1276" w:type="dxa"/>
          </w:tcPr>
          <w:p w14:paraId="74431EF5" w14:textId="77777777" w:rsidR="00400398" w:rsidRPr="00215594" w:rsidRDefault="00400398" w:rsidP="002C295F">
            <w:pPr>
              <w:keepNext/>
              <w:keepLines/>
              <w:jc w:val="center"/>
              <w:rPr>
                <w:sz w:val="20"/>
              </w:rPr>
            </w:pPr>
          </w:p>
        </w:tc>
        <w:tc>
          <w:tcPr>
            <w:tcW w:w="1276" w:type="dxa"/>
          </w:tcPr>
          <w:p w14:paraId="4E079856" w14:textId="77777777" w:rsidR="00400398" w:rsidRPr="00215594" w:rsidRDefault="00400398" w:rsidP="002C295F">
            <w:pPr>
              <w:keepNext/>
              <w:keepLines/>
              <w:jc w:val="center"/>
              <w:rPr>
                <w:sz w:val="20"/>
              </w:rPr>
            </w:pPr>
          </w:p>
        </w:tc>
        <w:tc>
          <w:tcPr>
            <w:tcW w:w="1134" w:type="dxa"/>
          </w:tcPr>
          <w:p w14:paraId="146BF47C" w14:textId="77777777" w:rsidR="00400398" w:rsidRPr="00215594" w:rsidRDefault="00400398" w:rsidP="002C295F">
            <w:pPr>
              <w:keepNext/>
              <w:keepLines/>
              <w:jc w:val="center"/>
              <w:rPr>
                <w:sz w:val="20"/>
              </w:rPr>
            </w:pPr>
          </w:p>
        </w:tc>
        <w:tc>
          <w:tcPr>
            <w:tcW w:w="1417" w:type="dxa"/>
          </w:tcPr>
          <w:p w14:paraId="0C8EF957" w14:textId="77777777" w:rsidR="00400398" w:rsidRPr="00215594" w:rsidRDefault="00400398" w:rsidP="002C295F">
            <w:pPr>
              <w:keepNext/>
              <w:keepLines/>
              <w:jc w:val="center"/>
              <w:rPr>
                <w:sz w:val="20"/>
              </w:rPr>
            </w:pPr>
            <w:r w:rsidRPr="00215594">
              <w:rPr>
                <w:sz w:val="20"/>
              </w:rPr>
              <w:t>Anomalias fetais</w:t>
            </w:r>
            <w:r w:rsidRPr="00215594">
              <w:rPr>
                <w:sz w:val="20"/>
                <w:vertAlign w:val="superscript"/>
              </w:rPr>
              <w:t>a,c</w:t>
            </w:r>
          </w:p>
        </w:tc>
      </w:tr>
      <w:tr w:rsidR="00400398" w:rsidRPr="00215594" w14:paraId="46A410F5" w14:textId="77777777" w:rsidTr="009C7B71">
        <w:trPr>
          <w:trHeight w:val="143"/>
        </w:trPr>
        <w:tc>
          <w:tcPr>
            <w:tcW w:w="1419" w:type="dxa"/>
          </w:tcPr>
          <w:p w14:paraId="75ADEB63" w14:textId="77777777" w:rsidR="00400398" w:rsidRPr="00215594" w:rsidRDefault="00400398" w:rsidP="002C295F">
            <w:pPr>
              <w:keepNext/>
              <w:keepLines/>
              <w:jc w:val="center"/>
              <w:rPr>
                <w:sz w:val="20"/>
                <w:highlight w:val="yellow"/>
              </w:rPr>
            </w:pPr>
            <w:r w:rsidRPr="00215594">
              <w:rPr>
                <w:sz w:val="20"/>
              </w:rPr>
              <w:t>Perturbações gerais e alterações no local de administração</w:t>
            </w:r>
          </w:p>
        </w:tc>
        <w:tc>
          <w:tcPr>
            <w:tcW w:w="1275" w:type="dxa"/>
          </w:tcPr>
          <w:p w14:paraId="2C2C1CE4" w14:textId="77777777" w:rsidR="00400398" w:rsidRPr="00215594" w:rsidRDefault="00400398" w:rsidP="002C295F">
            <w:pPr>
              <w:keepNext/>
              <w:keepLines/>
              <w:jc w:val="center"/>
              <w:rPr>
                <w:sz w:val="20"/>
              </w:rPr>
            </w:pPr>
            <w:r w:rsidRPr="00215594">
              <w:rPr>
                <w:sz w:val="20"/>
              </w:rPr>
              <w:t>Astenia,</w:t>
            </w:r>
          </w:p>
          <w:p w14:paraId="335D2E45" w14:textId="77777777" w:rsidR="00400398" w:rsidRPr="00215594" w:rsidRDefault="00400398" w:rsidP="002C295F">
            <w:pPr>
              <w:keepNext/>
              <w:keepLines/>
              <w:jc w:val="center"/>
              <w:rPr>
                <w:sz w:val="20"/>
              </w:rPr>
            </w:pPr>
            <w:r w:rsidRPr="00215594">
              <w:rPr>
                <w:sz w:val="20"/>
              </w:rPr>
              <w:t>Fadiga</w:t>
            </w:r>
          </w:p>
          <w:p w14:paraId="18C4E5EF" w14:textId="77777777" w:rsidR="00400398" w:rsidRPr="00215594" w:rsidRDefault="00400398" w:rsidP="002C295F">
            <w:pPr>
              <w:keepNext/>
              <w:keepLines/>
              <w:ind w:left="567" w:hanging="567"/>
              <w:jc w:val="center"/>
              <w:outlineLvl w:val="0"/>
              <w:rPr>
                <w:noProof/>
                <w:sz w:val="20"/>
                <w:highlight w:val="yellow"/>
              </w:rPr>
            </w:pPr>
          </w:p>
        </w:tc>
        <w:tc>
          <w:tcPr>
            <w:tcW w:w="1559" w:type="dxa"/>
          </w:tcPr>
          <w:p w14:paraId="54B5C5A2" w14:textId="77777777" w:rsidR="00400398" w:rsidRPr="00215594" w:rsidRDefault="00400398" w:rsidP="002C295F">
            <w:pPr>
              <w:keepNext/>
              <w:keepLines/>
              <w:jc w:val="center"/>
              <w:rPr>
                <w:sz w:val="20"/>
              </w:rPr>
            </w:pPr>
            <w:r w:rsidRPr="00215594">
              <w:rPr>
                <w:sz w:val="20"/>
              </w:rPr>
              <w:t>Dor,</w:t>
            </w:r>
          </w:p>
          <w:p w14:paraId="5C6BC073" w14:textId="77777777" w:rsidR="00400398" w:rsidRPr="00215594" w:rsidRDefault="00400398" w:rsidP="002C295F">
            <w:pPr>
              <w:keepNext/>
              <w:keepLines/>
              <w:jc w:val="center"/>
              <w:rPr>
                <w:sz w:val="20"/>
              </w:rPr>
            </w:pPr>
            <w:r w:rsidRPr="00215594">
              <w:rPr>
                <w:sz w:val="20"/>
              </w:rPr>
              <w:t>Letargia,</w:t>
            </w:r>
          </w:p>
          <w:p w14:paraId="2CC2EB7F" w14:textId="77777777" w:rsidR="00400398" w:rsidRPr="00215594" w:rsidRDefault="00400398" w:rsidP="002C295F">
            <w:pPr>
              <w:keepNext/>
              <w:keepLines/>
              <w:jc w:val="center"/>
              <w:rPr>
                <w:sz w:val="20"/>
                <w:highlight w:val="yellow"/>
              </w:rPr>
            </w:pPr>
            <w:r w:rsidRPr="00215594">
              <w:rPr>
                <w:sz w:val="20"/>
              </w:rPr>
              <w:t>Inflamação da mucosa</w:t>
            </w:r>
          </w:p>
        </w:tc>
        <w:tc>
          <w:tcPr>
            <w:tcW w:w="1276" w:type="dxa"/>
          </w:tcPr>
          <w:p w14:paraId="4CD13A4F" w14:textId="77777777" w:rsidR="00400398" w:rsidRPr="00215594" w:rsidRDefault="00400398" w:rsidP="002C295F">
            <w:pPr>
              <w:keepNext/>
              <w:keepLines/>
              <w:jc w:val="center"/>
              <w:rPr>
                <w:sz w:val="20"/>
                <w:highlight w:val="yellow"/>
              </w:rPr>
            </w:pPr>
          </w:p>
        </w:tc>
        <w:tc>
          <w:tcPr>
            <w:tcW w:w="1276" w:type="dxa"/>
          </w:tcPr>
          <w:p w14:paraId="11B6B401" w14:textId="77777777" w:rsidR="00400398" w:rsidRPr="00215594" w:rsidRDefault="00400398" w:rsidP="002C295F">
            <w:pPr>
              <w:keepNext/>
              <w:keepLines/>
              <w:jc w:val="center"/>
              <w:rPr>
                <w:sz w:val="20"/>
                <w:highlight w:val="yellow"/>
              </w:rPr>
            </w:pPr>
          </w:p>
        </w:tc>
        <w:tc>
          <w:tcPr>
            <w:tcW w:w="1134" w:type="dxa"/>
          </w:tcPr>
          <w:p w14:paraId="292452E5" w14:textId="77777777" w:rsidR="00400398" w:rsidRPr="00215594" w:rsidRDefault="00400398" w:rsidP="002C295F">
            <w:pPr>
              <w:keepNext/>
              <w:keepLines/>
              <w:jc w:val="center"/>
              <w:rPr>
                <w:sz w:val="20"/>
                <w:highlight w:val="yellow"/>
              </w:rPr>
            </w:pPr>
          </w:p>
        </w:tc>
        <w:tc>
          <w:tcPr>
            <w:tcW w:w="1417" w:type="dxa"/>
          </w:tcPr>
          <w:p w14:paraId="718CEE6F" w14:textId="77777777" w:rsidR="00400398" w:rsidRPr="00215594" w:rsidRDefault="00400398" w:rsidP="002C295F">
            <w:pPr>
              <w:keepNext/>
              <w:keepLines/>
              <w:jc w:val="center"/>
              <w:rPr>
                <w:sz w:val="20"/>
                <w:highlight w:val="yellow"/>
              </w:rPr>
            </w:pPr>
          </w:p>
        </w:tc>
      </w:tr>
    </w:tbl>
    <w:p w14:paraId="1F2B71EE" w14:textId="77777777" w:rsidR="00400398" w:rsidRPr="00B4142B" w:rsidRDefault="00400398" w:rsidP="002C295F">
      <w:pPr>
        <w:keepNext/>
        <w:keepLines/>
        <w:rPr>
          <w:sz w:val="20"/>
        </w:rPr>
      </w:pPr>
      <w:r w:rsidRPr="00A04D85">
        <w:rPr>
          <w:sz w:val="20"/>
        </w:rPr>
        <w:t xml:space="preserve">A Tabela 2 apresenta a frequência das reações adversas graves. As reações graves são definidas como </w:t>
      </w:r>
      <w:r w:rsidR="00066027">
        <w:t xml:space="preserve">reações </w:t>
      </w:r>
      <w:r w:rsidRPr="00A04D85">
        <w:rPr>
          <w:sz w:val="20"/>
        </w:rPr>
        <w:t>advers</w:t>
      </w:r>
      <w:r w:rsidR="00066027">
        <w:rPr>
          <w:sz w:val="20"/>
        </w:rPr>
        <w:t>a</w:t>
      </w:r>
      <w:r w:rsidRPr="00A04D85">
        <w:rPr>
          <w:sz w:val="20"/>
        </w:rPr>
        <w:t>s em estudos clínicos com uma diferença de pelo menos 2% para reações de Grau 3-5 do NC</w:t>
      </w:r>
      <w:r w:rsidRPr="00DE3F64">
        <w:rPr>
          <w:sz w:val="20"/>
        </w:rPr>
        <w:t>I-CTCAE em comparação com o braço de controlo. A Tabela 2 também inclui reações adversas que são consideradas pelo titular de AIM como sendo clinicamente significativas ou graves. Estas reações adversas clinicamente significativas foram notificadas em ensa</w:t>
      </w:r>
      <w:r w:rsidRPr="00F62068">
        <w:rPr>
          <w:sz w:val="20"/>
        </w:rPr>
        <w:t>ios clínicos mas as reações de Grau 3-5 não alcançaram uma diferença limite de pelo menos 2% comparadas com o braço de controlo. A Tabela 2 também inclui reações adversas clinicamente significativas que foram apenas observadas no contexto pós-comercializaç</w:t>
      </w:r>
      <w:r w:rsidRPr="00B4142B">
        <w:rPr>
          <w:sz w:val="20"/>
        </w:rPr>
        <w:t>ão, portanto, a frequência e o Grau NCI-CTCAE é desconhecido. Estas reações clinicamente significativas foram, por isso, incluídas na Tabela 2, na coluna designada “Frequência desconhecida”.</w:t>
      </w:r>
    </w:p>
    <w:p w14:paraId="60BE72A7" w14:textId="77777777" w:rsidR="00400398" w:rsidRPr="001C0FF8" w:rsidRDefault="00400398" w:rsidP="002C295F">
      <w:pPr>
        <w:keepNext/>
        <w:keepLines/>
        <w:tabs>
          <w:tab w:val="left" w:pos="4920"/>
        </w:tabs>
        <w:ind w:left="142" w:hanging="142"/>
        <w:rPr>
          <w:b/>
          <w:sz w:val="20"/>
        </w:rPr>
      </w:pPr>
      <w:r w:rsidRPr="00A33084">
        <w:rPr>
          <w:sz w:val="20"/>
          <w:vertAlign w:val="superscript"/>
        </w:rPr>
        <w:t>a</w:t>
      </w:r>
      <w:r w:rsidRPr="00A22A99">
        <w:rPr>
          <w:sz w:val="20"/>
        </w:rPr>
        <w:t xml:space="preserve"> Os termos representam um </w:t>
      </w:r>
      <w:r w:rsidRPr="006C7C03">
        <w:rPr>
          <w:color w:val="000000"/>
          <w:sz w:val="20"/>
        </w:rPr>
        <w:t xml:space="preserve">grupo de </w:t>
      </w:r>
      <w:r w:rsidRPr="006C7C03">
        <w:rPr>
          <w:sz w:val="20"/>
        </w:rPr>
        <w:t>acontecimentos</w:t>
      </w:r>
      <w:r w:rsidRPr="006C7C03">
        <w:rPr>
          <w:color w:val="000000"/>
          <w:sz w:val="20"/>
        </w:rPr>
        <w:t xml:space="preserve"> que descrevem um conceito médico em vez de uma condição única ou o termo preferido do MedDRA (Dicionário Médico para Atividades Regulamentares). Este grupo de termos médicos pode envolver a mesma fisiopatologia subjacente (p. ex. reações tromboembólic</w:t>
      </w:r>
      <w:r w:rsidRPr="00A22238">
        <w:rPr>
          <w:color w:val="000000"/>
          <w:sz w:val="20"/>
        </w:rPr>
        <w:t>as arteriais incluem acidente vascular cerebral, enfarte do miocárdio, acidente isquémico transitório e outras reações tromboembólicas arteriais).</w:t>
      </w:r>
    </w:p>
    <w:p w14:paraId="05415D8B" w14:textId="77777777" w:rsidR="00400398" w:rsidRPr="009268BE" w:rsidRDefault="00400398" w:rsidP="002C295F">
      <w:pPr>
        <w:keepNext/>
        <w:keepLines/>
        <w:tabs>
          <w:tab w:val="left" w:pos="4920"/>
        </w:tabs>
        <w:ind w:left="142" w:hanging="142"/>
        <w:rPr>
          <w:noProof/>
          <w:sz w:val="20"/>
        </w:rPr>
      </w:pPr>
      <w:r w:rsidRPr="007B565D">
        <w:rPr>
          <w:sz w:val="20"/>
          <w:vertAlign w:val="superscript"/>
        </w:rPr>
        <w:t>b</w:t>
      </w:r>
      <w:r w:rsidRPr="00CC4C8E">
        <w:rPr>
          <w:sz w:val="20"/>
        </w:rPr>
        <w:t xml:space="preserve"> Para informação adicional consultar abaixo a secção “Informações adicionais sobre</w:t>
      </w:r>
      <w:r w:rsidRPr="00D15ACC">
        <w:rPr>
          <w:sz w:val="20"/>
        </w:rPr>
        <w:t xml:space="preserve"> determinadas reações adversas graves”.</w:t>
      </w:r>
    </w:p>
    <w:p w14:paraId="37AE4E0D" w14:textId="77777777" w:rsidR="00400398" w:rsidRPr="009A2488" w:rsidRDefault="00400398" w:rsidP="002C295F">
      <w:pPr>
        <w:keepNext/>
        <w:keepLines/>
        <w:tabs>
          <w:tab w:val="left" w:pos="4920"/>
        </w:tabs>
        <w:ind w:left="142" w:hanging="142"/>
        <w:rPr>
          <w:sz w:val="20"/>
        </w:rPr>
      </w:pPr>
      <w:r w:rsidRPr="009A2488">
        <w:rPr>
          <w:noProof/>
          <w:sz w:val="20"/>
          <w:vertAlign w:val="superscript"/>
        </w:rPr>
        <w:t xml:space="preserve">c </w:t>
      </w:r>
      <w:r w:rsidRPr="009A2488">
        <w:rPr>
          <w:sz w:val="20"/>
        </w:rPr>
        <w:t>Para mais informação consultar a Tabela 3 “Reações adversas notificadas no contexto pós-comercialização”.</w:t>
      </w:r>
    </w:p>
    <w:p w14:paraId="34F5172C" w14:textId="77777777" w:rsidR="00400398" w:rsidRPr="009E6921" w:rsidRDefault="00400398" w:rsidP="002C295F">
      <w:pPr>
        <w:keepNext/>
        <w:keepLines/>
        <w:rPr>
          <w:sz w:val="20"/>
        </w:rPr>
      </w:pPr>
      <w:r w:rsidRPr="00E1105C">
        <w:rPr>
          <w:sz w:val="20"/>
          <w:vertAlign w:val="superscript"/>
        </w:rPr>
        <w:t>d</w:t>
      </w:r>
      <w:r w:rsidRPr="00E1105C">
        <w:rPr>
          <w:sz w:val="20"/>
        </w:rPr>
        <w:t xml:space="preserve"> As fístulas reto-vaginais são as fístulas mais frequentes da categoria das fístulas entre o trato GI e a v</w:t>
      </w:r>
      <w:r w:rsidRPr="009E6921">
        <w:rPr>
          <w:sz w:val="20"/>
        </w:rPr>
        <w:t>agina</w:t>
      </w:r>
    </w:p>
    <w:p w14:paraId="3986D3A5" w14:textId="77777777" w:rsidR="00400398" w:rsidRPr="007232E4" w:rsidRDefault="00400398">
      <w:pPr>
        <w:rPr>
          <w:i/>
          <w:sz w:val="20"/>
        </w:rPr>
      </w:pPr>
    </w:p>
    <w:p w14:paraId="0472208F" w14:textId="77777777" w:rsidR="00400398" w:rsidRPr="004C52F9" w:rsidRDefault="00400398" w:rsidP="00F206BA">
      <w:pPr>
        <w:keepNext/>
        <w:rPr>
          <w:bCs/>
          <w:u w:val="single"/>
        </w:rPr>
      </w:pPr>
      <w:r w:rsidRPr="00202E0B">
        <w:rPr>
          <w:bCs/>
          <w:u w:val="single"/>
        </w:rPr>
        <w:t>Descriç</w:t>
      </w:r>
      <w:r w:rsidRPr="00DF467A">
        <w:rPr>
          <w:bCs/>
          <w:u w:val="single"/>
        </w:rPr>
        <w:t>ão das</w:t>
      </w:r>
      <w:r w:rsidRPr="00045945">
        <w:rPr>
          <w:bCs/>
          <w:u w:val="single"/>
        </w:rPr>
        <w:t xml:space="preserve"> reações adversas</w:t>
      </w:r>
      <w:r>
        <w:rPr>
          <w:bCs/>
          <w:u w:val="single"/>
        </w:rPr>
        <w:t xml:space="preserve"> graves</w:t>
      </w:r>
      <w:r w:rsidRPr="004C52F9">
        <w:rPr>
          <w:bCs/>
          <w:u w:val="single"/>
        </w:rPr>
        <w:t xml:space="preserve"> selecionadas</w:t>
      </w:r>
    </w:p>
    <w:p w14:paraId="2957C998" w14:textId="77777777" w:rsidR="00400398" w:rsidRPr="00202E0B" w:rsidRDefault="00400398" w:rsidP="00654891">
      <w:pPr>
        <w:keepNext/>
        <w:rPr>
          <w:u w:val="single"/>
        </w:rPr>
      </w:pPr>
    </w:p>
    <w:p w14:paraId="27DD962D" w14:textId="77777777" w:rsidR="00400398" w:rsidRPr="001C36E6" w:rsidRDefault="00400398" w:rsidP="00654891">
      <w:pPr>
        <w:keepNext/>
        <w:rPr>
          <w:iCs/>
        </w:rPr>
      </w:pPr>
      <w:r w:rsidRPr="001C36E6">
        <w:rPr>
          <w:i/>
        </w:rPr>
        <w:t xml:space="preserve">Perfuração gastrointestinal(GI) e Fístulas </w:t>
      </w:r>
      <w:r w:rsidRPr="001C36E6">
        <w:rPr>
          <w:iCs/>
        </w:rPr>
        <w:t>(ver secção 4.4)</w:t>
      </w:r>
    </w:p>
    <w:p w14:paraId="7AD6FA89" w14:textId="77777777" w:rsidR="00400398" w:rsidRPr="007232E4" w:rsidRDefault="006707E9">
      <w:r>
        <w:t>O bevacizumab</w:t>
      </w:r>
      <w:r w:rsidRPr="007232E4">
        <w:t xml:space="preserve"> </w:t>
      </w:r>
      <w:r w:rsidR="00400398" w:rsidRPr="007232E4">
        <w:t xml:space="preserve">tem sido associado a casos graves de perfuração gastrointestinal. </w:t>
      </w:r>
    </w:p>
    <w:p w14:paraId="245650D5" w14:textId="77777777" w:rsidR="00400398" w:rsidRPr="007232E4" w:rsidRDefault="00400398"/>
    <w:p w14:paraId="1E67C6FC" w14:textId="77777777" w:rsidR="00400398" w:rsidRDefault="00400398">
      <w:r w:rsidRPr="007232E4">
        <w:t xml:space="preserve">No âmbito de ensaios clínicos as </w:t>
      </w:r>
      <w:r w:rsidRPr="00526E0A">
        <w:t>perfurações</w:t>
      </w:r>
      <w:r w:rsidRPr="007232E4">
        <w:t xml:space="preserve"> gastrointestinais foram notificadas com uma incidência inferior a 1% em doentes com </w:t>
      </w:r>
      <w:r w:rsidRPr="00233EB7">
        <w:t xml:space="preserve">cancro do pulmão de células não pequenas e não escamosas, </w:t>
      </w:r>
      <w:r w:rsidR="009D1771" w:rsidRPr="00233EB7">
        <w:t xml:space="preserve">até 1,3% em doentes com cancro da mama metastizado, </w:t>
      </w:r>
      <w:r w:rsidRPr="00233EB7">
        <w:t>até</w:t>
      </w:r>
      <w:r w:rsidRPr="007232E4">
        <w:t xml:space="preserve"> 2,0% </w:t>
      </w:r>
      <w:r>
        <w:t xml:space="preserve">em doentes com cancro de células renais </w:t>
      </w:r>
      <w:r>
        <w:lastRenderedPageBreak/>
        <w:t xml:space="preserve">metastático ou </w:t>
      </w:r>
      <w:r w:rsidRPr="007232E4">
        <w:rPr>
          <w:rFonts w:eastAsia="SimSun"/>
          <w:szCs w:val="22"/>
          <w:lang w:eastAsia="zh-CN"/>
        </w:rPr>
        <w:t>em doentes com cancro do ovário</w:t>
      </w:r>
      <w:r w:rsidR="00C93B1B">
        <w:rPr>
          <w:rFonts w:eastAsia="SimSun"/>
          <w:szCs w:val="22"/>
          <w:lang w:eastAsia="zh-CN"/>
        </w:rPr>
        <w:t>,</w:t>
      </w:r>
      <w:r w:rsidRPr="007232E4">
        <w:rPr>
          <w:rFonts w:eastAsia="SimSun"/>
          <w:szCs w:val="22"/>
          <w:lang w:eastAsia="zh-CN"/>
        </w:rPr>
        <w:t xml:space="preserve"> e até 2,7% (incluindo fístula gastrointestinal e abcesso) </w:t>
      </w:r>
      <w:r w:rsidRPr="007232E4">
        <w:t>em doentes com cancro colo</w:t>
      </w:r>
      <w:r w:rsidRPr="007232E4">
        <w:noBreakHyphen/>
        <w:t xml:space="preserve">rectal </w:t>
      </w:r>
      <w:r w:rsidRPr="007232E4">
        <w:rPr>
          <w:rFonts w:eastAsia="SimSun"/>
          <w:szCs w:val="22"/>
          <w:lang w:eastAsia="zh-CN"/>
        </w:rPr>
        <w:t>metastizado</w:t>
      </w:r>
      <w:r w:rsidRPr="007232E4">
        <w:t xml:space="preserve">. </w:t>
      </w:r>
      <w:r>
        <w:t>Num ensaio clínico em doentes com cancro do colo do útero com doença persistente, recorrente ou metastizada (estudo GOG-0240), foram notificadas perfurações GI (todos os graus) em 3,2 % das doentes, todas com história prévia de radiação pélvica.</w:t>
      </w:r>
    </w:p>
    <w:p w14:paraId="0E496F97" w14:textId="77777777" w:rsidR="00D4306C" w:rsidRPr="007232E4" w:rsidRDefault="00D4306C"/>
    <w:p w14:paraId="324AB69E" w14:textId="77777777" w:rsidR="00400398" w:rsidRPr="007232E4" w:rsidRDefault="00400398">
      <w:r w:rsidRPr="00526E0A">
        <w:t xml:space="preserve">A </w:t>
      </w:r>
      <w:r>
        <w:t xml:space="preserve">ocorrência destes acontecimentos </w:t>
      </w:r>
      <w:r w:rsidRPr="007232E4">
        <w:t>variou no tipo e severidade, desde a observação de ar por raios-X simples do abdómen, que se resolveu sem qualquer tratamento, até uma perfuração intestinal com abcesso abdominal e morte. Em alguns casos existia inflamação intra</w:t>
      </w:r>
      <w:r w:rsidRPr="007232E4">
        <w:noBreakHyphen/>
        <w:t xml:space="preserve">abdominal subjacente resultante ou de doença ulcerativa gástrica, necrose tumoral, diverticulite ou de colite associada a quimioterapia. </w:t>
      </w:r>
    </w:p>
    <w:p w14:paraId="774C9F2A" w14:textId="77777777" w:rsidR="00400398" w:rsidRPr="007232E4" w:rsidRDefault="00400398"/>
    <w:p w14:paraId="5183114F" w14:textId="77777777" w:rsidR="00400398" w:rsidRPr="00526E0A" w:rsidRDefault="00400398" w:rsidP="00F10EB6">
      <w:r>
        <w:t>Foram notificados c</w:t>
      </w:r>
      <w:r w:rsidRPr="00526E0A">
        <w:t>asos fata</w:t>
      </w:r>
      <w:r>
        <w:t>is</w:t>
      </w:r>
      <w:r w:rsidRPr="00526E0A">
        <w:t xml:space="preserve"> em aproximadamente um terço dos casos de perfuração gastrointestinal grave, o que representa entre 0,2% - 1% de todos os doentes tratados com </w:t>
      </w:r>
      <w:r w:rsidR="006707E9">
        <w:t>bevacizumab</w:t>
      </w:r>
      <w:r w:rsidRPr="00526E0A">
        <w:t>.</w:t>
      </w:r>
    </w:p>
    <w:p w14:paraId="2C3BD1B3" w14:textId="77777777" w:rsidR="00D4306C" w:rsidRDefault="00D4306C"/>
    <w:p w14:paraId="0DE89D3E" w14:textId="77777777" w:rsidR="00400398" w:rsidRDefault="00400398">
      <w:r w:rsidRPr="00B56630">
        <w:t xml:space="preserve">Em ensaios clínicos com </w:t>
      </w:r>
      <w:r w:rsidR="006707E9">
        <w:t>bevacizumab</w:t>
      </w:r>
      <w:r w:rsidRPr="00B56630">
        <w:t xml:space="preserve">, as fístulas gastrointestinais (todos os graus) têm sido notificadas com uma incidência </w:t>
      </w:r>
      <w:r>
        <w:t xml:space="preserve">de </w:t>
      </w:r>
      <w:r w:rsidRPr="005124FA">
        <w:t xml:space="preserve">até 2% em doentes com </w:t>
      </w:r>
      <w:r w:rsidRPr="002D12ED">
        <w:t xml:space="preserve">cancro </w:t>
      </w:r>
      <w:r w:rsidRPr="00C876C5">
        <w:t>colo</w:t>
      </w:r>
      <w:r>
        <w:t>-</w:t>
      </w:r>
      <w:r w:rsidRPr="0027235E">
        <w:t xml:space="preserve">retal </w:t>
      </w:r>
      <w:r w:rsidRPr="00B56630">
        <w:rPr>
          <w:rFonts w:eastAsia="SimSun"/>
        </w:rPr>
        <w:t>metastizado e cancro do ovário</w:t>
      </w:r>
      <w:r w:rsidRPr="00B56630">
        <w:t>, mas foram também notificadas menos frequentemente em doentes com outros tipos de cancro.</w:t>
      </w:r>
    </w:p>
    <w:p w14:paraId="2FE50580" w14:textId="77777777" w:rsidR="00400398" w:rsidRDefault="00400398"/>
    <w:p w14:paraId="0010DF43" w14:textId="77777777" w:rsidR="00400398" w:rsidRPr="001E05C2" w:rsidRDefault="00400398" w:rsidP="002C295F">
      <w:pPr>
        <w:keepNext/>
        <w:keepLines/>
        <w:rPr>
          <w:i/>
          <w:noProof/>
          <w:u w:val="single"/>
        </w:rPr>
      </w:pPr>
      <w:r w:rsidRPr="001E05C2">
        <w:rPr>
          <w:bCs/>
          <w:i/>
          <w:iCs/>
          <w:u w:val="single"/>
        </w:rPr>
        <w:t>Fístulas</w:t>
      </w:r>
      <w:r w:rsidRPr="001E05C2">
        <w:rPr>
          <w:i/>
          <w:noProof/>
          <w:u w:val="single"/>
        </w:rPr>
        <w:t xml:space="preserve"> entre o trato GI e a vagina no estudo GOG-0240</w:t>
      </w:r>
    </w:p>
    <w:p w14:paraId="2251C610" w14:textId="77777777" w:rsidR="00400398" w:rsidRDefault="00400398" w:rsidP="002C295F">
      <w:pPr>
        <w:keepNext/>
        <w:keepLines/>
        <w:rPr>
          <w:bCs/>
          <w:iCs/>
        </w:rPr>
      </w:pPr>
      <w:r w:rsidRPr="00B56630">
        <w:t>Num estudo com doentes com cancro do colo do útero</w:t>
      </w:r>
      <w:r>
        <w:t xml:space="preserve"> com doença </w:t>
      </w:r>
      <w:r w:rsidRPr="00DC74D6">
        <w:t>persistente, recorrente ou metastizad</w:t>
      </w:r>
      <w:r>
        <w:t>a</w:t>
      </w:r>
      <w:r w:rsidRPr="00DC74D6">
        <w:t>, a incidência de fístulas</w:t>
      </w:r>
      <w:r>
        <w:t xml:space="preserve"> entre o trato GI e a </w:t>
      </w:r>
      <w:r w:rsidRPr="00745443">
        <w:t xml:space="preserve">vagina foi 8,3% em doentes tratadas com </w:t>
      </w:r>
      <w:r w:rsidR="006707E9">
        <w:t>bevacizumab</w:t>
      </w:r>
      <w:r w:rsidR="006707E9" w:rsidRPr="00745443">
        <w:t xml:space="preserve"> </w:t>
      </w:r>
      <w:r w:rsidRPr="00745443">
        <w:t xml:space="preserve">e 0,9% nas doentes controlo, todas com </w:t>
      </w:r>
      <w:r w:rsidRPr="00B56630">
        <w:t>história</w:t>
      </w:r>
      <w:r w:rsidRPr="005124FA">
        <w:t xml:space="preserve"> </w:t>
      </w:r>
      <w:r w:rsidRPr="00B56630">
        <w:t xml:space="preserve">prévia </w:t>
      </w:r>
      <w:r w:rsidRPr="005124FA">
        <w:t>de radiação pélvica.</w:t>
      </w:r>
      <w:r>
        <w:t xml:space="preserve"> A frequência de fístulas entre o trato GI e a vagina no grupo tratado com </w:t>
      </w:r>
      <w:r w:rsidR="006707E9">
        <w:t>bevacizumab </w:t>
      </w:r>
      <w:r>
        <w:t>+</w:t>
      </w:r>
      <w:r w:rsidR="006707E9">
        <w:t> </w:t>
      </w:r>
      <w:r>
        <w:t xml:space="preserve">quimioterapia foi superior nas doentes com recorrência na área irradiada previamente (16,7%) comparativamente às doentes </w:t>
      </w:r>
      <w:r w:rsidR="00951D45">
        <w:t>sem radiação prévia e/ou sem</w:t>
      </w:r>
      <w:r>
        <w:t xml:space="preserve"> recorrência </w:t>
      </w:r>
      <w:r w:rsidR="00951D45">
        <w:t xml:space="preserve">dentro </w:t>
      </w:r>
      <w:r>
        <w:t xml:space="preserve">da área irradiada previamente (3,6%). As frequências correspondentes no grupo controlo tratado com quimioterapia foram de 1,1% vs. 0,8%. </w:t>
      </w:r>
      <w:r w:rsidRPr="005124FA">
        <w:t>As doentes que desenvolvem</w:t>
      </w:r>
      <w:r w:rsidRPr="002D12ED">
        <w:t xml:space="preserve"> f</w:t>
      </w:r>
      <w:r w:rsidRPr="00B56630">
        <w:t>í</w:t>
      </w:r>
      <w:r w:rsidRPr="005124FA">
        <w:t>stulas</w:t>
      </w:r>
      <w:r>
        <w:t xml:space="preserve"> entre o trato GI e a</w:t>
      </w:r>
      <w:r w:rsidRPr="005124FA">
        <w:t xml:space="preserve"> vagina podem também apresentar obstruç</w:t>
      </w:r>
      <w:r w:rsidRPr="002D12ED">
        <w:t>ã</w:t>
      </w:r>
      <w:r w:rsidRPr="00C876C5">
        <w:t xml:space="preserve">o </w:t>
      </w:r>
      <w:r>
        <w:t>intestinal</w:t>
      </w:r>
      <w:r w:rsidRPr="0027235E">
        <w:t xml:space="preserve"> e necessitar de intervenção cir</w:t>
      </w:r>
      <w:r w:rsidRPr="00B56630">
        <w:t>ú</w:t>
      </w:r>
      <w:r w:rsidRPr="005124FA">
        <w:t xml:space="preserve">rgica assim como </w:t>
      </w:r>
      <w:r w:rsidRPr="00B56630">
        <w:t>ostomias de derivação</w:t>
      </w:r>
      <w:r>
        <w:t>.</w:t>
      </w:r>
    </w:p>
    <w:p w14:paraId="36281A8C" w14:textId="77777777" w:rsidR="00400398" w:rsidRPr="00526E0A" w:rsidRDefault="00400398"/>
    <w:p w14:paraId="3B8F3FF5" w14:textId="77777777" w:rsidR="00400398" w:rsidRPr="001E05C2" w:rsidRDefault="00400398">
      <w:pPr>
        <w:rPr>
          <w:b/>
          <w:bCs/>
          <w:i/>
          <w:iCs/>
          <w:u w:val="single"/>
        </w:rPr>
      </w:pPr>
      <w:r w:rsidRPr="001E05C2">
        <w:rPr>
          <w:bCs/>
          <w:i/>
          <w:iCs/>
          <w:u w:val="single"/>
        </w:rPr>
        <w:t>Fístulas não-GI</w:t>
      </w:r>
      <w:r w:rsidRPr="001E05C2">
        <w:rPr>
          <w:b/>
          <w:bCs/>
          <w:i/>
          <w:iCs/>
          <w:u w:val="single"/>
        </w:rPr>
        <w:t xml:space="preserve"> </w:t>
      </w:r>
      <w:r w:rsidRPr="001E05C2">
        <w:rPr>
          <w:bCs/>
          <w:u w:val="single"/>
        </w:rPr>
        <w:t>(ver secção 4.4)</w:t>
      </w:r>
    </w:p>
    <w:p w14:paraId="01955E58" w14:textId="77777777" w:rsidR="00400398" w:rsidRPr="007232E4" w:rsidRDefault="00400398">
      <w:r w:rsidRPr="007232E4">
        <w:t xml:space="preserve">A utilização de </w:t>
      </w:r>
      <w:r w:rsidR="006707E9">
        <w:t>bevacizumab</w:t>
      </w:r>
      <w:r w:rsidR="006707E9" w:rsidRPr="007232E4">
        <w:t xml:space="preserve"> </w:t>
      </w:r>
      <w:r w:rsidRPr="007232E4">
        <w:t xml:space="preserve">tem sido associada a casos graves de fístulas, incluindo reações resultando em morte. </w:t>
      </w:r>
    </w:p>
    <w:p w14:paraId="5A50FC41" w14:textId="77777777" w:rsidR="00400398" w:rsidRPr="007232E4" w:rsidRDefault="00400398"/>
    <w:p w14:paraId="6FEA42D9" w14:textId="77777777" w:rsidR="00400398" w:rsidRPr="00526E0A" w:rsidRDefault="00400398">
      <w:r>
        <w:t>Num ensaio clínico</w:t>
      </w:r>
      <w:r w:rsidRPr="007232E4">
        <w:rPr>
          <w:bCs/>
          <w:iCs/>
        </w:rPr>
        <w:t xml:space="preserve"> em doentes com </w:t>
      </w:r>
      <w:r w:rsidRPr="007232E4">
        <w:rPr>
          <w:iCs/>
        </w:rPr>
        <w:t xml:space="preserve">cancro </w:t>
      </w:r>
      <w:r w:rsidRPr="00E92998">
        <w:t xml:space="preserve">do </w:t>
      </w:r>
      <w:r w:rsidRPr="007232E4">
        <w:t>colo</w:t>
      </w:r>
      <w:r w:rsidRPr="00E92998">
        <w:t xml:space="preserve"> do útero </w:t>
      </w:r>
      <w:r>
        <w:t xml:space="preserve">com doença </w:t>
      </w:r>
      <w:r w:rsidRPr="00E92998">
        <w:t>persist</w:t>
      </w:r>
      <w:r>
        <w:t>ente, recorrente ou metastizada (GOG-</w:t>
      </w:r>
      <w:r w:rsidR="00233EB7">
        <w:t>0</w:t>
      </w:r>
      <w:r>
        <w:t>240)</w:t>
      </w:r>
      <w:r w:rsidRPr="007232E4">
        <w:rPr>
          <w:bCs/>
          <w:iCs/>
        </w:rPr>
        <w:t xml:space="preserve"> foram </w:t>
      </w:r>
      <w:r>
        <w:t xml:space="preserve">notificadas fístulas </w:t>
      </w:r>
      <w:r w:rsidR="00BC154B">
        <w:t>vagina</w:t>
      </w:r>
      <w:r w:rsidR="00A22A1A">
        <w:t>is</w:t>
      </w:r>
      <w:r w:rsidR="00BC154B">
        <w:t>, vesicular</w:t>
      </w:r>
      <w:r w:rsidR="00A22A1A">
        <w:t>es</w:t>
      </w:r>
      <w:r w:rsidR="00BC154B">
        <w:t xml:space="preserve"> ou do trato genital feminino, </w:t>
      </w:r>
      <w:r>
        <w:t xml:space="preserve">fora do trato GI, em 1,8% das doentes tratadas com </w:t>
      </w:r>
      <w:r w:rsidR="006707E9">
        <w:t xml:space="preserve">bevacizumab </w:t>
      </w:r>
      <w:r>
        <w:t>e 1,4% das doentes controlo.</w:t>
      </w:r>
    </w:p>
    <w:p w14:paraId="09136018" w14:textId="77777777" w:rsidR="00D4306C" w:rsidRDefault="00D4306C">
      <w:pPr>
        <w:rPr>
          <w:bCs/>
          <w:iCs/>
        </w:rPr>
      </w:pPr>
    </w:p>
    <w:p w14:paraId="475A2381" w14:textId="77777777" w:rsidR="00400398" w:rsidRPr="007232E4" w:rsidRDefault="00400398">
      <w:pPr>
        <w:rPr>
          <w:bCs/>
          <w:iCs/>
        </w:rPr>
      </w:pPr>
      <w:r w:rsidRPr="007232E4">
        <w:rPr>
          <w:bCs/>
          <w:iCs/>
        </w:rPr>
        <w:t>Em outras indicações foram observadas notificações pouco frequentes (</w:t>
      </w:r>
      <w:r w:rsidRPr="007232E4">
        <w:rPr>
          <w:bCs/>
          <w:iCs/>
          <w:szCs w:val="22"/>
        </w:rPr>
        <w:sym w:font="Symbol" w:char="F0B3"/>
      </w:r>
      <w:r w:rsidRPr="007232E4">
        <w:rPr>
          <w:bCs/>
          <w:iCs/>
        </w:rPr>
        <w:t> 0,1% a &lt; 1%) de fístulas envolvendo áreas do corpo que não o trato gastrointestinal (por ex.: broncopleural e fístulas biliares). Foram também notificadas fístulas em experiência pós</w:t>
      </w:r>
      <w:r w:rsidRPr="007232E4">
        <w:rPr>
          <w:bCs/>
          <w:iCs/>
        </w:rPr>
        <w:noBreakHyphen/>
        <w:t>comercialização.</w:t>
      </w:r>
    </w:p>
    <w:p w14:paraId="6810DAD6" w14:textId="77777777" w:rsidR="00400398" w:rsidRPr="007232E4" w:rsidRDefault="00400398"/>
    <w:p w14:paraId="69A82ED0" w14:textId="77777777" w:rsidR="00400398" w:rsidRPr="007232E4" w:rsidRDefault="00400398">
      <w:r w:rsidRPr="007232E4">
        <w:t xml:space="preserve">Foram notificadas reações em várias alturas durante o tratamento, desde uma semana a mais de 1 ano após o início de </w:t>
      </w:r>
      <w:r w:rsidR="006707E9">
        <w:t>bevacizumab</w:t>
      </w:r>
      <w:r w:rsidRPr="007232E4">
        <w:t>, com a maioria das reações a ocorrer durante os primeiros 6</w:t>
      </w:r>
      <w:r w:rsidR="006707E9">
        <w:t> </w:t>
      </w:r>
      <w:r w:rsidRPr="007232E4">
        <w:t>meses de terapêutica.</w:t>
      </w:r>
    </w:p>
    <w:p w14:paraId="7418D10E" w14:textId="77777777" w:rsidR="00400398" w:rsidRPr="007232E4" w:rsidRDefault="00400398"/>
    <w:p w14:paraId="7718EAB6" w14:textId="77777777" w:rsidR="00400398" w:rsidRPr="001E05C2" w:rsidRDefault="00400398">
      <w:pPr>
        <w:keepNext/>
        <w:keepLines/>
        <w:outlineLvl w:val="0"/>
        <w:rPr>
          <w:u w:val="single"/>
        </w:rPr>
      </w:pPr>
      <w:r w:rsidRPr="001E05C2">
        <w:rPr>
          <w:i/>
          <w:u w:val="single"/>
        </w:rPr>
        <w:t>Cicatrização de feridas</w:t>
      </w:r>
      <w:r w:rsidRPr="001E05C2">
        <w:rPr>
          <w:u w:val="single"/>
        </w:rPr>
        <w:t xml:space="preserve"> (ver secção 4.4)</w:t>
      </w:r>
    </w:p>
    <w:p w14:paraId="11F1463A" w14:textId="77777777" w:rsidR="00400398" w:rsidRPr="007232E4" w:rsidRDefault="00400398">
      <w:r w:rsidRPr="007232E4">
        <w:t xml:space="preserve">Uma vez que o </w:t>
      </w:r>
      <w:r w:rsidR="006707E9">
        <w:t>bevacizumab</w:t>
      </w:r>
      <w:r w:rsidR="006707E9" w:rsidRPr="007232E4">
        <w:t xml:space="preserve"> </w:t>
      </w:r>
      <w:r w:rsidRPr="007232E4">
        <w:t>pode ter um impacto negativo na cicatrização de feridas, excluíram</w:t>
      </w:r>
      <w:r w:rsidRPr="007232E4">
        <w:noBreakHyphen/>
        <w:t>se da participação em ensaios de fase III os doentes submetidos a grande cirurgia nos 28</w:t>
      </w:r>
      <w:r w:rsidR="00D408CD">
        <w:t> </w:t>
      </w:r>
      <w:r w:rsidRPr="007232E4">
        <w:t>dias anteriores ao início do ensaio.</w:t>
      </w:r>
    </w:p>
    <w:p w14:paraId="701FC728" w14:textId="77777777" w:rsidR="00400398" w:rsidRPr="007232E4" w:rsidRDefault="00400398"/>
    <w:p w14:paraId="0E282A31" w14:textId="77777777" w:rsidR="00400398" w:rsidRPr="007232E4" w:rsidRDefault="00400398">
      <w:r w:rsidRPr="007232E4">
        <w:t>Nos ensaios clínicos no cancro metastizado do cólon ou do reto, não se observou risco aumentado de hemorragia pós</w:t>
      </w:r>
      <w:r w:rsidRPr="007232E4">
        <w:noBreakHyphen/>
        <w:t xml:space="preserve">operatória ou de complicações na cicatrização de feridas em doentes submetidos a grande cirurgia 28 e 60 dias antes do início do tratamento com </w:t>
      </w:r>
      <w:r w:rsidR="008A467F">
        <w:t>bevacizumab</w:t>
      </w:r>
      <w:r w:rsidRPr="007232E4">
        <w:t xml:space="preserve">. Nos doentes tratados com </w:t>
      </w:r>
      <w:r w:rsidR="008A467F">
        <w:t>bevacizumab</w:t>
      </w:r>
      <w:r w:rsidR="008A467F" w:rsidRPr="007232E4">
        <w:t xml:space="preserve"> </w:t>
      </w:r>
      <w:r w:rsidRPr="007232E4">
        <w:t>na altura da cirurgia, observou</w:t>
      </w:r>
      <w:r w:rsidRPr="007232E4">
        <w:noBreakHyphen/>
        <w:t>se incidência aumentada de casos de hemorragia pós</w:t>
      </w:r>
      <w:r w:rsidRPr="007232E4">
        <w:noBreakHyphen/>
        <w:t>operatória ou complicações na cicatrização nos 60 dias após a grande cirurgia. A incidência variou entre 10% (4/40) e 20% (3/15).</w:t>
      </w:r>
    </w:p>
    <w:p w14:paraId="35E75991" w14:textId="77777777" w:rsidR="00400398" w:rsidRPr="007232E4" w:rsidRDefault="00400398"/>
    <w:p w14:paraId="0763D942" w14:textId="77777777" w:rsidR="00400398" w:rsidRPr="007232E4" w:rsidRDefault="00400398">
      <w:r w:rsidRPr="007232E4">
        <w:lastRenderedPageBreak/>
        <w:t>Foram notificadas complicações graves na cicatrização de feridas, incluindo complicações de anastomoses, algumas das quais tiveram consequências fatais.</w:t>
      </w:r>
    </w:p>
    <w:p w14:paraId="1C927AB1" w14:textId="77777777" w:rsidR="00400398" w:rsidRPr="007232E4" w:rsidRDefault="00400398"/>
    <w:p w14:paraId="3A79973E" w14:textId="77777777" w:rsidR="00400398" w:rsidRPr="007232E4" w:rsidRDefault="00400398">
      <w:pPr>
        <w:outlineLvl w:val="0"/>
        <w:rPr>
          <w:iCs/>
        </w:rPr>
      </w:pPr>
      <w:r w:rsidRPr="007232E4">
        <w:rPr>
          <w:iCs/>
        </w:rPr>
        <w:t xml:space="preserve">Em ensaios de cancro da mama localmente avançado ou </w:t>
      </w:r>
      <w:r w:rsidRPr="007232E4">
        <w:rPr>
          <w:rFonts w:eastAsia="SimSun"/>
          <w:szCs w:val="22"/>
          <w:lang w:eastAsia="zh-CN"/>
        </w:rPr>
        <w:t>metastizado</w:t>
      </w:r>
      <w:r w:rsidRPr="007232E4">
        <w:rPr>
          <w:iCs/>
        </w:rPr>
        <w:t>, observaram</w:t>
      </w:r>
      <w:r w:rsidRPr="007232E4">
        <w:rPr>
          <w:iCs/>
        </w:rPr>
        <w:noBreakHyphen/>
        <w:t xml:space="preserve">se complicações na cicatrização de feridas de Grau 3-5 em até 1,1% dos doentes tratados com </w:t>
      </w:r>
      <w:r w:rsidR="008A467F">
        <w:rPr>
          <w:iCs/>
        </w:rPr>
        <w:t>bevacizumab</w:t>
      </w:r>
      <w:r w:rsidR="008A467F" w:rsidRPr="007232E4">
        <w:rPr>
          <w:iCs/>
        </w:rPr>
        <w:t xml:space="preserve"> </w:t>
      </w:r>
      <w:r w:rsidRPr="007232E4">
        <w:rPr>
          <w:iCs/>
        </w:rPr>
        <w:t>comparativamente com até 0,9% dos doentes nos braços controlo</w:t>
      </w:r>
      <w:r w:rsidRPr="007232E4">
        <w:t xml:space="preserve"> (NCI-CTCAE v.3)</w:t>
      </w:r>
      <w:r w:rsidRPr="007232E4">
        <w:rPr>
          <w:iCs/>
        </w:rPr>
        <w:t>.</w:t>
      </w:r>
    </w:p>
    <w:p w14:paraId="65ABEF2D" w14:textId="77777777" w:rsidR="00400398" w:rsidRPr="007232E4" w:rsidRDefault="00400398" w:rsidP="00380346"/>
    <w:p w14:paraId="10038065" w14:textId="77777777" w:rsidR="00400398" w:rsidRPr="007232E4" w:rsidRDefault="00400398" w:rsidP="00380346">
      <w:r w:rsidRPr="007232E4">
        <w:t>Nos ensaios clínicos no cancro do ovário, foram observadas complicações de Grau 3-5 na cicatrização de feridas em até 1,</w:t>
      </w:r>
      <w:r w:rsidR="00951D45">
        <w:t>8</w:t>
      </w:r>
      <w:r w:rsidRPr="007232E4">
        <w:t xml:space="preserve">% dos doentes no braço do bevacizumab </w:t>
      </w:r>
      <w:r w:rsidRPr="007232E4">
        <w:rPr>
          <w:i/>
        </w:rPr>
        <w:t>versus</w:t>
      </w:r>
      <w:r w:rsidRPr="007232E4">
        <w:t xml:space="preserve"> 0,1 % no braço controlo (NCI</w:t>
      </w:r>
      <w:r w:rsidR="00D408CD">
        <w:t>­</w:t>
      </w:r>
      <w:r w:rsidRPr="007232E4">
        <w:t>CTCAE v.3).</w:t>
      </w:r>
    </w:p>
    <w:p w14:paraId="71615D82" w14:textId="77777777" w:rsidR="00400398" w:rsidRDefault="00400398"/>
    <w:p w14:paraId="3F4D349F" w14:textId="77777777" w:rsidR="00400398" w:rsidRPr="001E05C2" w:rsidRDefault="00400398">
      <w:pPr>
        <w:rPr>
          <w:u w:val="single"/>
        </w:rPr>
      </w:pPr>
      <w:r w:rsidRPr="001E05C2">
        <w:rPr>
          <w:i/>
          <w:u w:val="single"/>
        </w:rPr>
        <w:t xml:space="preserve">Hipertensão arterial </w:t>
      </w:r>
      <w:r w:rsidRPr="001E05C2">
        <w:rPr>
          <w:u w:val="single"/>
        </w:rPr>
        <w:t>(ver secção 4.4)</w:t>
      </w:r>
    </w:p>
    <w:p w14:paraId="0FE87CEC" w14:textId="77777777" w:rsidR="00400398" w:rsidRPr="007232E4" w:rsidRDefault="00400398">
      <w:r w:rsidRPr="007232E4">
        <w:t>Em ensaios clínicos</w:t>
      </w:r>
      <w:r w:rsidR="00962631">
        <w:t xml:space="preserve">, com exceção do estudo JO25567, </w:t>
      </w:r>
      <w:r w:rsidRPr="007232E4">
        <w:t>a incidência</w:t>
      </w:r>
      <w:r w:rsidR="004F7FC2">
        <w:t xml:space="preserve"> g</w:t>
      </w:r>
      <w:r w:rsidR="008F39E3">
        <w:t>lobal</w:t>
      </w:r>
      <w:r w:rsidRPr="007232E4">
        <w:t xml:space="preserve">de hipertensão </w:t>
      </w:r>
      <w:r>
        <w:t xml:space="preserve">arterial </w:t>
      </w:r>
      <w:r w:rsidRPr="007232E4">
        <w:t xml:space="preserve">(todos os </w:t>
      </w:r>
      <w:r w:rsidR="004F7FC2">
        <w:t>g</w:t>
      </w:r>
      <w:r w:rsidRPr="007232E4">
        <w:t xml:space="preserve">raus) </w:t>
      </w:r>
      <w:r w:rsidR="004F7FC2">
        <w:t xml:space="preserve">variou </w:t>
      </w:r>
      <w:r w:rsidRPr="007232E4">
        <w:t xml:space="preserve">até 42,1% </w:t>
      </w:r>
      <w:r w:rsidR="004F7FC2">
        <w:t xml:space="preserve">nos braços </w:t>
      </w:r>
      <w:r w:rsidRPr="007232E4">
        <w:t xml:space="preserve">com </w:t>
      </w:r>
      <w:r w:rsidR="008A467F">
        <w:t>bevacizumab</w:t>
      </w:r>
      <w:r w:rsidRPr="007232E4">
        <w:t xml:space="preserve">, comparativamente </w:t>
      </w:r>
      <w:r w:rsidR="000B743F">
        <w:t>a</w:t>
      </w:r>
      <w:r w:rsidR="000B743F" w:rsidRPr="007232E4">
        <w:t xml:space="preserve"> </w:t>
      </w:r>
      <w:r w:rsidRPr="007232E4">
        <w:t xml:space="preserve">uma incidência até 14% nos </w:t>
      </w:r>
      <w:r w:rsidR="004F7FC2">
        <w:t>braços de controlo</w:t>
      </w:r>
      <w:r w:rsidRPr="007232E4">
        <w:t xml:space="preserve">. </w:t>
      </w:r>
      <w:r w:rsidR="008F39E3">
        <w:t>A incidência g</w:t>
      </w:r>
      <w:r w:rsidR="00FF7556">
        <w:t>lobal</w:t>
      </w:r>
      <w:r w:rsidR="008F39E3">
        <w:t xml:space="preserve"> </w:t>
      </w:r>
      <w:r w:rsidR="00D4306C">
        <w:t xml:space="preserve">de </w:t>
      </w:r>
      <w:r w:rsidR="008F39E3">
        <w:t xml:space="preserve">hipertensão de </w:t>
      </w:r>
      <w:r w:rsidR="008F39E3" w:rsidRPr="007232E4">
        <w:t>Grau 3 e 4</w:t>
      </w:r>
      <w:r w:rsidR="00574474">
        <w:t xml:space="preserve"> do NCI</w:t>
      </w:r>
      <w:r w:rsidR="00D408CD">
        <w:t>­</w:t>
      </w:r>
      <w:r w:rsidR="00574474">
        <w:t xml:space="preserve">CTC </w:t>
      </w:r>
      <w:r w:rsidR="008F39E3">
        <w:t>e</w:t>
      </w:r>
      <w:r w:rsidRPr="007232E4">
        <w:t xml:space="preserve">m doentes tratados com </w:t>
      </w:r>
      <w:r w:rsidR="008A467F">
        <w:t>bevacizumab</w:t>
      </w:r>
      <w:r w:rsidR="008A467F" w:rsidRPr="007232E4">
        <w:t xml:space="preserve"> </w:t>
      </w:r>
      <w:r w:rsidRPr="007232E4">
        <w:t xml:space="preserve">variou de 0,4% a 17,9%. Em doentes tratados com </w:t>
      </w:r>
      <w:r w:rsidR="006F71A6">
        <w:t>bevacizumab</w:t>
      </w:r>
      <w:r w:rsidR="006F71A6" w:rsidRPr="007232E4">
        <w:t xml:space="preserve"> </w:t>
      </w:r>
      <w:r w:rsidRPr="007232E4">
        <w:t>e quimioterapia, a hipertensão</w:t>
      </w:r>
      <w:r>
        <w:t xml:space="preserve"> arterial</w:t>
      </w:r>
      <w:r w:rsidRPr="007232E4">
        <w:t xml:space="preserve"> de Grau 4 (crise hipertensiva) observou</w:t>
      </w:r>
      <w:r w:rsidRPr="007232E4">
        <w:noBreakHyphen/>
        <w:t>se em até 1,0%, comparativamente com até 0,2% nos doentes tratados só com o mesmo regime de quimioterapia.</w:t>
      </w:r>
    </w:p>
    <w:p w14:paraId="650D364F" w14:textId="77777777" w:rsidR="00400398" w:rsidRPr="007232E4" w:rsidRDefault="00400398"/>
    <w:p w14:paraId="46E966F7" w14:textId="77777777" w:rsidR="008122AA" w:rsidRDefault="008122AA">
      <w:r>
        <w:t xml:space="preserve">No estudo JO25567, foi observada hipertensão de todos os graus em 77,3% dos doentes que receberam </w:t>
      </w:r>
      <w:r w:rsidR="006F71A6">
        <w:t xml:space="preserve">bevacizumab </w:t>
      </w:r>
      <w:r>
        <w:t xml:space="preserve">em associação com erlotinib como tratamento de primeira linha de NSCLC não </w:t>
      </w:r>
      <w:r w:rsidR="001947DD">
        <w:t>escamoso</w:t>
      </w:r>
      <w:r>
        <w:t xml:space="preserve"> com mutações ativadoras do EGFR, comparativamente a 14,3% de doentes tratados com erlotinib isoladamente. </w:t>
      </w:r>
      <w:r w:rsidR="00A21D17">
        <w:t>A hipertensão de grau 3</w:t>
      </w:r>
      <w:r w:rsidR="00993884">
        <w:t xml:space="preserve"> foi de 60,0% n</w:t>
      </w:r>
      <w:r w:rsidR="00A21D17">
        <w:t xml:space="preserve">os doentes tratados com </w:t>
      </w:r>
      <w:r w:rsidR="006F71A6">
        <w:t xml:space="preserve">bevacizumab </w:t>
      </w:r>
      <w:r w:rsidR="00A21D17">
        <w:t>em associação com erlo</w:t>
      </w:r>
      <w:r w:rsidR="00993884">
        <w:t>tinib comparativamente a 11,7% no</w:t>
      </w:r>
      <w:r w:rsidR="00A21D17">
        <w:t>s doentes tratados com erlotinib isoladamente. Não se observaram eventos de hipertensão de grau 4 ou 5.</w:t>
      </w:r>
    </w:p>
    <w:p w14:paraId="031FEBA6" w14:textId="77777777" w:rsidR="008122AA" w:rsidRDefault="008122AA"/>
    <w:p w14:paraId="7A9FF194" w14:textId="77777777" w:rsidR="00400398" w:rsidRPr="007232E4" w:rsidRDefault="00400398">
      <w:r w:rsidRPr="007232E4">
        <w:t xml:space="preserve">A hipertensão </w:t>
      </w:r>
      <w:r>
        <w:t xml:space="preserve">arterial </w:t>
      </w:r>
      <w:r w:rsidRPr="007232E4">
        <w:t>foi, em geral, adequadamente controlada com anti</w:t>
      </w:r>
      <w:r w:rsidRPr="007232E4">
        <w:noBreakHyphen/>
        <w:t xml:space="preserve">hipertensores orais, tais como inibidores da enzima de conversão da angiotensina, diuréticos e bloqueadores dos canais de cálcio. A hipertensão </w:t>
      </w:r>
      <w:r>
        <w:t xml:space="preserve">arterial </w:t>
      </w:r>
      <w:r w:rsidRPr="007232E4">
        <w:t xml:space="preserve">raramente conduziu à descontinuação do tratamento com </w:t>
      </w:r>
      <w:r w:rsidR="006F71A6">
        <w:t>bevacizumab</w:t>
      </w:r>
      <w:r w:rsidR="006F71A6" w:rsidRPr="007232E4">
        <w:t xml:space="preserve"> </w:t>
      </w:r>
      <w:r w:rsidRPr="007232E4">
        <w:t>ou à hospitalização.</w:t>
      </w:r>
    </w:p>
    <w:p w14:paraId="6503B666" w14:textId="77777777" w:rsidR="00400398" w:rsidRPr="007232E4" w:rsidRDefault="00400398"/>
    <w:p w14:paraId="5A794CBB" w14:textId="77777777" w:rsidR="00400398" w:rsidRPr="007232E4" w:rsidRDefault="00400398">
      <w:r w:rsidRPr="007232E4">
        <w:t>Foram notificados casos muito raros de encefalopatia hipertensiva, alguns dos quais fatais.</w:t>
      </w:r>
    </w:p>
    <w:p w14:paraId="7A818E6D" w14:textId="77777777" w:rsidR="00400398" w:rsidRPr="007232E4" w:rsidRDefault="00400398"/>
    <w:p w14:paraId="5741EC66" w14:textId="77777777" w:rsidR="00400398" w:rsidRPr="007232E4" w:rsidRDefault="00400398">
      <w:r w:rsidRPr="007232E4">
        <w:t xml:space="preserve">O risco de hipertensão </w:t>
      </w:r>
      <w:r>
        <w:t xml:space="preserve">arterial </w:t>
      </w:r>
      <w:r w:rsidRPr="007232E4">
        <w:t xml:space="preserve">associada ao </w:t>
      </w:r>
      <w:r w:rsidR="006F71A6">
        <w:t>bevacizumab</w:t>
      </w:r>
      <w:r w:rsidR="006F71A6" w:rsidRPr="007232E4">
        <w:t xml:space="preserve"> </w:t>
      </w:r>
      <w:r w:rsidRPr="007232E4">
        <w:t>não esteve relacionado com as características iniciais do doente, com doença pré</w:t>
      </w:r>
      <w:r w:rsidRPr="007232E4">
        <w:noBreakHyphen/>
        <w:t>existente ou com terapêutica concomitante.</w:t>
      </w:r>
    </w:p>
    <w:p w14:paraId="1716E830" w14:textId="77777777" w:rsidR="00400398" w:rsidRPr="007232E4" w:rsidRDefault="00400398"/>
    <w:p w14:paraId="64D638D3" w14:textId="77777777" w:rsidR="00400398" w:rsidRPr="001E05C2" w:rsidRDefault="00400398" w:rsidP="000252E1">
      <w:pPr>
        <w:rPr>
          <w:u w:val="single"/>
        </w:rPr>
      </w:pPr>
      <w:r w:rsidRPr="001E05C2">
        <w:rPr>
          <w:i/>
          <w:u w:val="single"/>
        </w:rPr>
        <w:t xml:space="preserve">Síndrome de </w:t>
      </w:r>
      <w:r w:rsidR="00D408CD" w:rsidRPr="001E05C2">
        <w:rPr>
          <w:i/>
          <w:u w:val="single"/>
        </w:rPr>
        <w:t>e</w:t>
      </w:r>
      <w:r w:rsidRPr="001E05C2">
        <w:rPr>
          <w:i/>
          <w:u w:val="single"/>
        </w:rPr>
        <w:t xml:space="preserve">ncefalopatia </w:t>
      </w:r>
      <w:r w:rsidR="00D408CD" w:rsidRPr="001E05C2">
        <w:rPr>
          <w:i/>
          <w:u w:val="single"/>
        </w:rPr>
        <w:t>p</w:t>
      </w:r>
      <w:r w:rsidRPr="001E05C2">
        <w:rPr>
          <w:i/>
          <w:u w:val="single"/>
        </w:rPr>
        <w:t xml:space="preserve">osterior </w:t>
      </w:r>
      <w:r w:rsidR="00D408CD" w:rsidRPr="001E05C2">
        <w:rPr>
          <w:i/>
          <w:u w:val="single"/>
        </w:rPr>
        <w:t>r</w:t>
      </w:r>
      <w:r w:rsidRPr="001E05C2">
        <w:rPr>
          <w:i/>
          <w:u w:val="single"/>
        </w:rPr>
        <w:t xml:space="preserve">eversível (SEPR) </w:t>
      </w:r>
      <w:r w:rsidRPr="001E05C2">
        <w:rPr>
          <w:u w:val="single"/>
        </w:rPr>
        <w:t>(ver secção 4.4)</w:t>
      </w:r>
    </w:p>
    <w:p w14:paraId="094EEA1F" w14:textId="77777777" w:rsidR="00400398" w:rsidRPr="007232E4" w:rsidRDefault="00400398" w:rsidP="000252E1">
      <w:r w:rsidRPr="007232E4">
        <w:t xml:space="preserve">Têm sido notificados casos raros de doentes tratados com </w:t>
      </w:r>
      <w:r w:rsidR="006F71A6">
        <w:t>bevacizumab</w:t>
      </w:r>
      <w:r w:rsidR="006F71A6" w:rsidRPr="007232E4">
        <w:t xml:space="preserve"> </w:t>
      </w:r>
      <w:r w:rsidRPr="007232E4">
        <w:t xml:space="preserve">que desenvolveram sinais e sintomas consistentes com Síndrome de Encefalopatia Posterior Reversível (SEPR), uma doença neurológica rara. A sua apresentação pode incluir convulsões, cefaleia, alterações do estado mental, perturbações visuais ou cegueira cortical, com ou sem hipertensão </w:t>
      </w:r>
      <w:r>
        <w:t xml:space="preserve">arterial </w:t>
      </w:r>
      <w:r w:rsidRPr="007232E4">
        <w:t>associada. A apresentação clínica do SEPR é normalmente inespecífica pelo que o diagnóstico de SEPR requer confirmação por imagiologia cerebral, preferencialmente MRI.</w:t>
      </w:r>
    </w:p>
    <w:p w14:paraId="33785738" w14:textId="77777777" w:rsidR="00400398" w:rsidRPr="007232E4" w:rsidRDefault="00400398" w:rsidP="000252E1"/>
    <w:p w14:paraId="2AB6BC69" w14:textId="77777777" w:rsidR="00400398" w:rsidRPr="007232E4" w:rsidRDefault="00400398" w:rsidP="00E35183">
      <w:r w:rsidRPr="007232E4">
        <w:t>Nos doentes que desenvolvam SEPR, recomenda</w:t>
      </w:r>
      <w:r w:rsidRPr="007232E4">
        <w:noBreakHyphen/>
        <w:t>se o reconhecimento precoce dos sintomas com tratamento imediato dos sintomas específicos, incluindo controlo da hipertensão (se associado a grave hipertensão</w:t>
      </w:r>
      <w:r w:rsidRPr="00FD3231">
        <w:t xml:space="preserve"> </w:t>
      </w:r>
      <w:r>
        <w:t>arterial</w:t>
      </w:r>
      <w:r w:rsidRPr="007232E4">
        <w:t xml:space="preserve"> não controlada), juntamente com a descontinuação do tratamento com bevacizumab. Os sintomas normalmente desaparecem ou melhoram em dias após a descontinuação do tratamento, embora alguns doentes tenham sofrido alguma sequela neurológica. Desconhece</w:t>
      </w:r>
      <w:r w:rsidRPr="007232E4">
        <w:noBreakHyphen/>
        <w:t xml:space="preserve">se a segurança de reiniciar a terapêutica com </w:t>
      </w:r>
      <w:r w:rsidR="006F71A6">
        <w:t>bevacizumab</w:t>
      </w:r>
      <w:r w:rsidR="006F71A6" w:rsidRPr="007232E4">
        <w:t xml:space="preserve"> </w:t>
      </w:r>
      <w:r w:rsidRPr="007232E4">
        <w:t xml:space="preserve">em doentes que tenham sofrido de SEPR. </w:t>
      </w:r>
    </w:p>
    <w:p w14:paraId="3F66E368" w14:textId="77777777" w:rsidR="00400398" w:rsidRPr="007232E4" w:rsidRDefault="00400398" w:rsidP="000252E1"/>
    <w:p w14:paraId="692EEFC2" w14:textId="77777777" w:rsidR="00400398" w:rsidRPr="007232E4" w:rsidRDefault="00400398" w:rsidP="000252E1">
      <w:r w:rsidRPr="007232E4">
        <w:rPr>
          <w:rFonts w:eastAsia="SimSun"/>
        </w:rPr>
        <w:t>Foram notificados 8 casos de SEPR em ensaios clínicos</w:t>
      </w:r>
      <w:r w:rsidRPr="007232E4">
        <w:rPr>
          <w:rFonts w:eastAsia="SimSun"/>
          <w:bCs/>
          <w:kern w:val="36"/>
          <w:lang w:eastAsia="zh-CN"/>
        </w:rPr>
        <w:t>. Dois dos oito casos não tiveram confirmação radiológica por MRI.</w:t>
      </w:r>
    </w:p>
    <w:p w14:paraId="48B0E3A8" w14:textId="77777777" w:rsidR="00400398" w:rsidRPr="007232E4" w:rsidRDefault="00400398"/>
    <w:p w14:paraId="451A7960" w14:textId="77777777" w:rsidR="00400398" w:rsidRPr="001E05C2" w:rsidRDefault="00400398" w:rsidP="00EB1E8F">
      <w:pPr>
        <w:keepNext/>
        <w:keepLines/>
        <w:outlineLvl w:val="0"/>
        <w:rPr>
          <w:i/>
          <w:u w:val="single"/>
        </w:rPr>
      </w:pPr>
      <w:r w:rsidRPr="001E05C2">
        <w:rPr>
          <w:i/>
          <w:u w:val="single"/>
        </w:rPr>
        <w:t xml:space="preserve">Proteinúria </w:t>
      </w:r>
      <w:r w:rsidRPr="001E05C2">
        <w:rPr>
          <w:u w:val="single"/>
        </w:rPr>
        <w:t>(ver secção 4.4)</w:t>
      </w:r>
    </w:p>
    <w:p w14:paraId="23AF2D72" w14:textId="77777777" w:rsidR="00400398" w:rsidRPr="007232E4" w:rsidRDefault="00400398">
      <w:r w:rsidRPr="007232E4">
        <w:t xml:space="preserve">Em ensaios clínicos foram notificados casos de proteinúria no intervalo de 0,7% a </w:t>
      </w:r>
      <w:r w:rsidR="00721657">
        <w:t>54,7</w:t>
      </w:r>
      <w:r w:rsidRPr="007232E4">
        <w:t xml:space="preserve">% dos doentes tratados com </w:t>
      </w:r>
      <w:r w:rsidR="006F71A6">
        <w:t>bevacizumab</w:t>
      </w:r>
      <w:r w:rsidRPr="007232E4">
        <w:t>.</w:t>
      </w:r>
    </w:p>
    <w:p w14:paraId="126F3287" w14:textId="77777777" w:rsidR="00400398" w:rsidRPr="007232E4" w:rsidRDefault="00400398"/>
    <w:p w14:paraId="4EF21CCA" w14:textId="77777777" w:rsidR="00400398" w:rsidRPr="007232E4" w:rsidRDefault="00400398">
      <w:r w:rsidRPr="007232E4">
        <w:t xml:space="preserve">A proteinúria variou em gravidade, desde clinicamente assintomática, transitória e vestigial até síndrome nefrótico, embora a grande maioria dos casos de proteinúria tenha sido de Grau 1 (NCI-CTCAE v.3). A proteinúria de Grau 3 foi notificada em até </w:t>
      </w:r>
      <w:r w:rsidR="00951D45">
        <w:t>10,9</w:t>
      </w:r>
      <w:r w:rsidRPr="007232E4">
        <w:t>% dos doentes tratados. A proteinúria de Grau 4 (síndrome nefrótico) foi observada em até 1,4% dos doentes tratados. Recomenda</w:t>
      </w:r>
      <w:r w:rsidRPr="007232E4">
        <w:noBreakHyphen/>
        <w:t xml:space="preserve">se a análise da proteinúria antes do início da terapêutica com </w:t>
      </w:r>
      <w:r w:rsidR="006F71A6">
        <w:t>bevacizumab</w:t>
      </w:r>
      <w:r w:rsidRPr="007232E4">
        <w:t xml:space="preserve">. Na maioria dos ensaios clínicos a existência de níveis de proteínas na urina </w:t>
      </w:r>
      <w:r w:rsidRPr="007232E4">
        <w:rPr>
          <w:szCs w:val="22"/>
        </w:rPr>
        <w:sym w:font="Symbol" w:char="F0B3"/>
      </w:r>
      <w:r w:rsidRPr="007232E4">
        <w:t> 2</w:t>
      </w:r>
      <w:r w:rsidR="00D408CD">
        <w:t> </w:t>
      </w:r>
      <w:r w:rsidRPr="007232E4">
        <w:t>g/24</w:t>
      </w:r>
      <w:r w:rsidR="00D408CD">
        <w:t> </w:t>
      </w:r>
      <w:r w:rsidRPr="007232E4">
        <w:t xml:space="preserve">horas conduziu à suspensão de </w:t>
      </w:r>
      <w:r w:rsidR="006F71A6">
        <w:t>bevacizumab</w:t>
      </w:r>
      <w:r w:rsidR="006F71A6" w:rsidRPr="007232E4">
        <w:t xml:space="preserve"> </w:t>
      </w:r>
      <w:r w:rsidRPr="007232E4">
        <w:t>até à recuperação para valores &lt; 2</w:t>
      </w:r>
      <w:r w:rsidR="00D408CD">
        <w:t> </w:t>
      </w:r>
      <w:r w:rsidRPr="007232E4">
        <w:t>g/24</w:t>
      </w:r>
      <w:r w:rsidR="00D408CD">
        <w:t> </w:t>
      </w:r>
      <w:r w:rsidRPr="007232E4">
        <w:t>horas.</w:t>
      </w:r>
    </w:p>
    <w:p w14:paraId="3947509E" w14:textId="77777777" w:rsidR="00400398" w:rsidRPr="007232E4" w:rsidRDefault="00400398">
      <w:pPr>
        <w:outlineLvl w:val="0"/>
        <w:rPr>
          <w:iCs/>
        </w:rPr>
      </w:pPr>
    </w:p>
    <w:p w14:paraId="7FEC9210" w14:textId="77777777" w:rsidR="00400398" w:rsidRPr="001E05C2" w:rsidRDefault="00400398">
      <w:pPr>
        <w:keepNext/>
        <w:keepLines/>
        <w:rPr>
          <w:u w:val="single"/>
        </w:rPr>
      </w:pPr>
      <w:r w:rsidRPr="001E05C2">
        <w:rPr>
          <w:i/>
          <w:u w:val="single"/>
        </w:rPr>
        <w:t xml:space="preserve">Hemorragia </w:t>
      </w:r>
      <w:r w:rsidRPr="001E05C2">
        <w:rPr>
          <w:u w:val="single"/>
        </w:rPr>
        <w:t>(ver secção 4.4)</w:t>
      </w:r>
    </w:p>
    <w:p w14:paraId="31AC79C2" w14:textId="77777777" w:rsidR="00400398" w:rsidRPr="007232E4" w:rsidRDefault="00400398">
      <w:r w:rsidRPr="007232E4">
        <w:t>Em ensaios clínicos realizados em várias indicações, a incidência global de reações hemorrágicas de Grau 3-5 do NCI-CTCAE v.3 variou de 0,4% a 6,</w:t>
      </w:r>
      <w:r>
        <w:t>9</w:t>
      </w:r>
      <w:r w:rsidRPr="007232E4">
        <w:t xml:space="preserve">% nos doentes tratados com </w:t>
      </w:r>
      <w:r w:rsidR="006F71A6">
        <w:t>bevacizumab</w:t>
      </w:r>
      <w:r w:rsidRPr="007232E4">
        <w:t xml:space="preserve">, comparativamente com até </w:t>
      </w:r>
      <w:r>
        <w:t>4,5</w:t>
      </w:r>
      <w:r w:rsidRPr="007232E4">
        <w:t>% dos doentes no grupo controlo de quimioterapia.</w:t>
      </w:r>
    </w:p>
    <w:p w14:paraId="40C7CA63" w14:textId="77777777" w:rsidR="00400398" w:rsidRDefault="00400398"/>
    <w:p w14:paraId="4BAC19AC" w14:textId="77777777" w:rsidR="00400398" w:rsidRPr="00526E0A" w:rsidRDefault="00400398">
      <w:r>
        <w:t xml:space="preserve">Num ensaio clínico em doentes com cancro </w:t>
      </w:r>
      <w:r w:rsidRPr="00E92998">
        <w:t>do colo do útero</w:t>
      </w:r>
      <w:r>
        <w:t xml:space="preserve"> com doença</w:t>
      </w:r>
      <w:r w:rsidRPr="00E92998">
        <w:t xml:space="preserve"> persist</w:t>
      </w:r>
      <w:r>
        <w:t xml:space="preserve">ente, recorrente ou metastizada (estudo GOG-0240), foram notificadas reações hemorrágicas de grau 3-5 em até 8,3% das doentes tratadas com </w:t>
      </w:r>
      <w:r w:rsidR="006F71A6">
        <w:t xml:space="preserve">bevacizumab </w:t>
      </w:r>
      <w:r>
        <w:t>em associação com paclitaxel e topotecano comparativamente com até 4,6% em doentes tratadas com paclitaxel e topotecano.</w:t>
      </w:r>
    </w:p>
    <w:p w14:paraId="2461AFEE" w14:textId="77777777" w:rsidR="00400398" w:rsidRPr="007232E4" w:rsidRDefault="00400398"/>
    <w:p w14:paraId="52A70C23" w14:textId="77777777" w:rsidR="00400398" w:rsidRPr="007232E4" w:rsidRDefault="00400398">
      <w:r w:rsidRPr="007232E4">
        <w:t>As reações hemorrágicas observadas nos ensaios clínicos foram predominantemente hemorragia associada ao tumor (ver a seguir) e hemorragias mucocutâneas ligeiras (por exemplo epistaxe).</w:t>
      </w:r>
    </w:p>
    <w:p w14:paraId="6D8969E9" w14:textId="77777777" w:rsidR="00400398" w:rsidRPr="007232E4" w:rsidRDefault="00400398"/>
    <w:p w14:paraId="4BB10F9F" w14:textId="77777777" w:rsidR="00400398" w:rsidRPr="00981C8E" w:rsidRDefault="00400398">
      <w:r w:rsidRPr="00981C8E">
        <w:rPr>
          <w:i/>
        </w:rPr>
        <w:t>Hemorragia associada ao tumor</w:t>
      </w:r>
      <w:r w:rsidRPr="00981C8E">
        <w:t xml:space="preserve"> (ver secção 4.4)</w:t>
      </w:r>
    </w:p>
    <w:p w14:paraId="62B129E4" w14:textId="77777777" w:rsidR="00400398" w:rsidRPr="007232E4" w:rsidRDefault="00400398">
      <w:r w:rsidRPr="007232E4">
        <w:t xml:space="preserve">Casos de hemorragia pulmonar/hemoptise </w:t>
      </w:r>
      <w:r w:rsidRPr="00FD3231">
        <w:rPr>
          <w:i/>
        </w:rPr>
        <w:t>major</w:t>
      </w:r>
      <w:r w:rsidRPr="007232E4">
        <w:t xml:space="preserve"> ou maciça foram observados principalmente em ensaios realizados com doentes com cancro do pulmão de células não pequenas. Os possíveis fatores de risco incluem histologia celular escamosa, tratamento com medicamentos anti</w:t>
      </w:r>
      <w:r w:rsidRPr="007232E4">
        <w:noBreakHyphen/>
        <w:t>reumáticos/anti</w:t>
      </w:r>
      <w:r w:rsidRPr="007232E4">
        <w:noBreakHyphen/>
        <w:t xml:space="preserve">inflamatórios, tratamento com anticoagulantes, radioterapia anterior, terapêutica com </w:t>
      </w:r>
      <w:r w:rsidR="006F71A6">
        <w:t>bevacizumab</w:t>
      </w:r>
      <w:r w:rsidRPr="007232E4">
        <w:t xml:space="preserve">, antecedentes médicos de aterosclerose, localização central do tumor e cavitação do tumor antes ou durante a terapêutica. As únicas variáveis que mostraram estar correlacionadas de uma forma estatisticamente significativa com hemorragia foram a terapêutica com </w:t>
      </w:r>
      <w:r w:rsidR="006F71A6">
        <w:t>bevacizumab</w:t>
      </w:r>
      <w:r w:rsidR="006F71A6" w:rsidRPr="007232E4">
        <w:t xml:space="preserve"> </w:t>
      </w:r>
      <w:r w:rsidRPr="007232E4">
        <w:t>e a histologia celular escamosa. Doentes com cancro do pulmão de células não pequenas com histologia celular do tipo escamosa ou mista conhecida com predominância de histologia celular escamosa foram excluídos de estudos de fase III subsequentes, embora tenham sido incluídos doentes com histologia tumoral desconhecida.</w:t>
      </w:r>
    </w:p>
    <w:p w14:paraId="41A0F595" w14:textId="77777777" w:rsidR="00400398" w:rsidRPr="007232E4" w:rsidRDefault="00400398"/>
    <w:p w14:paraId="56FA223B" w14:textId="77777777" w:rsidR="00400398" w:rsidRPr="007232E4" w:rsidRDefault="00400398">
      <w:r w:rsidRPr="007232E4">
        <w:t>Em doentes com cancro do pulmão de células não pequenas, excluindo histologia com predomínio de células escamosas, observaram</w:t>
      </w:r>
      <w:r w:rsidRPr="007232E4">
        <w:noBreakHyphen/>
        <w:t>se reações de todos os Graus com uma frequência até 9</w:t>
      </w:r>
      <w:r w:rsidR="00721657">
        <w:t>,3</w:t>
      </w:r>
      <w:r w:rsidRPr="007232E4">
        <w:t xml:space="preserve">% quando tratados com </w:t>
      </w:r>
      <w:r w:rsidR="006F71A6">
        <w:t>bevacizumab</w:t>
      </w:r>
      <w:r w:rsidR="006F71A6" w:rsidRPr="007232E4">
        <w:t xml:space="preserve"> </w:t>
      </w:r>
      <w:r w:rsidRPr="007232E4">
        <w:t>mais quimioterapia, comparativamente com</w:t>
      </w:r>
      <w:r w:rsidR="00721657">
        <w:t xml:space="preserve"> até</w:t>
      </w:r>
      <w:r w:rsidRPr="007232E4">
        <w:t xml:space="preserve"> 5% nos doentes tratados só com quimioterapia. Observaram</w:t>
      </w:r>
      <w:r w:rsidRPr="007232E4">
        <w:noBreakHyphen/>
        <w:t xml:space="preserve">se reações de Grau 3-5 em até 2,3% de doentes tratados com </w:t>
      </w:r>
      <w:r w:rsidR="006F71A6">
        <w:t>bevacizumab</w:t>
      </w:r>
      <w:r w:rsidR="006F71A6" w:rsidRPr="007232E4">
        <w:t xml:space="preserve"> </w:t>
      </w:r>
      <w:r w:rsidRPr="007232E4">
        <w:t xml:space="preserve">mais quimioterapia, comparativamente com &lt; 1% em doentes só a fazer quimioterapia (NCI-CTCAE v.3). Podem ocorrer repentinamente casos de hemorragia pulmonar/hemoptise </w:t>
      </w:r>
      <w:r w:rsidRPr="00FD3231">
        <w:rPr>
          <w:i/>
        </w:rPr>
        <w:t>major</w:t>
      </w:r>
      <w:r w:rsidRPr="007232E4">
        <w:t xml:space="preserve"> ou maciça e até dois terços dos casos de hemorragia pulmonar grave foram fatais.</w:t>
      </w:r>
    </w:p>
    <w:p w14:paraId="550007C0" w14:textId="77777777" w:rsidR="00400398" w:rsidRPr="007232E4" w:rsidRDefault="00400398"/>
    <w:p w14:paraId="7D36342D" w14:textId="77777777" w:rsidR="00400398" w:rsidRPr="007232E4" w:rsidRDefault="00400398">
      <w:r w:rsidRPr="007232E4">
        <w:t>Hemorragias gastrointestinais incluindo hemorragia retal e melena foram notificadas em doentes com cancro colo</w:t>
      </w:r>
      <w:r w:rsidRPr="007232E4">
        <w:noBreakHyphen/>
        <w:t>retal e têm sido avaliadas como hemorragias associadas ao tumor.</w:t>
      </w:r>
    </w:p>
    <w:p w14:paraId="237CA3FA" w14:textId="77777777" w:rsidR="00400398" w:rsidRPr="007232E4" w:rsidRDefault="00400398"/>
    <w:p w14:paraId="7FAB6A95" w14:textId="77777777" w:rsidR="00400398" w:rsidRPr="007232E4" w:rsidRDefault="00400398">
      <w:r w:rsidRPr="007232E4">
        <w:t>A hemorragia associada ao tumor foi também observada raramente em outros tipos e localizações tumorais, incluindo casos de hemorragia do sistema nervoso central (SNC), em doentes com metástases no SNC (ver secção 4.4).</w:t>
      </w:r>
    </w:p>
    <w:p w14:paraId="6E24E23E" w14:textId="77777777" w:rsidR="00400398" w:rsidRPr="007232E4" w:rsidRDefault="00400398"/>
    <w:p w14:paraId="18085824" w14:textId="77777777" w:rsidR="006F71A6" w:rsidRDefault="00400398">
      <w:r w:rsidRPr="007232E4">
        <w:t xml:space="preserve">A incidência de hemorragia do SNC em doentes com metástases do SNC não tratadas a receber bevacizumab não foi avaliada prospectivamente em ensaios clínicos aleatorizados. Numa análise exploratória retrospetiva de dados de 13 ensaios aleatorizados completos em doentes com vários tipos de tumor, 3 de 91 doentes com metástases cerebrais (3,3%) apresentaram hemorragia do SNC (todas de Grau 4) quando tratados com bevacizumab, comparativamente a 1 caso (Grau 5) em 96 doentes (1%) que não foram expostos a bevacizumab. Em dois estudos subsequentes em doentes com metástases cerebrais tratadas (que incluíram cerca de 800 doentes), foi notificado um caso de </w:t>
      </w:r>
      <w:r w:rsidRPr="007232E4">
        <w:lastRenderedPageBreak/>
        <w:t>hemorragia do SNC de Grau 2 em 83 indivíduos tratados com bevacizumab (1,2%) na altura da análise de segurança interina (NCI-CTCAE v.3).</w:t>
      </w:r>
    </w:p>
    <w:p w14:paraId="132A1B0C" w14:textId="77777777" w:rsidR="006F71A6" w:rsidRDefault="006F71A6"/>
    <w:p w14:paraId="515C5727" w14:textId="77777777" w:rsidR="00400398" w:rsidRPr="007232E4" w:rsidRDefault="00400398">
      <w:r w:rsidRPr="007232E4">
        <w:t xml:space="preserve">No âmbito de todos os ensaios clínicos, foi observada hemorragia mucocutânea em até 50% dos doentes tratados com </w:t>
      </w:r>
      <w:r w:rsidR="00DF3286">
        <w:t>bevacizumab</w:t>
      </w:r>
      <w:r w:rsidRPr="007232E4">
        <w:t>. A maioria destas reações foi epistaxe de Grau 1, NCI</w:t>
      </w:r>
      <w:r w:rsidR="00D56114">
        <w:t>­</w:t>
      </w:r>
      <w:r w:rsidRPr="007232E4">
        <w:t>CTCAE v.3, com duração inferior a 5 minutos, resolvendo</w:t>
      </w:r>
      <w:r w:rsidRPr="007232E4">
        <w:noBreakHyphen/>
        <w:t xml:space="preserve">se sem qualquer intervenção médica e que não implicou alterações no regime de tratamento de </w:t>
      </w:r>
      <w:r w:rsidR="00DF3286">
        <w:t>bevacizumab</w:t>
      </w:r>
      <w:r w:rsidRPr="007232E4">
        <w:t xml:space="preserve">. A informação clínica de segurança sugere que a incidência de hemorragia mucocutânea </w:t>
      </w:r>
      <w:r w:rsidRPr="007232E4">
        <w:rPr>
          <w:i/>
        </w:rPr>
        <w:t xml:space="preserve">minor </w:t>
      </w:r>
      <w:r w:rsidRPr="007232E4">
        <w:t>(por ex. epistaxe) pode ser dose</w:t>
      </w:r>
      <w:r w:rsidRPr="007232E4">
        <w:noBreakHyphen/>
        <w:t>dependente.</w:t>
      </w:r>
    </w:p>
    <w:p w14:paraId="5E884B0F" w14:textId="77777777" w:rsidR="00400398" w:rsidRPr="007232E4" w:rsidRDefault="00400398"/>
    <w:p w14:paraId="2DB45AC3" w14:textId="77777777" w:rsidR="00400398" w:rsidRPr="007232E4" w:rsidRDefault="00400398">
      <w:r w:rsidRPr="007232E4">
        <w:t>Também foram observadas reações menos frequentes de hemorragia mucocutânea ligeira em diferentes localizações, tais como hemorragia gengival ou hemorragia vaginal.</w:t>
      </w:r>
    </w:p>
    <w:p w14:paraId="7B0ABC49" w14:textId="77777777" w:rsidR="00400398" w:rsidRPr="007232E4" w:rsidRDefault="00400398"/>
    <w:p w14:paraId="65E6275E" w14:textId="77777777" w:rsidR="00400398" w:rsidRPr="007232E4" w:rsidRDefault="00400398">
      <w:pPr>
        <w:keepNext/>
        <w:keepLines/>
      </w:pPr>
      <w:r w:rsidRPr="001E05C2">
        <w:rPr>
          <w:i/>
          <w:u w:val="single"/>
        </w:rPr>
        <w:t xml:space="preserve">Tromboembolismo </w:t>
      </w:r>
      <w:r w:rsidRPr="001E05C2">
        <w:rPr>
          <w:u w:val="single"/>
        </w:rPr>
        <w:t>(ver secção 4.4)</w:t>
      </w:r>
    </w:p>
    <w:p w14:paraId="49811BE3" w14:textId="77777777" w:rsidR="00400398" w:rsidRPr="007232E4" w:rsidRDefault="00400398">
      <w:r w:rsidRPr="007232E4">
        <w:rPr>
          <w:i/>
        </w:rPr>
        <w:t xml:space="preserve">Tromboembolismo arterial: </w:t>
      </w:r>
      <w:r w:rsidRPr="007232E4">
        <w:t>Observou</w:t>
      </w:r>
      <w:r w:rsidRPr="007232E4">
        <w:noBreakHyphen/>
        <w:t xml:space="preserve">se um aumento da incidência de reações tromboembólicas arteriais em doentes tratados com </w:t>
      </w:r>
      <w:r w:rsidR="00DF3286">
        <w:t>bevacizumab</w:t>
      </w:r>
      <w:r w:rsidR="00DF3286" w:rsidRPr="007232E4">
        <w:t xml:space="preserve"> </w:t>
      </w:r>
      <w:r w:rsidRPr="007232E4">
        <w:t>em várias indicações, incluindo acidentes vasculares cerebrais, enfarte do miocárdio, acidente isquémico transitório e outras reações tromboembólicas arteriais.</w:t>
      </w:r>
    </w:p>
    <w:p w14:paraId="7917AC07" w14:textId="77777777" w:rsidR="00400398" w:rsidRPr="007232E4" w:rsidRDefault="00400398"/>
    <w:p w14:paraId="1C2F7D35" w14:textId="77777777" w:rsidR="00400398" w:rsidRPr="007232E4" w:rsidRDefault="00400398">
      <w:r w:rsidRPr="007232E4">
        <w:t>Nos ensaios clínicos, a incidência global de reações tromboembólicas arteriais variou até 3</w:t>
      </w:r>
      <w:r w:rsidR="009D1771">
        <w:t>,</w:t>
      </w:r>
      <w:r w:rsidRPr="007232E4">
        <w:t xml:space="preserve">8% nos braços com </w:t>
      </w:r>
      <w:r w:rsidR="006F71A6">
        <w:t>bevacizumab</w:t>
      </w:r>
      <w:r w:rsidRPr="007232E4">
        <w:t xml:space="preserve">, comparativamente com </w:t>
      </w:r>
      <w:r w:rsidRPr="00233EB7">
        <w:t xml:space="preserve">até </w:t>
      </w:r>
      <w:r w:rsidR="009D1771" w:rsidRPr="00233EB7">
        <w:t>2,1</w:t>
      </w:r>
      <w:r w:rsidRPr="00233EB7">
        <w:t>% nos braços controlo com quimioterapia. Foram notificados casos com consequência fatal em 0,8% dos</w:t>
      </w:r>
      <w:r w:rsidRPr="007232E4">
        <w:t xml:space="preserve"> doentes tratados com </w:t>
      </w:r>
      <w:r w:rsidR="00DF3286">
        <w:t>bevacizumab</w:t>
      </w:r>
      <w:r w:rsidRPr="007232E4">
        <w:t>, comparativamente com 0,5% dos doentes tratados apenas com quimioterapia. Acidentes vasculares cerebrais (incluindo acidente isquémico transitório) foram notificados em até 2,</w:t>
      </w:r>
      <w:r w:rsidR="00546D37">
        <w:t>7</w:t>
      </w:r>
      <w:r w:rsidRPr="007232E4">
        <w:t xml:space="preserve">% dos doentes tratados com </w:t>
      </w:r>
      <w:r w:rsidR="00DF3286">
        <w:t>bevacizumab</w:t>
      </w:r>
      <w:r w:rsidR="00DF3286" w:rsidRPr="007232E4">
        <w:t xml:space="preserve"> </w:t>
      </w:r>
      <w:r w:rsidRPr="007232E4">
        <w:t>em associação com quimioterapia, comparativamente com</w:t>
      </w:r>
      <w:r w:rsidR="00546D37">
        <w:t xml:space="preserve"> até</w:t>
      </w:r>
      <w:r w:rsidRPr="007232E4">
        <w:t xml:space="preserve"> 0,5% </w:t>
      </w:r>
      <w:r w:rsidR="00546D37">
        <w:t>d</w:t>
      </w:r>
      <w:r w:rsidRPr="007232E4">
        <w:t>os doentes tratados apenas com quimioterapia. Foram notificados casos de enfarte do miocárdio em</w:t>
      </w:r>
      <w:r w:rsidR="00546D37">
        <w:t xml:space="preserve"> até</w:t>
      </w:r>
      <w:r w:rsidRPr="007232E4">
        <w:t xml:space="preserve"> 1,4% dos doentes tratados com </w:t>
      </w:r>
      <w:r w:rsidR="00DF3286">
        <w:t>bevacizumab</w:t>
      </w:r>
      <w:r w:rsidR="00DF3286" w:rsidRPr="007232E4">
        <w:t xml:space="preserve"> </w:t>
      </w:r>
      <w:r w:rsidRPr="007232E4">
        <w:t xml:space="preserve">em associação com quimioterapia comparativamente com </w:t>
      </w:r>
      <w:r w:rsidR="00546D37">
        <w:t xml:space="preserve">até </w:t>
      </w:r>
      <w:r w:rsidRPr="007232E4">
        <w:t>0,7% dos doentes tratados apenas com quimioterapia.</w:t>
      </w:r>
    </w:p>
    <w:p w14:paraId="64E32D0C" w14:textId="77777777" w:rsidR="00400398" w:rsidRPr="007232E4" w:rsidRDefault="00400398"/>
    <w:p w14:paraId="7A441A8B" w14:textId="77777777" w:rsidR="00400398" w:rsidRPr="007232E4" w:rsidRDefault="00400398" w:rsidP="00897B6E">
      <w:pPr>
        <w:keepLines/>
        <w:outlineLvl w:val="0"/>
        <w:rPr>
          <w:iCs/>
        </w:rPr>
      </w:pPr>
      <w:r w:rsidRPr="007232E4">
        <w:rPr>
          <w:iCs/>
        </w:rPr>
        <w:t xml:space="preserve">No ensaio clínico AVF2192g, que avaliava </w:t>
      </w:r>
      <w:r w:rsidR="00DF3286">
        <w:rPr>
          <w:iCs/>
        </w:rPr>
        <w:t>bevacizumab</w:t>
      </w:r>
      <w:r w:rsidR="00DF3286" w:rsidRPr="007232E4">
        <w:rPr>
          <w:iCs/>
        </w:rPr>
        <w:t xml:space="preserve"> </w:t>
      </w:r>
      <w:r w:rsidRPr="007232E4">
        <w:rPr>
          <w:iCs/>
        </w:rPr>
        <w:t xml:space="preserve">em associação com </w:t>
      </w:r>
      <w:r w:rsidRPr="007232E4">
        <w:t>5</w:t>
      </w:r>
      <w:r w:rsidRPr="007232E4">
        <w:noBreakHyphen/>
        <w:t xml:space="preserve">fluorouracilo/ácido folínico, </w:t>
      </w:r>
      <w:r w:rsidRPr="007232E4">
        <w:rPr>
          <w:iCs/>
        </w:rPr>
        <w:t>incluíram</w:t>
      </w:r>
      <w:r w:rsidRPr="007232E4">
        <w:rPr>
          <w:iCs/>
        </w:rPr>
        <w:noBreakHyphen/>
        <w:t xml:space="preserve">se doentes com cancro </w:t>
      </w:r>
      <w:r w:rsidRPr="007232E4">
        <w:t>colo</w:t>
      </w:r>
      <w:r w:rsidRPr="007232E4">
        <w:noBreakHyphen/>
        <w:t>retal</w:t>
      </w:r>
      <w:r w:rsidRPr="007232E4">
        <w:rPr>
          <w:iCs/>
        </w:rPr>
        <w:t xml:space="preserve"> </w:t>
      </w:r>
      <w:r w:rsidRPr="007232E4">
        <w:rPr>
          <w:rFonts w:eastAsia="SimSun"/>
          <w:szCs w:val="22"/>
          <w:lang w:eastAsia="zh-CN"/>
        </w:rPr>
        <w:t>metastizado</w:t>
      </w:r>
      <w:r w:rsidRPr="007232E4">
        <w:rPr>
          <w:iCs/>
        </w:rPr>
        <w:t xml:space="preserve"> que não eram candidatos para o tratamento com irinotecano. Neste ensaio observaram-se reações tromboembólicas arteriais em 11% (11/100) dos doentes, comparativamente a 5,8% (6/104) no grupo controlo com quimioterapia.</w:t>
      </w:r>
    </w:p>
    <w:p w14:paraId="21BB49FF" w14:textId="77777777" w:rsidR="00400398" w:rsidRPr="007232E4" w:rsidRDefault="00400398">
      <w:pPr>
        <w:outlineLvl w:val="0"/>
        <w:rPr>
          <w:iCs/>
        </w:rPr>
      </w:pPr>
    </w:p>
    <w:p w14:paraId="29128D16" w14:textId="77777777" w:rsidR="00400398" w:rsidRPr="007232E4" w:rsidRDefault="00400398" w:rsidP="00615E24">
      <w:pPr>
        <w:keepNext/>
        <w:keepLines/>
      </w:pPr>
      <w:r w:rsidRPr="007232E4">
        <w:rPr>
          <w:i/>
        </w:rPr>
        <w:t xml:space="preserve">Tromboembolismo venoso: </w:t>
      </w:r>
      <w:r w:rsidRPr="007232E4">
        <w:t xml:space="preserve">A incidência de reações tromboembólicas venosas em ensaios clínicos foi semelhante em doentes tratados com </w:t>
      </w:r>
      <w:r w:rsidR="00DF3286">
        <w:t>bevacizumab</w:t>
      </w:r>
      <w:r w:rsidR="00DF3286" w:rsidRPr="007232E4">
        <w:t xml:space="preserve"> </w:t>
      </w:r>
      <w:r w:rsidRPr="007232E4">
        <w:t>em associação com quimioterapia, comparativamente à verificada em doentes a fazer o tratamento controlo apenas com quimioterapia. As reações tromboembólicas venosas incluem trombose venosa profunda, embolia pulmonar e tromboflebite.</w:t>
      </w:r>
    </w:p>
    <w:p w14:paraId="47BB497A" w14:textId="77777777" w:rsidR="00400398" w:rsidRPr="007232E4" w:rsidRDefault="00400398"/>
    <w:p w14:paraId="76FEA7E8" w14:textId="77777777" w:rsidR="00400398" w:rsidRPr="007232E4" w:rsidRDefault="00400398">
      <w:r w:rsidRPr="007232E4">
        <w:t xml:space="preserve">Nos ensaios clínicos realizados em várias indicações, a incidência global de reações tromboembólicas venosas, variou de 2,8% a 17,3% nos doentes tratados com </w:t>
      </w:r>
      <w:r w:rsidR="00DF3286">
        <w:t>bevacizumab</w:t>
      </w:r>
      <w:r w:rsidR="00DF3286" w:rsidRPr="007232E4">
        <w:t xml:space="preserve"> </w:t>
      </w:r>
      <w:r w:rsidRPr="007232E4">
        <w:t>comparativamente com 3,2% a 15,6% nos doentes tratados nos grupos controlo.</w:t>
      </w:r>
    </w:p>
    <w:p w14:paraId="227C6046" w14:textId="77777777" w:rsidR="00400398" w:rsidRPr="007232E4" w:rsidRDefault="00400398"/>
    <w:p w14:paraId="188633F9" w14:textId="77777777" w:rsidR="00400398" w:rsidRPr="007232E4" w:rsidRDefault="00400398" w:rsidP="000E634D">
      <w:r w:rsidRPr="007232E4">
        <w:t>Foram notificadas reações tromboembólicas venosas de Grau 3-5 (NCI-CTCAE v.3) até um máximo de 7,8% dos doentes tratados com quimioterapia e bevacizumab, comparativamente com um máximo de 4,9% dos doentes tratados apenas com quimioterapia</w:t>
      </w:r>
      <w:r>
        <w:t xml:space="preserve"> (entre as várias indicações, excluindo cancro </w:t>
      </w:r>
      <w:r w:rsidRPr="00E92998">
        <w:t>do colo do útero</w:t>
      </w:r>
      <w:r>
        <w:t xml:space="preserve"> com doença</w:t>
      </w:r>
      <w:r w:rsidRPr="00E92998">
        <w:t xml:space="preserve"> persist</w:t>
      </w:r>
      <w:r>
        <w:t>ente, recorrente ou metastizada).</w:t>
      </w:r>
    </w:p>
    <w:p w14:paraId="6F84A96D" w14:textId="77777777" w:rsidR="00400398" w:rsidRDefault="00400398" w:rsidP="000E634D"/>
    <w:p w14:paraId="4F64AFDC" w14:textId="77777777" w:rsidR="00400398" w:rsidRPr="00526E0A" w:rsidRDefault="00400398" w:rsidP="00A7086D">
      <w:r>
        <w:t xml:space="preserve">Num ensaio clínico em doentes com cancro </w:t>
      </w:r>
      <w:r w:rsidRPr="00E92998">
        <w:t>do colo do útero</w:t>
      </w:r>
      <w:r>
        <w:t xml:space="preserve"> com doença</w:t>
      </w:r>
      <w:r w:rsidRPr="00E92998">
        <w:t xml:space="preserve"> persist</w:t>
      </w:r>
      <w:r>
        <w:t xml:space="preserve">ente, recorrente ou metastizada (estudo GOG-0240), foram notificados acontecimentos tromboembólicos venosos de grau 3-5 em até 15,6% das doentes tratadas com </w:t>
      </w:r>
      <w:r w:rsidR="00DF3286">
        <w:t xml:space="preserve">bevacizumab </w:t>
      </w:r>
      <w:r>
        <w:t>em associação com paclitaxel e cisplatina comparativamente com até 7,0% em doentes tratadas com paclitaxel e cisplatina.</w:t>
      </w:r>
    </w:p>
    <w:p w14:paraId="64BB6F19" w14:textId="77777777" w:rsidR="00400398" w:rsidRPr="007232E4" w:rsidRDefault="00400398" w:rsidP="000E634D"/>
    <w:p w14:paraId="05A20CAB" w14:textId="77777777" w:rsidR="00400398" w:rsidRPr="007232E4" w:rsidRDefault="00400398" w:rsidP="000E634D">
      <w:pPr>
        <w:outlineLvl w:val="0"/>
        <w:rPr>
          <w:iCs/>
        </w:rPr>
      </w:pPr>
      <w:r w:rsidRPr="007232E4">
        <w:rPr>
          <w:iCs/>
        </w:rPr>
        <w:t xml:space="preserve">Doentes que tenham sofrido </w:t>
      </w:r>
      <w:r w:rsidRPr="007232E4">
        <w:t xml:space="preserve">reações tromboembólicas venosas podem ter um risco superior de recorrência caso façam tratamento com </w:t>
      </w:r>
      <w:r w:rsidR="00DF3286">
        <w:t>bevacizumab</w:t>
      </w:r>
      <w:r w:rsidR="00DF3286" w:rsidRPr="007232E4">
        <w:t xml:space="preserve"> </w:t>
      </w:r>
      <w:r w:rsidRPr="007232E4">
        <w:t>em associação com quimioterapia, comparativamente a um tratamento apenas com quimioterapia.</w:t>
      </w:r>
    </w:p>
    <w:p w14:paraId="34CCB5E4" w14:textId="77777777" w:rsidR="00400398" w:rsidRPr="007232E4" w:rsidRDefault="00400398" w:rsidP="000E634D">
      <w:pPr>
        <w:outlineLvl w:val="0"/>
        <w:rPr>
          <w:iCs/>
        </w:rPr>
      </w:pPr>
    </w:p>
    <w:p w14:paraId="2C6AC764" w14:textId="77777777" w:rsidR="00400398" w:rsidRPr="001E05C2" w:rsidRDefault="00400398" w:rsidP="00EA76D9">
      <w:pPr>
        <w:keepNext/>
        <w:keepLines/>
        <w:rPr>
          <w:i/>
          <w:u w:val="single"/>
        </w:rPr>
      </w:pPr>
      <w:r w:rsidRPr="001E05C2">
        <w:rPr>
          <w:i/>
          <w:u w:val="single"/>
        </w:rPr>
        <w:lastRenderedPageBreak/>
        <w:t>Insuficiência cardíaca congestiva (ICC)</w:t>
      </w:r>
    </w:p>
    <w:p w14:paraId="17701FD2" w14:textId="77777777" w:rsidR="00400398" w:rsidRPr="007232E4" w:rsidRDefault="00400398">
      <w:pPr>
        <w:rPr>
          <w:rFonts w:eastAsia="SimSun"/>
          <w:bCs/>
          <w:iCs/>
          <w:lang w:eastAsia="zh-CN"/>
        </w:rPr>
      </w:pPr>
      <w:r w:rsidRPr="007232E4">
        <w:t xml:space="preserve">Em ensaios clínicos com </w:t>
      </w:r>
      <w:r w:rsidR="00DF3286">
        <w:t>bevacizumab</w:t>
      </w:r>
      <w:r w:rsidRPr="007232E4">
        <w:t>, observaram</w:t>
      </w:r>
      <w:r w:rsidRPr="007232E4">
        <w:noBreakHyphen/>
        <w:t xml:space="preserve">se casos de insuficiência cardíaca congestiva (ICC) em todas as indicações oncológicas estudadas até à data, mas predominantemente em doentes com cancro da mama </w:t>
      </w:r>
      <w:r w:rsidRPr="007232E4">
        <w:rPr>
          <w:rFonts w:eastAsia="SimSun"/>
          <w:szCs w:val="22"/>
          <w:lang w:eastAsia="zh-CN"/>
        </w:rPr>
        <w:t>metastizado</w:t>
      </w:r>
      <w:r w:rsidRPr="007232E4">
        <w:t xml:space="preserve">. Em quatro ensaios de fase III (AVF2119g, E2100, BO17708 e AVF3694g) realizados em doentes com cancro da mama </w:t>
      </w:r>
      <w:r w:rsidRPr="007232E4">
        <w:rPr>
          <w:rFonts w:eastAsia="SimSun"/>
          <w:szCs w:val="22"/>
          <w:lang w:eastAsia="zh-CN"/>
        </w:rPr>
        <w:t>metastizado</w:t>
      </w:r>
      <w:r w:rsidRPr="007232E4">
        <w:t xml:space="preserve"> foi notificada ICC de Grau 3 (NCI-CTCAE v.3) ou superior até 3,5% dos doentes tratados com </w:t>
      </w:r>
      <w:r w:rsidR="00DF3286">
        <w:t>bevacizumab</w:t>
      </w:r>
      <w:r w:rsidR="00DF3286" w:rsidRPr="007232E4">
        <w:t xml:space="preserve"> </w:t>
      </w:r>
      <w:r w:rsidRPr="007232E4">
        <w:t xml:space="preserve">em associação com quimioterapia, comparativamente com até 0,9% nos braços controlo. Nos doentes do estudo AVF3694g que receberam antraciclinas concomitantemente com bevacizumab, as incidências de ICC de Grau 3 ou superior nos respetivos braços controlo e bevacizumab, foram semelhantes aos de outros estudos em cancro da mama metastizado: 2,9% no braço bevacizumab + antraciclina e 0% no braço placebo + antraciclina. Adicionalmente, no estudo </w:t>
      </w:r>
      <w:r w:rsidRPr="007232E4">
        <w:rPr>
          <w:rFonts w:eastAsia="SimSun"/>
          <w:bCs/>
          <w:iCs/>
          <w:lang w:eastAsia="zh-CN"/>
        </w:rPr>
        <w:t xml:space="preserve">AVF3694g as incidências de ICC de qualquer Grau foram semelhantes entre os braços </w:t>
      </w:r>
      <w:r w:rsidR="00DF3286">
        <w:rPr>
          <w:rFonts w:eastAsia="SimSun"/>
          <w:bCs/>
          <w:iCs/>
          <w:lang w:eastAsia="zh-CN"/>
        </w:rPr>
        <w:t>bevacizumab</w:t>
      </w:r>
      <w:r w:rsidR="00DF3286" w:rsidRPr="007232E4">
        <w:rPr>
          <w:rFonts w:eastAsia="SimSun"/>
          <w:bCs/>
          <w:iCs/>
          <w:lang w:eastAsia="zh-CN"/>
        </w:rPr>
        <w:t xml:space="preserve"> </w:t>
      </w:r>
      <w:r w:rsidRPr="007232E4">
        <w:rPr>
          <w:rFonts w:eastAsia="SimSun"/>
          <w:bCs/>
          <w:iCs/>
          <w:lang w:eastAsia="zh-CN"/>
        </w:rPr>
        <w:t>+ antraciclina (6,2%) e placebo + antraciclina (6,0%).</w:t>
      </w:r>
    </w:p>
    <w:p w14:paraId="4381829F" w14:textId="77777777" w:rsidR="00400398" w:rsidRPr="007232E4" w:rsidRDefault="00400398"/>
    <w:p w14:paraId="5A7CE49A" w14:textId="77777777" w:rsidR="00400398" w:rsidRPr="007232E4" w:rsidRDefault="00400398">
      <w:r w:rsidRPr="007232E4">
        <w:t>A maioria dos doentes que desenvolveu ICC durante os ensaios no cancro da mama metastizado apresentou melhoria dos sintomas e/ou melhoria da função ventricular esquerda no seguimento de tratamento médico adequado.</w:t>
      </w:r>
    </w:p>
    <w:p w14:paraId="045AD5CB" w14:textId="77777777" w:rsidR="00400398" w:rsidRPr="007232E4" w:rsidRDefault="00400398"/>
    <w:p w14:paraId="2BC88B2A" w14:textId="77777777" w:rsidR="00400398" w:rsidRPr="007232E4" w:rsidRDefault="00400398">
      <w:r w:rsidRPr="007232E4">
        <w:t xml:space="preserve">Na maioria dos ensaios clínicos de </w:t>
      </w:r>
      <w:r w:rsidR="00DF3286">
        <w:t>bevacizumab</w:t>
      </w:r>
      <w:r w:rsidRPr="007232E4">
        <w:t>, excluíram</w:t>
      </w:r>
      <w:r w:rsidRPr="007232E4">
        <w:noBreakHyphen/>
        <w:t>se doentes com ICC das classes II</w:t>
      </w:r>
      <w:r w:rsidR="00D56114">
        <w:t>­</w:t>
      </w:r>
      <w:r w:rsidRPr="007232E4">
        <w:t>IV da NYHA (</w:t>
      </w:r>
      <w:r w:rsidRPr="007232E4">
        <w:rPr>
          <w:i/>
          <w:iCs/>
        </w:rPr>
        <w:t>New York Heart Association</w:t>
      </w:r>
      <w:r w:rsidRPr="007232E4">
        <w:t>) pré</w:t>
      </w:r>
      <w:r w:rsidRPr="007232E4">
        <w:noBreakHyphen/>
        <w:t>existente pelo que não há informação disponível sobre o risco de ICC nesta população.</w:t>
      </w:r>
    </w:p>
    <w:p w14:paraId="478F897F" w14:textId="77777777" w:rsidR="00400398" w:rsidRPr="007232E4" w:rsidRDefault="00400398"/>
    <w:p w14:paraId="689AB2AA" w14:textId="77777777" w:rsidR="00400398" w:rsidRPr="007232E4" w:rsidRDefault="00400398">
      <w:r w:rsidRPr="007232E4">
        <w:t>O tratamento prévio com antraciclinas e /ou com radiação da parede torácica podem ser fatores de risco para o desenvolvimento de ICC.</w:t>
      </w:r>
    </w:p>
    <w:p w14:paraId="11C50252" w14:textId="77777777" w:rsidR="00400398" w:rsidRPr="007232E4" w:rsidRDefault="00400398"/>
    <w:p w14:paraId="4DF6C01B" w14:textId="77777777" w:rsidR="00400398" w:rsidRPr="007232E4" w:rsidRDefault="00400398">
      <w:r w:rsidRPr="007232E4">
        <w:t>Foi observado um aumento da incidência de ICC num ensaio clínico em doentes com linfoma difuso de grandes células B, quando recebiam bevacizumab com uma dose cumulativa de doxorrubicina superior a 300 mg/m</w:t>
      </w:r>
      <w:r w:rsidRPr="007232E4">
        <w:rPr>
          <w:vertAlign w:val="superscript"/>
        </w:rPr>
        <w:t>2</w:t>
      </w:r>
      <w:r w:rsidRPr="007232E4">
        <w:t>. Este ensaio clínico de fase III comparou rituximab/ ciclofosfamida/ doxorrubicina/ vincristina/ prednisona (R-CHOP) mais bevacizumab a R-CHOP sem bevacizumab. Embora a incidência de ICC tenha sido, em ambos os braços, superior aquela observada anteriormente para a terapêutica com doxorrubicina, a taxa foi superior no braço R-CHOP mais bevacizumab. Estes resultados sugerem que deve ser considerada uma observação clínica de perto com uma avaliação cardíaca apropriada, nos doentes expostos a doses cumulativas de doxorrubicina superiores a 300 mg/m</w:t>
      </w:r>
      <w:r w:rsidRPr="007232E4">
        <w:rPr>
          <w:vertAlign w:val="superscript"/>
        </w:rPr>
        <w:t xml:space="preserve">2 </w:t>
      </w:r>
      <w:r w:rsidRPr="007232E4">
        <w:t>quando associadas com bevacizumab.</w:t>
      </w:r>
    </w:p>
    <w:p w14:paraId="0E34AE1E" w14:textId="77777777" w:rsidR="00400398" w:rsidRPr="007232E4" w:rsidRDefault="00400398"/>
    <w:p w14:paraId="1608745E" w14:textId="77777777" w:rsidR="00400398" w:rsidRPr="001E05C2" w:rsidRDefault="00400398">
      <w:pPr>
        <w:rPr>
          <w:u w:val="single"/>
        </w:rPr>
      </w:pPr>
      <w:r w:rsidRPr="001E05C2">
        <w:rPr>
          <w:i/>
          <w:u w:val="single"/>
        </w:rPr>
        <w:t>Reações de hipersensibilidade</w:t>
      </w:r>
      <w:r w:rsidR="00185520">
        <w:rPr>
          <w:i/>
          <w:u w:val="single"/>
        </w:rPr>
        <w:t xml:space="preserve"> </w:t>
      </w:r>
      <w:r w:rsidR="00185520" w:rsidRPr="00185520">
        <w:rPr>
          <w:i/>
          <w:u w:val="single"/>
        </w:rPr>
        <w:t>(incluindo choque anafilático)</w:t>
      </w:r>
      <w:r w:rsidRPr="001E05C2">
        <w:rPr>
          <w:i/>
          <w:u w:val="single"/>
        </w:rPr>
        <w:t xml:space="preserve">/reações à perfusão </w:t>
      </w:r>
      <w:r w:rsidRPr="001E05C2">
        <w:rPr>
          <w:u w:val="single"/>
        </w:rPr>
        <w:t xml:space="preserve">(ver secção 4.4 </w:t>
      </w:r>
      <w:r w:rsidR="00F659B5" w:rsidRPr="001E05C2">
        <w:rPr>
          <w:u w:val="single"/>
        </w:rPr>
        <w:t xml:space="preserve">abaixo </w:t>
      </w:r>
      <w:r w:rsidRPr="001E05C2">
        <w:rPr>
          <w:u w:val="single"/>
        </w:rPr>
        <w:t xml:space="preserve">e </w:t>
      </w:r>
      <w:r w:rsidRPr="001E05C2">
        <w:rPr>
          <w:i/>
          <w:u w:val="single"/>
        </w:rPr>
        <w:t>Experiência pós</w:t>
      </w:r>
      <w:r w:rsidRPr="001E05C2">
        <w:rPr>
          <w:i/>
          <w:u w:val="single"/>
        </w:rPr>
        <w:noBreakHyphen/>
        <w:t>comercialização</w:t>
      </w:r>
      <w:r w:rsidRPr="001E05C2">
        <w:rPr>
          <w:u w:val="single"/>
        </w:rPr>
        <w:t>)</w:t>
      </w:r>
    </w:p>
    <w:p w14:paraId="5D64E7DA" w14:textId="77777777" w:rsidR="00400398" w:rsidRPr="007232E4" w:rsidRDefault="00400398">
      <w:r w:rsidRPr="007232E4">
        <w:t xml:space="preserve">Em alguns ensaios clínicos, foram notificadas reações anafiláticas e do tipo anafilactóide mais frequentemente em doentes a receber </w:t>
      </w:r>
      <w:r w:rsidR="00DF3286">
        <w:t>bevacizumab</w:t>
      </w:r>
      <w:r w:rsidR="00DF3286" w:rsidRPr="007232E4">
        <w:t xml:space="preserve"> </w:t>
      </w:r>
      <w:r w:rsidRPr="007232E4">
        <w:t xml:space="preserve">em associação com quimioterapia do que com quimioterapia isolada. A incidência destas reações em alguns ensaios clínicos com </w:t>
      </w:r>
      <w:r w:rsidR="00DF3286">
        <w:t>bevacizumab</w:t>
      </w:r>
      <w:r w:rsidR="00DF3286" w:rsidRPr="007232E4">
        <w:t xml:space="preserve"> </w:t>
      </w:r>
      <w:r w:rsidRPr="007232E4">
        <w:t>é frequente (até 5% em doentes tratados com bevacizumab).</w:t>
      </w:r>
    </w:p>
    <w:p w14:paraId="031F8EC2" w14:textId="77777777" w:rsidR="00400398" w:rsidRDefault="00400398"/>
    <w:p w14:paraId="6CB465EA" w14:textId="77777777" w:rsidR="00400398" w:rsidRPr="001E05C2" w:rsidRDefault="00400398">
      <w:pPr>
        <w:rPr>
          <w:i/>
          <w:u w:val="single"/>
        </w:rPr>
      </w:pPr>
      <w:r w:rsidRPr="001E05C2">
        <w:rPr>
          <w:i/>
          <w:u w:val="single"/>
        </w:rPr>
        <w:t>Infeções</w:t>
      </w:r>
    </w:p>
    <w:p w14:paraId="5FB6C01D" w14:textId="77777777" w:rsidR="00400398" w:rsidRPr="00526E0A" w:rsidRDefault="00400398">
      <w:r>
        <w:t xml:space="preserve">Num ensaio clínico em doentes com cancro </w:t>
      </w:r>
      <w:r w:rsidRPr="00E92998">
        <w:t>do colo do útero</w:t>
      </w:r>
      <w:r>
        <w:t xml:space="preserve"> com doença </w:t>
      </w:r>
      <w:r w:rsidRPr="00E92998">
        <w:t>persist</w:t>
      </w:r>
      <w:r>
        <w:t xml:space="preserve">ente, recorrente ou metastizada (estudo GOG-0240), foram notificadas infeções de grau 3-5 em até 24% das doentes tratadas com </w:t>
      </w:r>
      <w:r w:rsidR="00DF3286">
        <w:t xml:space="preserve">bevacizumab </w:t>
      </w:r>
      <w:r>
        <w:t>em associação com paclitaxel e topotecano comparativamente com até 13,0% em doentes tratadas com paclitaxel e topotecano.</w:t>
      </w:r>
    </w:p>
    <w:p w14:paraId="00F4FDEB" w14:textId="77777777" w:rsidR="00400398" w:rsidRDefault="00400398"/>
    <w:p w14:paraId="51BDCAA1" w14:textId="77777777" w:rsidR="00400398" w:rsidRPr="001E05C2" w:rsidRDefault="00400398" w:rsidP="00AD5EA7">
      <w:pPr>
        <w:rPr>
          <w:u w:val="single"/>
        </w:rPr>
      </w:pPr>
      <w:r w:rsidRPr="001E05C2">
        <w:rPr>
          <w:i/>
          <w:u w:val="single"/>
        </w:rPr>
        <w:t xml:space="preserve">Insuficiência ovárica/ fertilidade </w:t>
      </w:r>
      <w:r w:rsidRPr="001E05C2">
        <w:rPr>
          <w:u w:val="single"/>
        </w:rPr>
        <w:t>(ver secções 4.4 e 4.6)</w:t>
      </w:r>
    </w:p>
    <w:p w14:paraId="79136D69" w14:textId="77777777" w:rsidR="00400398" w:rsidRPr="007232E4" w:rsidRDefault="00400398" w:rsidP="00AD5EA7">
      <w:pPr>
        <w:rPr>
          <w:rFonts w:cs="Arial"/>
          <w:szCs w:val="22"/>
          <w:lang w:eastAsia="de-CH" w:bidi="th-TH"/>
        </w:rPr>
      </w:pPr>
      <w:r w:rsidRPr="007232E4">
        <w:t xml:space="preserve">No estudo NSABP C-08, um ensaio de fase III com </w:t>
      </w:r>
      <w:r w:rsidR="00DF3286">
        <w:t>bevacizumab</w:t>
      </w:r>
      <w:r w:rsidR="00DF3286" w:rsidRPr="007232E4">
        <w:t xml:space="preserve"> </w:t>
      </w:r>
      <w:r w:rsidRPr="007232E4">
        <w:t>no tratamento adjuvante de doentes com</w:t>
      </w:r>
      <w:r w:rsidRPr="007232E4">
        <w:rPr>
          <w:rFonts w:cs="Arial"/>
          <w:szCs w:val="22"/>
          <w:lang w:eastAsia="de-CH" w:bidi="th-TH"/>
        </w:rPr>
        <w:t xml:space="preserve"> cancro do cólon, a incidência de novos casos de insuficiênca ovárica, definida como amenorreia de duração igual ou superior a 3 meses, níveis FSH </w:t>
      </w:r>
      <w:r w:rsidRPr="007232E4">
        <w:rPr>
          <w:szCs w:val="22"/>
        </w:rPr>
        <w:t xml:space="preserve">≥30 mUI/ml e um teste de gravidez </w:t>
      </w:r>
      <w:r w:rsidRPr="00C82494">
        <w:rPr>
          <w:noProof/>
        </w:rPr>
        <w:t>β</w:t>
      </w:r>
      <w:r w:rsidR="00D56114">
        <w:rPr>
          <w:szCs w:val="22"/>
        </w:rPr>
        <w:t>­</w:t>
      </w:r>
      <w:r w:rsidRPr="007232E4">
        <w:rPr>
          <w:szCs w:val="22"/>
        </w:rPr>
        <w:t>HCG sérica negativo, foi avaliada em 295 mulheres pré-menopaúsicas. F</w:t>
      </w:r>
      <w:r w:rsidRPr="007232E4">
        <w:rPr>
          <w:rFonts w:cs="Arial"/>
          <w:szCs w:val="22"/>
          <w:lang w:eastAsia="de-CH" w:bidi="th-TH"/>
        </w:rPr>
        <w:t xml:space="preserve">oram notificados novos casos de insuficiência ovárica em 2,6 % das doentes no grupo mFOLFOX-6 comparativamente com 39% no grupo mFOLFOX-6 + bevacizumab. Após a descontinuação do tratamento com bevacizumab, a função ovárica foi recuperada em 86,2% destas mulheres avaliáveis. Os efeitos a longo prazo do tratamento com bevacizumab na fertilidade são desconhecidos. </w:t>
      </w:r>
    </w:p>
    <w:p w14:paraId="79594229" w14:textId="77777777" w:rsidR="00400398" w:rsidRPr="007232E4" w:rsidRDefault="00400398" w:rsidP="00AD5EA7">
      <w:pPr>
        <w:rPr>
          <w:rFonts w:cs="Arial"/>
          <w:szCs w:val="22"/>
          <w:lang w:eastAsia="de-CH" w:bidi="th-TH"/>
        </w:rPr>
      </w:pPr>
    </w:p>
    <w:p w14:paraId="704C2A2F" w14:textId="77777777" w:rsidR="00400398" w:rsidRPr="001E05C2" w:rsidRDefault="00400398">
      <w:pPr>
        <w:keepNext/>
        <w:keepLines/>
        <w:rPr>
          <w:i/>
          <w:u w:val="single"/>
        </w:rPr>
      </w:pPr>
      <w:r w:rsidRPr="001E05C2">
        <w:rPr>
          <w:i/>
          <w:u w:val="single"/>
        </w:rPr>
        <w:lastRenderedPageBreak/>
        <w:t>Alterações laboratoriais</w:t>
      </w:r>
    </w:p>
    <w:p w14:paraId="34FB40B1" w14:textId="77777777" w:rsidR="00400398" w:rsidRDefault="00400398">
      <w:pPr>
        <w:keepNext/>
        <w:keepLines/>
      </w:pPr>
      <w:r w:rsidRPr="007232E4">
        <w:t xml:space="preserve">A diminuição do número de neutrófilos, diminuição do número de leucócitos e presença de proteínas na urina podem estar associados ao tratamento com </w:t>
      </w:r>
      <w:r w:rsidR="00DF3286">
        <w:t>bevacizumab</w:t>
      </w:r>
      <w:r w:rsidRPr="007232E4">
        <w:t>.</w:t>
      </w:r>
    </w:p>
    <w:p w14:paraId="25ED8445" w14:textId="77777777" w:rsidR="00400398" w:rsidRPr="007232E4" w:rsidRDefault="00400398" w:rsidP="00AD5EA7"/>
    <w:p w14:paraId="23F806DC" w14:textId="77777777" w:rsidR="00400398" w:rsidRPr="007232E4" w:rsidRDefault="00400398" w:rsidP="00AD5EA7">
      <w:pPr>
        <w:rPr>
          <w:szCs w:val="22"/>
        </w:rPr>
      </w:pPr>
      <w:r w:rsidRPr="007232E4">
        <w:t>No decurso dos ensaios clínicos ocorreram as seguintes alterações laboratoriais, de Grau 3 e 4 (NCI</w:t>
      </w:r>
      <w:r w:rsidR="00D56114">
        <w:t>­</w:t>
      </w:r>
      <w:r w:rsidRPr="007232E4">
        <w:t xml:space="preserve">CTCAE v.3), em doentes tratados com </w:t>
      </w:r>
      <w:r w:rsidR="00DF3286">
        <w:t>bevacizumab</w:t>
      </w:r>
      <w:r w:rsidRPr="007232E4">
        <w:t>, com pelo menos uma diferença de 2% comparativamente aos grupos controlo correspondentes:</w:t>
      </w:r>
      <w:r w:rsidRPr="007232E4">
        <w:rPr>
          <w:szCs w:val="22"/>
        </w:rPr>
        <w:t xml:space="preserve"> hiperglicemia, hemoglobina diminuída, hipocaliemia, hiponatremia, diminuição do número de glóbulos brancos, índice normalizado internacional (INR) aumentado.</w:t>
      </w:r>
    </w:p>
    <w:p w14:paraId="7D2BFDCF" w14:textId="77777777" w:rsidR="00400398" w:rsidRDefault="00400398" w:rsidP="00AD5EA7">
      <w:pPr>
        <w:rPr>
          <w:b/>
          <w:i/>
        </w:rPr>
      </w:pPr>
    </w:p>
    <w:p w14:paraId="1BB4F0E0" w14:textId="77777777" w:rsidR="001C0FF8" w:rsidRPr="00C31105" w:rsidRDefault="001C0FF8" w:rsidP="00AD5EA7">
      <w:pPr>
        <w:rPr>
          <w:szCs w:val="22"/>
        </w:rPr>
      </w:pPr>
      <w:r w:rsidRPr="00C31105">
        <w:rPr>
          <w:szCs w:val="22"/>
        </w:rPr>
        <w:t xml:space="preserve">Os ensaios clínicos demonstraram que aumentos transientes de creatinina sérica (com intervalos entre 1,5-1,9 vezes </w:t>
      </w:r>
      <w:r w:rsidR="00A22A1A" w:rsidRPr="00C31105">
        <w:rPr>
          <w:szCs w:val="22"/>
        </w:rPr>
        <w:t>o valor d</w:t>
      </w:r>
      <w:r w:rsidRPr="00C31105">
        <w:rPr>
          <w:szCs w:val="22"/>
        </w:rPr>
        <w:t xml:space="preserve">a linha de base), com e sem proteinúria, estão associados ao uso de </w:t>
      </w:r>
      <w:r w:rsidR="00DF3286">
        <w:rPr>
          <w:szCs w:val="22"/>
        </w:rPr>
        <w:t>bevacizumab</w:t>
      </w:r>
      <w:r w:rsidRPr="00C31105">
        <w:rPr>
          <w:szCs w:val="22"/>
        </w:rPr>
        <w:t xml:space="preserve">. Em doentes tratados com </w:t>
      </w:r>
      <w:r w:rsidR="00DF3286">
        <w:rPr>
          <w:szCs w:val="22"/>
        </w:rPr>
        <w:t>bevacizumab</w:t>
      </w:r>
      <w:r w:rsidRPr="00C31105">
        <w:rPr>
          <w:szCs w:val="22"/>
        </w:rPr>
        <w:t>, o aumento observado de creatinina sérica não foi associado a um aumento da incidência de manifestações clínicas de compromisso renal.</w:t>
      </w:r>
    </w:p>
    <w:p w14:paraId="078992D3" w14:textId="77777777" w:rsidR="001C0FF8" w:rsidRPr="007232E4" w:rsidRDefault="001C0FF8" w:rsidP="00AD5EA7">
      <w:pPr>
        <w:rPr>
          <w:b/>
          <w:i/>
        </w:rPr>
      </w:pPr>
    </w:p>
    <w:p w14:paraId="43D26D23" w14:textId="77777777" w:rsidR="00400398" w:rsidRPr="00730542" w:rsidRDefault="00400398">
      <w:pPr>
        <w:keepNext/>
        <w:keepLines/>
        <w:rPr>
          <w:u w:val="single"/>
        </w:rPr>
      </w:pPr>
      <w:r w:rsidRPr="00730542">
        <w:rPr>
          <w:u w:val="single"/>
        </w:rPr>
        <w:t>Outras populações especiais</w:t>
      </w:r>
    </w:p>
    <w:p w14:paraId="7AB1B24D" w14:textId="77777777" w:rsidR="00400398" w:rsidRPr="00DF467A" w:rsidRDefault="00400398">
      <w:pPr>
        <w:keepNext/>
        <w:keepLines/>
      </w:pPr>
    </w:p>
    <w:p w14:paraId="0E1224F8" w14:textId="77777777" w:rsidR="00400398" w:rsidRPr="001E05C2" w:rsidRDefault="00400398">
      <w:pPr>
        <w:keepNext/>
        <w:keepLines/>
        <w:rPr>
          <w:i/>
          <w:u w:val="single"/>
        </w:rPr>
      </w:pPr>
      <w:r w:rsidRPr="001E05C2">
        <w:rPr>
          <w:i/>
          <w:u w:val="single"/>
        </w:rPr>
        <w:t xml:space="preserve">Doentes idosos </w:t>
      </w:r>
    </w:p>
    <w:p w14:paraId="6920EE45" w14:textId="77777777" w:rsidR="00400398" w:rsidRPr="007232E4" w:rsidRDefault="00400398" w:rsidP="003117CF">
      <w:r w:rsidRPr="007232E4">
        <w:t xml:space="preserve">Em ensaios clínicos aleatorizados o tratamento de doentes com idade &gt; 65 anos, esteve associado a um risco aumentado de desenvolvimento de reações tromboembólicas arteriais incluindo acidentes vasculares cerebrais (AVCs), acidentes isquémicos transitórios (AITs) e enfartes do miocárdio (EMs). Outras reações observadas com uma frequência superior em doentes com mais de 65 anos foram: leucopenia e trombocitopenia de Grau 3-4 (NCI-CTCAE v.3), neutropenia, diarreia, náuseas, cefaleia e fadiga de todos os Graus, comparativamente com as observadas em doentes com idade ≤ 65 anos quando tratados com </w:t>
      </w:r>
      <w:r w:rsidR="00DF3286">
        <w:t>bevacizumab</w:t>
      </w:r>
      <w:r w:rsidR="00DF3286" w:rsidRPr="007232E4">
        <w:t xml:space="preserve"> </w:t>
      </w:r>
      <w:r w:rsidRPr="007232E4">
        <w:t xml:space="preserve">(ver secções 4.4 e 4.8 em </w:t>
      </w:r>
      <w:r w:rsidRPr="007232E4">
        <w:rPr>
          <w:i/>
        </w:rPr>
        <w:t>Tromboembolismo</w:t>
      </w:r>
      <w:r w:rsidRPr="007232E4">
        <w:t>). Em um ensaio clínico a incidência de hipertensão Grau ≥ 3 foi duas vezes maior em doentes &gt; 65 anos de idade do que no grupo de doentes mais jovens (&lt; 65 anos).</w:t>
      </w:r>
      <w:r>
        <w:t xml:space="preserve"> Num estudo com doentes com cancro do ovário recorrente resistente a </w:t>
      </w:r>
      <w:r w:rsidR="00233EB7">
        <w:t>platina</w:t>
      </w:r>
      <w:r>
        <w:t xml:space="preserve">, foram também notificadas alopécia, inflamação da mucosa, neuropatia sensorial periférica, proteinúria e hipertensão e ocorreram a uma taxa pelo menos 5% superior no braço de QT + BV para os doentes com </w:t>
      </w:r>
      <w:r w:rsidRPr="003117CF">
        <w:t xml:space="preserve">idade </w:t>
      </w:r>
      <w:r>
        <w:rPr>
          <w:noProof/>
          <w:szCs w:val="22"/>
        </w:rPr>
        <w:sym w:font="Symbol" w:char="F0B3"/>
      </w:r>
      <w:r w:rsidRPr="003117CF">
        <w:t xml:space="preserve"> 65 anos </w:t>
      </w:r>
      <w:r>
        <w:t xml:space="preserve">tratados com bevacizumab, comparativamente com doentes com idade </w:t>
      </w:r>
      <w:r w:rsidRPr="007232E4">
        <w:t>&lt;</w:t>
      </w:r>
      <w:r w:rsidR="00DF3286">
        <w:t> </w:t>
      </w:r>
      <w:r w:rsidRPr="007232E4">
        <w:t>65</w:t>
      </w:r>
      <w:r w:rsidR="00DF3286">
        <w:t> </w:t>
      </w:r>
      <w:r w:rsidRPr="007232E4">
        <w:t xml:space="preserve">anos tratados com </w:t>
      </w:r>
      <w:r>
        <w:t>bevacizumab</w:t>
      </w:r>
      <w:r w:rsidRPr="007232E4">
        <w:t xml:space="preserve">. </w:t>
      </w:r>
    </w:p>
    <w:p w14:paraId="2F61C567" w14:textId="77777777" w:rsidR="00400398" w:rsidRPr="007232E4" w:rsidRDefault="00400398">
      <w:r w:rsidRPr="007232E4">
        <w:t>Não foi observado um aumento da incidência de outras reações, incluindo perfuração gastrointestinal, complicações na cicatrização de feridas, insuficiência cardíaca congestiva e hemorragia em doentes idosos (&gt; 65 anos)</w:t>
      </w:r>
      <w:r w:rsidR="00B107E6">
        <w:t xml:space="preserve"> tratados com bevacizumab</w:t>
      </w:r>
      <w:r w:rsidRPr="007232E4">
        <w:t xml:space="preserve">, comparativamente com doentes com idade </w:t>
      </w:r>
      <w:r w:rsidRPr="007232E4">
        <w:rPr>
          <w:szCs w:val="22"/>
        </w:rPr>
        <w:sym w:font="Symbol" w:char="F0A3"/>
      </w:r>
      <w:r w:rsidRPr="007232E4">
        <w:t xml:space="preserve">65 anos tratados com </w:t>
      </w:r>
      <w:r w:rsidR="0059729D">
        <w:t>bevacizumab</w:t>
      </w:r>
      <w:r w:rsidRPr="007232E4">
        <w:t xml:space="preserve">. </w:t>
      </w:r>
    </w:p>
    <w:p w14:paraId="54DECF51" w14:textId="77777777" w:rsidR="00400398" w:rsidRPr="007232E4" w:rsidRDefault="00400398"/>
    <w:p w14:paraId="02C43A89" w14:textId="77777777" w:rsidR="00400398" w:rsidRPr="001E05C2" w:rsidRDefault="00400398">
      <w:pPr>
        <w:rPr>
          <w:i/>
          <w:u w:val="single"/>
        </w:rPr>
      </w:pPr>
      <w:r w:rsidRPr="001E05C2">
        <w:rPr>
          <w:i/>
          <w:u w:val="single"/>
        </w:rPr>
        <w:t>População pediátrica</w:t>
      </w:r>
    </w:p>
    <w:p w14:paraId="3D0640A8" w14:textId="77777777" w:rsidR="00502AA2" w:rsidRDefault="00400398">
      <w:r w:rsidRPr="007232E4">
        <w:t xml:space="preserve">A segurança </w:t>
      </w:r>
      <w:r w:rsidR="00502AA2">
        <w:t xml:space="preserve">e eficácia </w:t>
      </w:r>
      <w:r w:rsidRPr="007232E4">
        <w:t xml:space="preserve">de </w:t>
      </w:r>
      <w:r w:rsidR="0059729D">
        <w:t>bevacizumab</w:t>
      </w:r>
      <w:r w:rsidR="0059729D" w:rsidRPr="007232E4">
        <w:t xml:space="preserve"> </w:t>
      </w:r>
      <w:r w:rsidRPr="007232E4">
        <w:t xml:space="preserve">em crianças </w:t>
      </w:r>
      <w:r w:rsidR="00502AA2">
        <w:t>com menos de 18 anos de idade</w:t>
      </w:r>
      <w:r w:rsidRPr="007232E4">
        <w:t xml:space="preserve"> não fo</w:t>
      </w:r>
      <w:r w:rsidR="00502AA2">
        <w:t>ram</w:t>
      </w:r>
      <w:r w:rsidRPr="007232E4">
        <w:t xml:space="preserve"> estabelecida</w:t>
      </w:r>
      <w:r w:rsidR="00502AA2">
        <w:t>s</w:t>
      </w:r>
      <w:r w:rsidRPr="007232E4">
        <w:t>.</w:t>
      </w:r>
      <w:r w:rsidR="00965E1A">
        <w:t xml:space="preserve"> </w:t>
      </w:r>
    </w:p>
    <w:p w14:paraId="33EB514A" w14:textId="77777777" w:rsidR="00502AA2" w:rsidRDefault="00502AA2"/>
    <w:p w14:paraId="659A4FB5" w14:textId="77777777" w:rsidR="00C85A0A" w:rsidRDefault="00C85A0A">
      <w:r>
        <w:t xml:space="preserve">No estudo </w:t>
      </w:r>
      <w:r w:rsidRPr="00630FB8">
        <w:t xml:space="preserve">BO25041 de </w:t>
      </w:r>
      <w:r w:rsidR="00A34357">
        <w:t xml:space="preserve">associação de </w:t>
      </w:r>
      <w:r w:rsidR="0059729D">
        <w:t>bevacizumab</w:t>
      </w:r>
      <w:r w:rsidR="0059729D" w:rsidRPr="00630FB8">
        <w:t xml:space="preserve"> </w:t>
      </w:r>
      <w:r w:rsidR="00002E35">
        <w:t>à</w:t>
      </w:r>
      <w:r w:rsidR="00A34357">
        <w:t xml:space="preserve"> </w:t>
      </w:r>
      <w:r w:rsidR="00FA6F24" w:rsidRPr="00630FB8">
        <w:t>radioterapia</w:t>
      </w:r>
      <w:r w:rsidR="00FA6F24" w:rsidRPr="001C7ECB">
        <w:t xml:space="preserve"> (RT)</w:t>
      </w:r>
      <w:r w:rsidRPr="00630FB8">
        <w:t xml:space="preserve"> p</w:t>
      </w:r>
      <w:r w:rsidR="00FA6F24" w:rsidRPr="00630FB8">
        <w:t>ós-operató</w:t>
      </w:r>
      <w:r w:rsidRPr="00630FB8">
        <w:t>ri</w:t>
      </w:r>
      <w:r w:rsidR="00A87CA3">
        <w:t>a</w:t>
      </w:r>
      <w:r w:rsidRPr="00630FB8">
        <w:t xml:space="preserve"> com temozolomida concomitante e adjuvante</w:t>
      </w:r>
      <w:r>
        <w:t xml:space="preserve"> em doentes pediátricos com glioma</w:t>
      </w:r>
      <w:r w:rsidR="003A6611">
        <w:t>s</w:t>
      </w:r>
      <w:r>
        <w:t xml:space="preserve"> de alto grau</w:t>
      </w:r>
      <w:r w:rsidR="003A6611">
        <w:t>,</w:t>
      </w:r>
      <w:r w:rsidR="001C7ECB">
        <w:t xml:space="preserve"> </w:t>
      </w:r>
      <w:r w:rsidR="003A6611">
        <w:t xml:space="preserve">supratentoriais, infratentoriais, cerebelosos ou </w:t>
      </w:r>
      <w:r w:rsidR="00A87CA3" w:rsidRPr="00630FB8">
        <w:t>peduncular</w:t>
      </w:r>
      <w:r w:rsidR="003A6611">
        <w:t>es</w:t>
      </w:r>
      <w:r w:rsidR="00220638" w:rsidRPr="00630FB8">
        <w:t>,</w:t>
      </w:r>
      <w:r w:rsidR="003A6611">
        <w:t xml:space="preserve"> recentemente diagnosticados,</w:t>
      </w:r>
      <w:r w:rsidR="00220638" w:rsidRPr="00630FB8">
        <w:t xml:space="preserve"> </w:t>
      </w:r>
      <w:r>
        <w:t xml:space="preserve">o perfil de segurança foi comparável </w:t>
      </w:r>
      <w:r w:rsidR="00A34357">
        <w:t>a</w:t>
      </w:r>
      <w:r>
        <w:t xml:space="preserve">o observado noutros tipos de tumores em adultos tratados com </w:t>
      </w:r>
      <w:r w:rsidR="0059729D">
        <w:t>bevacizumab</w:t>
      </w:r>
      <w:r>
        <w:t>.</w:t>
      </w:r>
    </w:p>
    <w:p w14:paraId="6BF0CC0F" w14:textId="77777777" w:rsidR="00FA6F24" w:rsidRDefault="00FA6F24"/>
    <w:p w14:paraId="0FD15E94" w14:textId="77777777" w:rsidR="00502AA2" w:rsidRDefault="00502AA2">
      <w:r>
        <w:t xml:space="preserve">No estudo BO20924 </w:t>
      </w:r>
      <w:r w:rsidR="00B11D96">
        <w:t>que associou</w:t>
      </w:r>
      <w:r>
        <w:t xml:space="preserve"> </w:t>
      </w:r>
      <w:r w:rsidR="0059729D">
        <w:t xml:space="preserve">o bevacizumab </w:t>
      </w:r>
      <w:r w:rsidR="00B11D96">
        <w:t>ao</w:t>
      </w:r>
      <w:r>
        <w:t xml:space="preserve"> </w:t>
      </w:r>
      <w:r w:rsidR="00E81A51">
        <w:t>atual</w:t>
      </w:r>
      <w:r>
        <w:t xml:space="preserve"> </w:t>
      </w:r>
      <w:r w:rsidRPr="00AE5936">
        <w:t>tratamento padrão</w:t>
      </w:r>
      <w:r w:rsidR="001F3F77">
        <w:t xml:space="preserve"> no</w:t>
      </w:r>
      <w:r>
        <w:t xml:space="preserve"> rabdomiossarcoma e sarcoma dos tecidos moles não-rabdomiossarcoma</w:t>
      </w:r>
      <w:r w:rsidR="00BA4189">
        <w:t xml:space="preserve"> metastizados</w:t>
      </w:r>
      <w:r w:rsidR="000727C1">
        <w:t xml:space="preserve">, o perfil de segurança nas crianças tratadas com </w:t>
      </w:r>
      <w:r w:rsidR="0059729D">
        <w:t xml:space="preserve">bevacizumab </w:t>
      </w:r>
      <w:r w:rsidR="000727C1">
        <w:t xml:space="preserve">foi comparável com o observado nos adultos tratados com </w:t>
      </w:r>
      <w:r w:rsidR="0059729D">
        <w:t>bevacizumab</w:t>
      </w:r>
      <w:r w:rsidR="000727C1">
        <w:t>.</w:t>
      </w:r>
    </w:p>
    <w:p w14:paraId="6E260272" w14:textId="77777777" w:rsidR="00502AA2" w:rsidRDefault="00502AA2"/>
    <w:p w14:paraId="4338AF79" w14:textId="77777777" w:rsidR="00064B6A" w:rsidRPr="00064B6A" w:rsidRDefault="0059729D">
      <w:pPr>
        <w:rPr>
          <w:i/>
        </w:rPr>
      </w:pPr>
      <w:r>
        <w:t xml:space="preserve">O bevacizumab </w:t>
      </w:r>
      <w:r w:rsidR="006C6CAA">
        <w:t>não está</w:t>
      </w:r>
      <w:r w:rsidR="00064B6A">
        <w:t xml:space="preserve"> aprovado para utilização em doentes com idade inferior a 18 anos. </w:t>
      </w:r>
      <w:r w:rsidR="000F76E9">
        <w:t>Em</w:t>
      </w:r>
      <w:r w:rsidR="00064B6A">
        <w:t xml:space="preserve"> </w:t>
      </w:r>
      <w:r w:rsidR="000F76E9" w:rsidRPr="00286CE0">
        <w:t>casos</w:t>
      </w:r>
      <w:r w:rsidR="00064B6A">
        <w:t xml:space="preserve"> publicados na literatura, foram observados casos de osteonecrose não-mandibular em doentes com idade inferior a 18 anos tratados com </w:t>
      </w:r>
      <w:r>
        <w:t>bevacizumab</w:t>
      </w:r>
      <w:r w:rsidR="00FA6F24">
        <w:t>.</w:t>
      </w:r>
    </w:p>
    <w:p w14:paraId="70B089B3" w14:textId="77777777" w:rsidR="00400398" w:rsidRPr="007232E4" w:rsidRDefault="00400398"/>
    <w:p w14:paraId="3F9F8293" w14:textId="77777777" w:rsidR="00400398" w:rsidRPr="000603E8" w:rsidRDefault="00400398" w:rsidP="005E5EAA">
      <w:pPr>
        <w:keepNext/>
        <w:keepLines/>
        <w:rPr>
          <w:szCs w:val="22"/>
          <w:u w:val="single"/>
        </w:rPr>
      </w:pPr>
      <w:r w:rsidRPr="000603E8">
        <w:rPr>
          <w:szCs w:val="22"/>
          <w:u w:val="single"/>
        </w:rPr>
        <w:lastRenderedPageBreak/>
        <w:t>Experiência pós</w:t>
      </w:r>
      <w:r w:rsidRPr="000603E8">
        <w:rPr>
          <w:szCs w:val="22"/>
          <w:u w:val="single"/>
        </w:rPr>
        <w:noBreakHyphen/>
        <w:t xml:space="preserve">comercialização </w:t>
      </w:r>
    </w:p>
    <w:p w14:paraId="656126A1" w14:textId="77777777" w:rsidR="00400398" w:rsidRPr="007232E4" w:rsidRDefault="00400398">
      <w:pPr>
        <w:keepNext/>
      </w:pPr>
    </w:p>
    <w:p w14:paraId="5B13D789" w14:textId="77777777" w:rsidR="00400398" w:rsidRPr="007232E4" w:rsidRDefault="00400398" w:rsidP="00654891">
      <w:pPr>
        <w:keepNext/>
        <w:ind w:left="1418" w:hanging="1418"/>
        <w:rPr>
          <w:rStyle w:val="HdTab1Char"/>
          <w:rFonts w:ascii="Times New Roman" w:hAnsi="Times New Roman"/>
          <w:sz w:val="22"/>
          <w:szCs w:val="22"/>
          <w:lang w:val="pt-PT"/>
        </w:rPr>
      </w:pPr>
      <w:r w:rsidRPr="007232E4">
        <w:rPr>
          <w:rStyle w:val="HdTab1Char"/>
          <w:rFonts w:ascii="Times New Roman" w:eastAsia="MS Mincho" w:hAnsi="Times New Roman"/>
          <w:sz w:val="22"/>
          <w:szCs w:val="22"/>
          <w:lang w:val="pt-PT"/>
        </w:rPr>
        <w:t>Tabela </w:t>
      </w:r>
      <w:r>
        <w:rPr>
          <w:rStyle w:val="HdTab1Char"/>
          <w:rFonts w:ascii="Times New Roman" w:eastAsia="MS Mincho" w:hAnsi="Times New Roman"/>
          <w:sz w:val="22"/>
          <w:szCs w:val="22"/>
          <w:lang w:val="pt-PT"/>
        </w:rPr>
        <w:t>3</w:t>
      </w:r>
      <w:r w:rsidRPr="007232E4">
        <w:rPr>
          <w:rStyle w:val="HdTab1Char"/>
          <w:rFonts w:ascii="Times New Roman" w:hAnsi="Times New Roman"/>
          <w:sz w:val="22"/>
          <w:szCs w:val="22"/>
          <w:lang w:val="pt-PT"/>
        </w:rPr>
        <w:tab/>
        <w:t>Reações adversas notificadas em ambiente pós</w:t>
      </w:r>
      <w:r w:rsidRPr="007232E4">
        <w:rPr>
          <w:rStyle w:val="HdTab1Char"/>
          <w:rFonts w:ascii="Times New Roman" w:hAnsi="Times New Roman"/>
          <w:sz w:val="22"/>
          <w:szCs w:val="22"/>
          <w:lang w:val="pt-PT"/>
        </w:rPr>
        <w:noBreakHyphen/>
        <w:t>comercialização</w:t>
      </w:r>
    </w:p>
    <w:tbl>
      <w:tblPr>
        <w:tblW w:w="0" w:type="auto"/>
        <w:tblInd w:w="228" w:type="dxa"/>
        <w:tblCellMar>
          <w:left w:w="0" w:type="dxa"/>
          <w:right w:w="0" w:type="dxa"/>
        </w:tblCellMar>
        <w:tblLook w:val="0000" w:firstRow="0" w:lastRow="0" w:firstColumn="0" w:lastColumn="0" w:noHBand="0" w:noVBand="0"/>
      </w:tblPr>
      <w:tblGrid>
        <w:gridCol w:w="2280"/>
        <w:gridCol w:w="6480"/>
      </w:tblGrid>
      <w:tr w:rsidR="00400398" w:rsidRPr="00215594" w14:paraId="3CD15E67" w14:textId="77777777">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4095F0" w14:textId="77777777" w:rsidR="00400398" w:rsidRPr="001E05C2" w:rsidRDefault="00400398" w:rsidP="00654891">
            <w:pPr>
              <w:keepNext/>
              <w:spacing w:before="120" w:after="120"/>
              <w:jc w:val="center"/>
              <w:rPr>
                <w:b/>
                <w:szCs w:val="22"/>
              </w:rPr>
            </w:pPr>
            <w:r w:rsidRPr="001E05C2">
              <w:rPr>
                <w:b/>
                <w:szCs w:val="22"/>
              </w:rPr>
              <w:t>Classes de sistemas de órgãos (SOC)</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C4D2A1" w14:textId="77777777" w:rsidR="00400398" w:rsidRPr="001E05C2" w:rsidRDefault="00400398" w:rsidP="00711068">
            <w:pPr>
              <w:keepNext/>
              <w:spacing w:before="120" w:after="120"/>
              <w:jc w:val="center"/>
              <w:rPr>
                <w:b/>
                <w:szCs w:val="22"/>
              </w:rPr>
            </w:pPr>
            <w:r w:rsidRPr="001E05C2">
              <w:rPr>
                <w:b/>
                <w:szCs w:val="22"/>
              </w:rPr>
              <w:t>Reações (frequência*)</w:t>
            </w:r>
          </w:p>
        </w:tc>
      </w:tr>
      <w:tr w:rsidR="00400398" w:rsidRPr="00215594" w14:paraId="2EE4A1B2" w14:textId="77777777" w:rsidTr="000D6311">
        <w:trPr>
          <w:trHeight w:val="949"/>
        </w:trPr>
        <w:tc>
          <w:tcPr>
            <w:tcW w:w="228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71F6F42" w14:textId="77777777" w:rsidR="00400398" w:rsidRPr="001E05C2" w:rsidRDefault="00400398" w:rsidP="000D6311">
            <w:pPr>
              <w:keepNext/>
              <w:spacing w:before="120" w:after="120"/>
              <w:jc w:val="center"/>
              <w:rPr>
                <w:noProof/>
              </w:rPr>
            </w:pPr>
            <w:r w:rsidRPr="001E05C2">
              <w:rPr>
                <w:noProof/>
              </w:rPr>
              <w:t>Infeções e infestações</w:t>
            </w:r>
          </w:p>
        </w:tc>
        <w:tc>
          <w:tcPr>
            <w:tcW w:w="648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BFC08A7" w14:textId="77777777" w:rsidR="00400398" w:rsidRPr="00215594" w:rsidRDefault="00400398" w:rsidP="000D6311">
            <w:pPr>
              <w:keepNext/>
              <w:tabs>
                <w:tab w:val="left" w:pos="9356"/>
              </w:tabs>
              <w:autoSpaceDE w:val="0"/>
              <w:autoSpaceDN w:val="0"/>
              <w:adjustRightInd w:val="0"/>
              <w:rPr>
                <w:szCs w:val="22"/>
              </w:rPr>
            </w:pPr>
            <w:r w:rsidRPr="00215594">
              <w:t>Fasciite necrotizante, normalmente secundária a complicações na cicatrização de feridas, perfuração gastrointestinal ou formação de fístulas (rara) (ver também secção 4.4)</w:t>
            </w:r>
          </w:p>
        </w:tc>
      </w:tr>
      <w:tr w:rsidR="00400398" w:rsidRPr="00215594" w14:paraId="0D9485B2" w14:textId="77777777" w:rsidTr="000D6311">
        <w:trPr>
          <w:trHeight w:val="1678"/>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BF7E4" w14:textId="77777777" w:rsidR="00400398" w:rsidRPr="001E05C2" w:rsidRDefault="00400398" w:rsidP="000D6311">
            <w:pPr>
              <w:keepNext/>
              <w:spacing w:before="120" w:after="120"/>
              <w:jc w:val="center"/>
              <w:rPr>
                <w:szCs w:val="22"/>
              </w:rPr>
            </w:pPr>
            <w:r w:rsidRPr="001E05C2">
              <w:rPr>
                <w:noProof/>
              </w:rPr>
              <w:t>Doenças do sistema imunitário</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01B195" w14:textId="1EB9B6D0" w:rsidR="00400398" w:rsidRDefault="00400398" w:rsidP="00A12A61">
            <w:pPr>
              <w:keepNext/>
              <w:tabs>
                <w:tab w:val="left" w:pos="9356"/>
              </w:tabs>
              <w:autoSpaceDE w:val="0"/>
              <w:autoSpaceDN w:val="0"/>
              <w:adjustRightInd w:val="0"/>
              <w:rPr>
                <w:szCs w:val="22"/>
              </w:rPr>
            </w:pPr>
            <w:r w:rsidRPr="00215594">
              <w:t>Reações de hipersensibilidade e reações à perfusão</w:t>
            </w:r>
            <w:r w:rsidRPr="00215594">
              <w:rPr>
                <w:szCs w:val="22"/>
              </w:rPr>
              <w:t xml:space="preserve"> (</w:t>
            </w:r>
            <w:r w:rsidR="00185520">
              <w:t>frequente</w:t>
            </w:r>
            <w:r w:rsidRPr="00215594">
              <w:rPr>
                <w:szCs w:val="22"/>
              </w:rPr>
              <w:t>); com as seguintes comanifestações possíveis: dispneia/dificuldade respiratória, rubor/vermelhidão/erupção cutânea,</w:t>
            </w:r>
            <w:r w:rsidRPr="00215594">
              <w:rPr>
                <w:i/>
                <w:szCs w:val="22"/>
              </w:rPr>
              <w:t xml:space="preserve"> </w:t>
            </w:r>
            <w:r w:rsidRPr="00215594">
              <w:rPr>
                <w:szCs w:val="22"/>
              </w:rPr>
              <w:t xml:space="preserve">hipotensão ou hipertensão, dessaturação de oxigénio, dor torácica, arrepios e náuseas/vómitos (ver também secção 4.4 e </w:t>
            </w:r>
            <w:r w:rsidRPr="00215594">
              <w:rPr>
                <w:i/>
              </w:rPr>
              <w:t>Reações de hipersensibilidade</w:t>
            </w:r>
            <w:r w:rsidR="00096F93">
              <w:rPr>
                <w:i/>
              </w:rPr>
              <w:t xml:space="preserve"> (incluindo choque anafilático)</w:t>
            </w:r>
            <w:r w:rsidRPr="00215594">
              <w:rPr>
                <w:i/>
              </w:rPr>
              <w:t>/reações à perfusão</w:t>
            </w:r>
            <w:r w:rsidRPr="00215594">
              <w:rPr>
                <w:szCs w:val="22"/>
              </w:rPr>
              <w:t xml:space="preserve"> acima)</w:t>
            </w:r>
          </w:p>
          <w:p w14:paraId="2C066D1C" w14:textId="77777777" w:rsidR="00185520" w:rsidRPr="00215594" w:rsidRDefault="00185520" w:rsidP="00A12A61">
            <w:pPr>
              <w:keepNext/>
              <w:tabs>
                <w:tab w:val="left" w:pos="9356"/>
              </w:tabs>
              <w:autoSpaceDE w:val="0"/>
              <w:autoSpaceDN w:val="0"/>
              <w:adjustRightInd w:val="0"/>
              <w:rPr>
                <w:szCs w:val="22"/>
              </w:rPr>
            </w:pPr>
            <w:r>
              <w:rPr>
                <w:lang w:val="en-US"/>
              </w:rPr>
              <w:t>Choque anafilático (raro) (ver também a secção 4.4)</w:t>
            </w:r>
          </w:p>
        </w:tc>
      </w:tr>
      <w:tr w:rsidR="00400398" w:rsidRPr="00215594" w14:paraId="1C5392E9"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D9ABD3" w14:textId="77777777" w:rsidR="00400398" w:rsidRPr="001E05C2" w:rsidRDefault="00400398" w:rsidP="00654891">
            <w:pPr>
              <w:keepNext/>
              <w:spacing w:before="120" w:after="120"/>
              <w:jc w:val="center"/>
              <w:rPr>
                <w:szCs w:val="22"/>
              </w:rPr>
            </w:pPr>
            <w:r w:rsidRPr="001E05C2">
              <w:rPr>
                <w:szCs w:val="22"/>
              </w:rPr>
              <w:t>Doenças do sistema nervoso</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5AA16CEE" w14:textId="77777777" w:rsidR="00400398" w:rsidRPr="00215594" w:rsidRDefault="00400398" w:rsidP="00654891">
            <w:pPr>
              <w:keepNext/>
              <w:spacing w:before="120" w:after="120"/>
              <w:rPr>
                <w:szCs w:val="22"/>
              </w:rPr>
            </w:pPr>
            <w:r w:rsidRPr="00215594">
              <w:rPr>
                <w:szCs w:val="22"/>
              </w:rPr>
              <w:t xml:space="preserve">Encefalopatia hipertensiva (muito raro) (ver também secção 4.4 e </w:t>
            </w:r>
            <w:r w:rsidRPr="00215594">
              <w:rPr>
                <w:i/>
                <w:szCs w:val="22"/>
              </w:rPr>
              <w:t>Hipertensão</w:t>
            </w:r>
            <w:r w:rsidRPr="00215594">
              <w:rPr>
                <w:szCs w:val="22"/>
              </w:rPr>
              <w:t xml:space="preserve"> na secção</w:t>
            </w:r>
            <w:r w:rsidRPr="00215594">
              <w:rPr>
                <w:i/>
                <w:szCs w:val="22"/>
              </w:rPr>
              <w:t xml:space="preserve"> </w:t>
            </w:r>
            <w:r w:rsidRPr="00215594">
              <w:rPr>
                <w:szCs w:val="22"/>
              </w:rPr>
              <w:t>4.8).</w:t>
            </w:r>
          </w:p>
          <w:p w14:paraId="7DDCD7E6" w14:textId="77777777" w:rsidR="00400398" w:rsidRPr="00215594" w:rsidRDefault="00400398" w:rsidP="00654891">
            <w:pPr>
              <w:keepNext/>
              <w:spacing w:before="120" w:after="120"/>
              <w:rPr>
                <w:szCs w:val="22"/>
              </w:rPr>
            </w:pPr>
            <w:r w:rsidRPr="00215594">
              <w:t xml:space="preserve">Síndrome de Encefalopatia Posterior Reversível </w:t>
            </w:r>
            <w:r w:rsidR="00344C29" w:rsidRPr="00215594">
              <w:t xml:space="preserve">(SEPR), </w:t>
            </w:r>
            <w:r w:rsidRPr="00215594">
              <w:rPr>
                <w:szCs w:val="22"/>
              </w:rPr>
              <w:t>(raro) (ver também a secção 4.4).</w:t>
            </w:r>
          </w:p>
        </w:tc>
      </w:tr>
      <w:tr w:rsidR="00400398" w:rsidRPr="00215594" w14:paraId="313BB3B0"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37ADF7" w14:textId="77777777" w:rsidR="00400398" w:rsidRPr="001E05C2" w:rsidRDefault="00400398" w:rsidP="00654891">
            <w:pPr>
              <w:keepNext/>
              <w:spacing w:before="120" w:after="120"/>
              <w:jc w:val="center"/>
              <w:rPr>
                <w:rFonts w:eastAsia="SimSun"/>
                <w:szCs w:val="22"/>
                <w:lang w:eastAsia="zh-CN"/>
              </w:rPr>
            </w:pPr>
            <w:r w:rsidRPr="001E05C2">
              <w:rPr>
                <w:szCs w:val="22"/>
              </w:rPr>
              <w:t>Vasculopatias</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6C19B4D8" w14:textId="77777777" w:rsidR="00400398" w:rsidRPr="00215594" w:rsidRDefault="00400398" w:rsidP="00270AF0">
            <w:pPr>
              <w:keepNext/>
              <w:spacing w:before="120" w:after="120"/>
              <w:rPr>
                <w:szCs w:val="22"/>
              </w:rPr>
            </w:pPr>
            <w:r w:rsidRPr="00215594">
              <w:rPr>
                <w:szCs w:val="22"/>
              </w:rPr>
              <w:t xml:space="preserve">Microangiopatia trombótica renal, que pode manifestar-se clinicamente por proteinúria (desconhecida) com ou sem utilização concomitante de sunitinib. Para mais informação sobre proteinúria ver secção 4.4 e </w:t>
            </w:r>
            <w:r w:rsidRPr="00215594">
              <w:rPr>
                <w:i/>
                <w:szCs w:val="22"/>
              </w:rPr>
              <w:t xml:space="preserve">Proteinúria </w:t>
            </w:r>
            <w:r w:rsidRPr="00215594">
              <w:rPr>
                <w:szCs w:val="22"/>
              </w:rPr>
              <w:t>na secção 4.8.</w:t>
            </w:r>
          </w:p>
        </w:tc>
      </w:tr>
      <w:tr w:rsidR="00400398" w:rsidRPr="00215594" w14:paraId="484A1052"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692C18" w14:textId="77777777" w:rsidR="00400398" w:rsidRPr="001E05C2" w:rsidRDefault="00400398" w:rsidP="00654891">
            <w:pPr>
              <w:keepNext/>
              <w:spacing w:before="120" w:after="120"/>
              <w:jc w:val="center"/>
              <w:rPr>
                <w:szCs w:val="22"/>
              </w:rPr>
            </w:pPr>
            <w:r w:rsidRPr="001E05C2">
              <w:rPr>
                <w:szCs w:val="22"/>
              </w:rPr>
              <w:t>Doenças respiratórias, torácicas e do mediastino</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FCD87A9" w14:textId="77777777" w:rsidR="00400398" w:rsidRPr="00215594" w:rsidRDefault="00400398" w:rsidP="00654891">
            <w:pPr>
              <w:keepNext/>
              <w:spacing w:before="120" w:after="120"/>
              <w:rPr>
                <w:szCs w:val="22"/>
              </w:rPr>
            </w:pPr>
            <w:r w:rsidRPr="00215594">
              <w:rPr>
                <w:szCs w:val="22"/>
              </w:rPr>
              <w:t>Perfuração do septo nasal (desconhecida)</w:t>
            </w:r>
          </w:p>
          <w:p w14:paraId="5ADA2A4C" w14:textId="77777777" w:rsidR="00400398" w:rsidRPr="00215594" w:rsidRDefault="00400398" w:rsidP="00654891">
            <w:pPr>
              <w:keepNext/>
              <w:spacing w:before="120" w:after="120"/>
              <w:rPr>
                <w:szCs w:val="22"/>
              </w:rPr>
            </w:pPr>
            <w:r w:rsidRPr="00215594">
              <w:rPr>
                <w:szCs w:val="22"/>
              </w:rPr>
              <w:t>Hipertensão pulmonar (desconhecida)</w:t>
            </w:r>
          </w:p>
          <w:p w14:paraId="7E957F85" w14:textId="77777777" w:rsidR="00400398" w:rsidRPr="00215594" w:rsidRDefault="00400398" w:rsidP="00654891">
            <w:pPr>
              <w:keepNext/>
              <w:spacing w:before="120" w:after="120"/>
              <w:rPr>
                <w:szCs w:val="22"/>
              </w:rPr>
            </w:pPr>
            <w:r w:rsidRPr="00215594">
              <w:rPr>
                <w:szCs w:val="22"/>
              </w:rPr>
              <w:t>Disfonia (frequente)</w:t>
            </w:r>
          </w:p>
        </w:tc>
      </w:tr>
      <w:tr w:rsidR="00400398" w:rsidRPr="00215594" w14:paraId="036FE1D9" w14:textId="77777777">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60EF22" w14:textId="77777777" w:rsidR="00400398" w:rsidRPr="001E05C2" w:rsidRDefault="00400398" w:rsidP="00654891">
            <w:pPr>
              <w:keepNext/>
              <w:spacing w:before="120" w:after="120"/>
              <w:jc w:val="center"/>
              <w:rPr>
                <w:szCs w:val="22"/>
              </w:rPr>
            </w:pPr>
            <w:r w:rsidRPr="001E05C2">
              <w:rPr>
                <w:noProof/>
              </w:rPr>
              <w:t>Doenças gastrointestinais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C2C0EC" w14:textId="77777777" w:rsidR="00400398" w:rsidRPr="00215594" w:rsidRDefault="00400398" w:rsidP="00654891">
            <w:pPr>
              <w:keepNext/>
              <w:spacing w:before="120" w:after="120"/>
              <w:rPr>
                <w:szCs w:val="22"/>
              </w:rPr>
            </w:pPr>
            <w:r w:rsidRPr="00215594">
              <w:rPr>
                <w:szCs w:val="22"/>
              </w:rPr>
              <w:t>Úlcera gastrointestinal (desconhecida)</w:t>
            </w:r>
          </w:p>
        </w:tc>
      </w:tr>
      <w:tr w:rsidR="00400398" w:rsidRPr="00215594" w14:paraId="167E0EBF" w14:textId="77777777" w:rsidTr="00223886">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7F993" w14:textId="77777777" w:rsidR="00400398" w:rsidRPr="001E05C2" w:rsidRDefault="00400398" w:rsidP="00223886">
            <w:pPr>
              <w:keepNext/>
              <w:spacing w:before="120" w:after="120"/>
              <w:jc w:val="center"/>
              <w:rPr>
                <w:noProof/>
              </w:rPr>
            </w:pPr>
            <w:r w:rsidRPr="001E05C2">
              <w:rPr>
                <w:noProof/>
              </w:rPr>
              <w:t>Afeções hepatobiliares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6E8200" w14:textId="77777777" w:rsidR="00400398" w:rsidRPr="00215594" w:rsidRDefault="00400398" w:rsidP="00223886">
            <w:pPr>
              <w:keepNext/>
              <w:spacing w:before="120" w:after="120"/>
              <w:rPr>
                <w:szCs w:val="22"/>
              </w:rPr>
            </w:pPr>
            <w:r w:rsidRPr="00215594">
              <w:rPr>
                <w:szCs w:val="22"/>
              </w:rPr>
              <w:t>Perfuração da vesícula biliar (desconhecida)</w:t>
            </w:r>
          </w:p>
        </w:tc>
      </w:tr>
      <w:tr w:rsidR="00344C29" w:rsidRPr="00215594" w14:paraId="54134916" w14:textId="77777777" w:rsidTr="0035208A">
        <w:trPr>
          <w:trHeight w:val="1678"/>
        </w:trPr>
        <w:tc>
          <w:tcPr>
            <w:tcW w:w="2280"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7D087991" w14:textId="77777777" w:rsidR="00344C29" w:rsidRPr="001E05C2" w:rsidRDefault="00344C29">
            <w:pPr>
              <w:keepNext/>
              <w:spacing w:before="120" w:after="120"/>
              <w:jc w:val="center"/>
              <w:rPr>
                <w:noProof/>
              </w:rPr>
            </w:pPr>
            <w:r w:rsidRPr="001E05C2">
              <w:rPr>
                <w:noProof/>
              </w:rPr>
              <w:t>Afeções musculosqueléticas e dos tecidos conjuntivos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2CBB1E" w14:textId="77777777" w:rsidR="00344C29" w:rsidRPr="00215594" w:rsidRDefault="00344C29" w:rsidP="0059729D">
            <w:pPr>
              <w:keepNext/>
              <w:tabs>
                <w:tab w:val="left" w:pos="9356"/>
              </w:tabs>
              <w:autoSpaceDE w:val="0"/>
              <w:autoSpaceDN w:val="0"/>
              <w:adjustRightInd w:val="0"/>
            </w:pPr>
            <w:r w:rsidRPr="00215594">
              <w:rPr>
                <w:rFonts w:cs="Arial"/>
                <w:szCs w:val="22"/>
              </w:rPr>
              <w:t xml:space="preserve">Foram notificados casos de </w:t>
            </w:r>
            <w:r w:rsidR="00064B6A" w:rsidRPr="00215594">
              <w:rPr>
                <w:szCs w:val="22"/>
              </w:rPr>
              <w:t xml:space="preserve">Osteonecrose </w:t>
            </w:r>
            <w:r w:rsidRPr="00215594">
              <w:rPr>
                <w:szCs w:val="22"/>
              </w:rPr>
              <w:t xml:space="preserve">da </w:t>
            </w:r>
            <w:r w:rsidR="00064B6A" w:rsidRPr="00215594">
              <w:rPr>
                <w:szCs w:val="22"/>
              </w:rPr>
              <w:t>M</w:t>
            </w:r>
            <w:r w:rsidRPr="00215594">
              <w:rPr>
                <w:szCs w:val="22"/>
              </w:rPr>
              <w:t xml:space="preserve">andíbula (ONM) em doentes tratados com </w:t>
            </w:r>
            <w:r w:rsidR="0059729D" w:rsidRPr="00215594">
              <w:rPr>
                <w:szCs w:val="22"/>
              </w:rPr>
              <w:t>bevacizumab</w:t>
            </w:r>
            <w:r w:rsidRPr="00215594">
              <w:rPr>
                <w:szCs w:val="22"/>
              </w:rPr>
              <w:t>, a maioria dos quais ocorreu em doentes que tinham fatores de risco identificados para ONM, em particular a exposição a bifosfonatos intravenosos e/ou história de doença dentária requerendo procedimentos dentários invasivos (ver também secção 4.4)</w:t>
            </w:r>
          </w:p>
        </w:tc>
      </w:tr>
      <w:tr w:rsidR="00344C29" w:rsidRPr="00215594" w14:paraId="42BDEDF2" w14:textId="77777777" w:rsidTr="000824E0">
        <w:trPr>
          <w:trHeight w:val="821"/>
        </w:trPr>
        <w:tc>
          <w:tcPr>
            <w:tcW w:w="228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2E7AD02" w14:textId="77777777" w:rsidR="00344C29" w:rsidRPr="001E05C2" w:rsidRDefault="00344C29">
            <w:pPr>
              <w:keepNext/>
              <w:spacing w:before="120" w:after="120"/>
              <w:jc w:val="center"/>
              <w:rPr>
                <w:noProof/>
              </w:rPr>
            </w:pP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E4DB4E" w14:textId="77777777" w:rsidR="00344C29" w:rsidRPr="00215594" w:rsidRDefault="00064B6A" w:rsidP="0059729D">
            <w:pPr>
              <w:keepNext/>
              <w:tabs>
                <w:tab w:val="left" w:pos="9356"/>
              </w:tabs>
              <w:autoSpaceDE w:val="0"/>
              <w:autoSpaceDN w:val="0"/>
              <w:adjustRightInd w:val="0"/>
              <w:rPr>
                <w:rFonts w:cs="Arial"/>
                <w:szCs w:val="22"/>
              </w:rPr>
            </w:pPr>
            <w:r w:rsidRPr="00215594">
              <w:rPr>
                <w:rFonts w:cs="Arial"/>
                <w:szCs w:val="22"/>
              </w:rPr>
              <w:t>Foram observados casos de o</w:t>
            </w:r>
            <w:r w:rsidR="00344C29" w:rsidRPr="00215594">
              <w:rPr>
                <w:rFonts w:cs="Arial"/>
                <w:szCs w:val="22"/>
              </w:rPr>
              <w:t xml:space="preserve">steonecrose não-mandibular em doentes pediátricos tratados com </w:t>
            </w:r>
            <w:r w:rsidR="0059729D" w:rsidRPr="00215594">
              <w:rPr>
                <w:rFonts w:cs="Arial"/>
                <w:szCs w:val="22"/>
              </w:rPr>
              <w:t xml:space="preserve">bevacizumab </w:t>
            </w:r>
            <w:r w:rsidR="00344C29" w:rsidRPr="00215594">
              <w:rPr>
                <w:rFonts w:cs="Arial"/>
                <w:szCs w:val="22"/>
              </w:rPr>
              <w:t>(ver secção 4.8, Pop</w:t>
            </w:r>
            <w:r w:rsidR="000824E0" w:rsidRPr="00215594">
              <w:rPr>
                <w:rFonts w:cs="Arial"/>
                <w:szCs w:val="22"/>
              </w:rPr>
              <w:t>ulação pediátrica)</w:t>
            </w:r>
          </w:p>
        </w:tc>
      </w:tr>
      <w:tr w:rsidR="00400398" w:rsidRPr="00215594" w14:paraId="454C37BB" w14:textId="77777777" w:rsidTr="00730542">
        <w:trPr>
          <w:trHeight w:val="974"/>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5E26A3" w14:textId="77777777" w:rsidR="00400398" w:rsidRPr="001E05C2" w:rsidRDefault="00400398">
            <w:pPr>
              <w:keepNext/>
              <w:spacing w:before="120" w:after="120"/>
              <w:jc w:val="center"/>
              <w:rPr>
                <w:noProof/>
              </w:rPr>
            </w:pPr>
            <w:r w:rsidRPr="001E05C2">
              <w:rPr>
                <w:noProof/>
              </w:rPr>
              <w:t>Afeções congénitas, familiares e genéticas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FCFB94" w14:textId="77777777" w:rsidR="00400398" w:rsidRPr="00215594" w:rsidRDefault="00400398" w:rsidP="00064B6A">
            <w:pPr>
              <w:keepNext/>
              <w:tabs>
                <w:tab w:val="left" w:pos="9356"/>
              </w:tabs>
              <w:autoSpaceDE w:val="0"/>
              <w:autoSpaceDN w:val="0"/>
              <w:adjustRightInd w:val="0"/>
              <w:rPr>
                <w:rFonts w:cs="Arial"/>
                <w:szCs w:val="22"/>
              </w:rPr>
            </w:pPr>
            <w:r w:rsidRPr="00215594">
              <w:rPr>
                <w:rFonts w:cs="Arial"/>
                <w:szCs w:val="22"/>
              </w:rPr>
              <w:t>Foram observados casos de anomalias fetais em mulheres tratadas com bevacizumab em monoterapia ou em associação com citotóxicos com efeito embriotóxico conhecido (ver secção 4.6)</w:t>
            </w:r>
          </w:p>
        </w:tc>
      </w:tr>
    </w:tbl>
    <w:p w14:paraId="1802C80B" w14:textId="77777777" w:rsidR="00400398" w:rsidRDefault="00400398" w:rsidP="00541CA8">
      <w:pPr>
        <w:ind w:left="142"/>
        <w:rPr>
          <w:sz w:val="20"/>
        </w:rPr>
      </w:pPr>
      <w:r w:rsidRPr="00BA3AB6">
        <w:rPr>
          <w:sz w:val="20"/>
        </w:rPr>
        <w:t>* se especificada, a frequência foi obtida a partir de dados de ensaios clínicos</w:t>
      </w:r>
    </w:p>
    <w:p w14:paraId="3DC10FEF" w14:textId="77777777" w:rsidR="00400398" w:rsidRDefault="00400398">
      <w:pPr>
        <w:rPr>
          <w:sz w:val="20"/>
        </w:rPr>
      </w:pPr>
    </w:p>
    <w:p w14:paraId="328D17AC" w14:textId="77777777" w:rsidR="00400398" w:rsidRDefault="00400398" w:rsidP="000C3BFB">
      <w:pPr>
        <w:keepNext/>
        <w:keepLines/>
        <w:suppressAutoHyphens/>
        <w:rPr>
          <w:noProof/>
          <w:szCs w:val="22"/>
          <w:u w:val="single"/>
        </w:rPr>
      </w:pPr>
      <w:r w:rsidRPr="00730542">
        <w:rPr>
          <w:noProof/>
          <w:szCs w:val="22"/>
          <w:u w:val="single"/>
        </w:rPr>
        <w:lastRenderedPageBreak/>
        <w:t>Notificação de suspeitas de reações adversas</w:t>
      </w:r>
    </w:p>
    <w:p w14:paraId="69D1DEC6" w14:textId="77777777" w:rsidR="00CA5962" w:rsidRDefault="00CA5962" w:rsidP="000C3BFB">
      <w:pPr>
        <w:keepNext/>
        <w:keepLines/>
        <w:suppressAutoHyphens/>
        <w:rPr>
          <w:noProof/>
          <w:szCs w:val="22"/>
          <w:u w:val="single"/>
        </w:rPr>
      </w:pPr>
    </w:p>
    <w:p w14:paraId="335C4219" w14:textId="77777777" w:rsidR="00400398" w:rsidRDefault="00400398" w:rsidP="000C3BFB">
      <w:pPr>
        <w:keepNext/>
        <w:keepLines/>
        <w:suppressAutoHyphens/>
        <w:rPr>
          <w:szCs w:val="22"/>
        </w:rPr>
      </w:pPr>
      <w:r>
        <w:rPr>
          <w:noProof/>
          <w:szCs w:val="22"/>
        </w:rPr>
        <w:t>A notificação de suspeitas de reações adversas após a autorização do medicamento é importante, uma vez que permite uma monitorização contínua da relação benefício-risco do medicamento.</w:t>
      </w:r>
      <w:r>
        <w:rPr>
          <w:szCs w:val="22"/>
        </w:rPr>
        <w:t xml:space="preserve"> Pede-se aos profissionais de saúde que notifiquem quaisquer suspeitas de reações adversas através </w:t>
      </w:r>
      <w:r w:rsidRPr="00CC732D">
        <w:rPr>
          <w:szCs w:val="22"/>
          <w:highlight w:val="lightGray"/>
        </w:rPr>
        <w:t xml:space="preserve">do sistema nacional de notificação mencionado </w:t>
      </w:r>
      <w:r w:rsidRPr="008A0894">
        <w:rPr>
          <w:szCs w:val="22"/>
          <w:highlight w:val="lightGray"/>
        </w:rPr>
        <w:t xml:space="preserve">no </w:t>
      </w:r>
      <w:hyperlink r:id="rId12" w:history="1">
        <w:r w:rsidRPr="001C1710">
          <w:rPr>
            <w:rStyle w:val="Hyperlink"/>
            <w:highlight w:val="lightGray"/>
          </w:rPr>
          <w:t>Apêndice V</w:t>
        </w:r>
      </w:hyperlink>
      <w:r w:rsidRPr="008A0894">
        <w:rPr>
          <w:highlight w:val="lightGray"/>
        </w:rPr>
        <w:t>*</w:t>
      </w:r>
      <w:r>
        <w:rPr>
          <w:szCs w:val="22"/>
        </w:rPr>
        <w:t>.</w:t>
      </w:r>
    </w:p>
    <w:p w14:paraId="75608FB2" w14:textId="77777777" w:rsidR="00400398" w:rsidRPr="007232E4" w:rsidRDefault="00400398" w:rsidP="000C3BFB">
      <w:pPr>
        <w:keepNext/>
        <w:keepLines/>
        <w:rPr>
          <w:b/>
        </w:rPr>
      </w:pPr>
    </w:p>
    <w:p w14:paraId="14759EF8" w14:textId="77777777" w:rsidR="00400398" w:rsidRPr="007232E4" w:rsidRDefault="00400398">
      <w:pPr>
        <w:keepNext/>
        <w:outlineLvl w:val="0"/>
      </w:pPr>
      <w:r w:rsidRPr="007232E4">
        <w:rPr>
          <w:b/>
        </w:rPr>
        <w:t>4.9</w:t>
      </w:r>
      <w:r w:rsidRPr="007232E4">
        <w:rPr>
          <w:b/>
        </w:rPr>
        <w:tab/>
        <w:t>Sobredosagem</w:t>
      </w:r>
    </w:p>
    <w:p w14:paraId="7F605AF2" w14:textId="77777777" w:rsidR="00400398" w:rsidRPr="007232E4" w:rsidRDefault="00400398">
      <w:pPr>
        <w:keepNext/>
      </w:pPr>
    </w:p>
    <w:p w14:paraId="2E8DE15D" w14:textId="77777777" w:rsidR="00400398" w:rsidRPr="007232E4" w:rsidRDefault="00400398">
      <w:pPr>
        <w:keepNext/>
      </w:pPr>
      <w:r w:rsidRPr="007232E4">
        <w:t>A dose mais elevada testada no ser humano (20 mg/kg de peso corporal, cada 2 semanas, por via intravenosa) foi associada, em diversos doentes, a enxaqueca severa.</w:t>
      </w:r>
    </w:p>
    <w:p w14:paraId="140B728C" w14:textId="77777777" w:rsidR="00400398" w:rsidRPr="007232E4" w:rsidRDefault="00400398">
      <w:pPr>
        <w:keepNext/>
      </w:pPr>
    </w:p>
    <w:p w14:paraId="16361C76" w14:textId="77777777" w:rsidR="00400398" w:rsidRPr="007232E4" w:rsidRDefault="00400398"/>
    <w:p w14:paraId="34EE85CD" w14:textId="77777777" w:rsidR="00400398" w:rsidRPr="007232E4" w:rsidRDefault="00400398">
      <w:pPr>
        <w:keepNext/>
        <w:keepLines/>
        <w:rPr>
          <w:b/>
        </w:rPr>
      </w:pPr>
      <w:r w:rsidRPr="007232E4">
        <w:rPr>
          <w:b/>
        </w:rPr>
        <w:t>5.</w:t>
      </w:r>
      <w:r w:rsidRPr="007232E4">
        <w:rPr>
          <w:b/>
        </w:rPr>
        <w:tab/>
        <w:t>PROPRIEDADES FARMACOLÓGICAS</w:t>
      </w:r>
    </w:p>
    <w:p w14:paraId="3D8FE662" w14:textId="77777777" w:rsidR="00400398" w:rsidRPr="007232E4" w:rsidRDefault="00400398">
      <w:pPr>
        <w:keepNext/>
        <w:keepLines/>
      </w:pPr>
    </w:p>
    <w:p w14:paraId="5486206E" w14:textId="77777777" w:rsidR="00400398" w:rsidRPr="007232E4" w:rsidRDefault="00400398">
      <w:pPr>
        <w:keepNext/>
        <w:keepLines/>
        <w:outlineLvl w:val="0"/>
      </w:pPr>
      <w:r w:rsidRPr="007232E4">
        <w:rPr>
          <w:b/>
        </w:rPr>
        <w:t>5.1</w:t>
      </w:r>
      <w:r w:rsidRPr="007232E4">
        <w:rPr>
          <w:b/>
        </w:rPr>
        <w:tab/>
        <w:t>Propriedades farmacodinâmicas</w:t>
      </w:r>
    </w:p>
    <w:p w14:paraId="38970C34" w14:textId="77777777" w:rsidR="00400398" w:rsidRPr="007232E4" w:rsidRDefault="00400398" w:rsidP="00EA6CE2">
      <w:pPr>
        <w:keepNext/>
        <w:keepLines/>
      </w:pPr>
    </w:p>
    <w:p w14:paraId="15BC047B" w14:textId="77777777" w:rsidR="00400398" w:rsidRPr="007232E4" w:rsidRDefault="00400398" w:rsidP="00EA6CE2">
      <w:pPr>
        <w:keepNext/>
        <w:keepLines/>
        <w:outlineLvl w:val="0"/>
      </w:pPr>
      <w:r w:rsidRPr="007232E4">
        <w:t>Grupo farmacoterapêutico: agentes antineoplásicos e imunomoduladores, agentes antineoplásicos, anticorpos monoclonais</w:t>
      </w:r>
      <w:r w:rsidR="00E47633">
        <w:t xml:space="preserve"> e conjugados anticorpo-fármaco</w:t>
      </w:r>
      <w:r w:rsidRPr="007232E4">
        <w:t>, código ATC: L01</w:t>
      </w:r>
      <w:r w:rsidR="00C6702F">
        <w:t>F</w:t>
      </w:r>
      <w:r w:rsidR="00E47633">
        <w:t xml:space="preserve"> </w:t>
      </w:r>
      <w:r w:rsidR="00C6702F">
        <w:t>G</w:t>
      </w:r>
      <w:r w:rsidRPr="007232E4">
        <w:t>0</w:t>
      </w:r>
      <w:r w:rsidR="00C6702F">
        <w:t>1</w:t>
      </w:r>
    </w:p>
    <w:p w14:paraId="69049123" w14:textId="77777777" w:rsidR="00400398" w:rsidRDefault="00400398" w:rsidP="00EA6CE2">
      <w:pPr>
        <w:keepNext/>
        <w:keepLines/>
      </w:pPr>
    </w:p>
    <w:p w14:paraId="6F40DD3B" w14:textId="77777777" w:rsidR="0059729D" w:rsidRPr="009E7BE5" w:rsidRDefault="0059729D" w:rsidP="00EA6CE2">
      <w:pPr>
        <w:keepNext/>
        <w:keepLines/>
        <w:rPr>
          <w:color w:val="0000FF"/>
        </w:rPr>
      </w:pPr>
      <w:r>
        <w:t xml:space="preserve">Aybintio </w:t>
      </w:r>
      <w:r w:rsidRPr="009E7BE5">
        <w:t xml:space="preserve">é um medicamento biológico similar. Está disponível informação pormenorizada no sítio da internet da Agência Europeia de Medicamentos </w:t>
      </w:r>
      <w:hyperlink r:id="rId13" w:history="1">
        <w:r w:rsidRPr="009E7BE5">
          <w:rPr>
            <w:rStyle w:val="Hyperlink"/>
            <w:noProof/>
          </w:rPr>
          <w:t>http://www.ema.europa.eu</w:t>
        </w:r>
      </w:hyperlink>
      <w:r w:rsidRPr="009E7BE5">
        <w:rPr>
          <w:color w:val="0000FF"/>
        </w:rPr>
        <w:t>.</w:t>
      </w:r>
    </w:p>
    <w:p w14:paraId="26740165" w14:textId="77777777" w:rsidR="0059729D" w:rsidRPr="007232E4" w:rsidRDefault="0059729D" w:rsidP="00EA6CE2">
      <w:pPr>
        <w:keepNext/>
        <w:keepLines/>
      </w:pPr>
    </w:p>
    <w:p w14:paraId="4B6634F7" w14:textId="77777777" w:rsidR="00400398" w:rsidRPr="000603E8" w:rsidRDefault="00400398" w:rsidP="008017DD">
      <w:pPr>
        <w:keepNext/>
        <w:outlineLvl w:val="0"/>
        <w:rPr>
          <w:u w:val="single"/>
        </w:rPr>
      </w:pPr>
      <w:r w:rsidRPr="000603E8">
        <w:rPr>
          <w:u w:val="single"/>
        </w:rPr>
        <w:t>Mecanismo de ação</w:t>
      </w:r>
    </w:p>
    <w:p w14:paraId="2B0AC731" w14:textId="77777777" w:rsidR="00400398" w:rsidRPr="007232E4" w:rsidRDefault="00400398">
      <w:r w:rsidRPr="007232E4">
        <w:t>O bevacizumab liga</w:t>
      </w:r>
      <w:r w:rsidRPr="007232E4">
        <w:noBreakHyphen/>
        <w:t>se ao fator de crescimento do endotélio vascular (VEGF), o principal fator envolvido na vasculogénese e na angiogénese, inibindo desta forma a ligação do VEGF aos seus recetores, Flt</w:t>
      </w:r>
      <w:r w:rsidRPr="007232E4">
        <w:noBreakHyphen/>
        <w:t>1 (VEGFR</w:t>
      </w:r>
      <w:r w:rsidRPr="007232E4">
        <w:noBreakHyphen/>
        <w:t>1) e KDR (VEGFR</w:t>
      </w:r>
      <w:r w:rsidRPr="007232E4">
        <w:noBreakHyphen/>
        <w:t>2), na superfície das células endoteliais. A neutralização da atividade biológica do VEGF regride a vascularização tumoral, normaliza a vasculatura remanescente do tumor e inibe a formação de novos vasos, inibindo assim o crescimento tumoral.</w:t>
      </w:r>
    </w:p>
    <w:p w14:paraId="57886603" w14:textId="77777777" w:rsidR="00400398" w:rsidRPr="000603E8" w:rsidRDefault="00400398">
      <w:pPr>
        <w:rPr>
          <w:u w:val="single"/>
        </w:rPr>
      </w:pPr>
    </w:p>
    <w:p w14:paraId="26BE584F" w14:textId="77777777" w:rsidR="00400398" w:rsidRPr="000603E8" w:rsidRDefault="00400398">
      <w:pPr>
        <w:outlineLvl w:val="0"/>
        <w:rPr>
          <w:u w:val="single"/>
        </w:rPr>
      </w:pPr>
      <w:r w:rsidRPr="000603E8">
        <w:rPr>
          <w:u w:val="single"/>
        </w:rPr>
        <w:t>Efeitos farmacodinâmicos</w:t>
      </w:r>
    </w:p>
    <w:p w14:paraId="6F4E92A8" w14:textId="77777777" w:rsidR="00400398" w:rsidRPr="007232E4" w:rsidRDefault="00400398">
      <w:r w:rsidRPr="007232E4">
        <w:t>A administração de bevacizumab ou do seu anticorpo murino homólogo, a modelos de xenotransplante de cancro, no ratinho nu, resultou numa intensa atividade antitumoral contra cancros humanos, incluindo os do cólon, mama, pâncreas e próstata. A progressão das metástases foi inibida e a permeabilidade microvascular foi reduzida.</w:t>
      </w:r>
    </w:p>
    <w:p w14:paraId="345D2D92" w14:textId="77777777" w:rsidR="00400398" w:rsidRPr="007232E4" w:rsidRDefault="00400398"/>
    <w:p w14:paraId="75A9FB4C" w14:textId="77777777" w:rsidR="00400398" w:rsidRPr="00A56411" w:rsidRDefault="00400398">
      <w:pPr>
        <w:outlineLvl w:val="0"/>
        <w:rPr>
          <w:u w:val="single"/>
        </w:rPr>
      </w:pPr>
      <w:r w:rsidRPr="00A56411">
        <w:rPr>
          <w:u w:val="single"/>
        </w:rPr>
        <w:t xml:space="preserve">Eficácia </w:t>
      </w:r>
      <w:r w:rsidR="0059729D">
        <w:rPr>
          <w:u w:val="single"/>
        </w:rPr>
        <w:t xml:space="preserve">e segurança </w:t>
      </w:r>
      <w:r w:rsidRPr="00A56411">
        <w:rPr>
          <w:u w:val="single"/>
        </w:rPr>
        <w:t>clínica</w:t>
      </w:r>
      <w:r w:rsidR="0059729D">
        <w:rPr>
          <w:u w:val="single"/>
        </w:rPr>
        <w:t>s</w:t>
      </w:r>
    </w:p>
    <w:p w14:paraId="151A9AD5" w14:textId="77777777" w:rsidR="00400398" w:rsidRPr="007232E4" w:rsidRDefault="00400398">
      <w:pPr>
        <w:outlineLvl w:val="0"/>
        <w:rPr>
          <w:i/>
        </w:rPr>
      </w:pPr>
    </w:p>
    <w:p w14:paraId="38B2998C" w14:textId="77777777" w:rsidR="00400398" w:rsidRPr="00924AED" w:rsidRDefault="00400398">
      <w:pPr>
        <w:outlineLvl w:val="0"/>
        <w:rPr>
          <w:b/>
          <w:bCs/>
          <w:i/>
          <w:iCs/>
          <w:u w:val="single"/>
        </w:rPr>
      </w:pPr>
      <w:r w:rsidRPr="00924AED">
        <w:rPr>
          <w:bCs/>
          <w:i/>
          <w:iCs/>
          <w:u w:val="single"/>
        </w:rPr>
        <w:t>Carcinoma metastizado do cólon ou reto (mCRC)</w:t>
      </w:r>
    </w:p>
    <w:p w14:paraId="36B9643B" w14:textId="77777777" w:rsidR="00730542" w:rsidRDefault="00730542"/>
    <w:p w14:paraId="0146F325" w14:textId="77777777" w:rsidR="00400398" w:rsidRPr="007232E4" w:rsidRDefault="00400398">
      <w:r w:rsidRPr="007232E4">
        <w:t>Estudou</w:t>
      </w:r>
      <w:r w:rsidRPr="007232E4">
        <w:noBreakHyphen/>
        <w:t xml:space="preserve">se a segurança e a eficácia da dose recomendada (5 mg/kg de peso corporal, de duas em duas semanas) no carcinoma metastizado do cólon ou do reto em três ensaios clínicos aleatorizados, controlados por substância ativa, em associação com quimioterapia de primeira linha contendo fluoropirimidinas. O </w:t>
      </w:r>
      <w:r w:rsidR="0059729D">
        <w:t>bevacizumab</w:t>
      </w:r>
      <w:r w:rsidR="0059729D" w:rsidRPr="007232E4">
        <w:t xml:space="preserve"> </w:t>
      </w:r>
      <w:r w:rsidRPr="007232E4">
        <w:t>foi associado com 2 regimes de quimioterapia:</w:t>
      </w:r>
    </w:p>
    <w:p w14:paraId="19EA7F67" w14:textId="77777777" w:rsidR="00400398" w:rsidRPr="007232E4" w:rsidRDefault="00400398"/>
    <w:p w14:paraId="5426454B" w14:textId="77777777" w:rsidR="00400398" w:rsidRPr="007232E4" w:rsidRDefault="00400398">
      <w:pPr>
        <w:ind w:left="567" w:hanging="567"/>
      </w:pPr>
      <w:r w:rsidRPr="007232E4">
        <w:t>•</w:t>
      </w:r>
      <w:r w:rsidRPr="007232E4">
        <w:tab/>
        <w:t>AVF2107g: Um esquema de administração semanal de irinotecano/bólus de 5</w:t>
      </w:r>
      <w:r w:rsidRPr="007232E4">
        <w:noBreakHyphen/>
        <w:t>fluorouracilo/ácido folínico (IFL) durante um total de 4 semanas, de cada ciclo de 6 semanas (regime de Saltz).</w:t>
      </w:r>
    </w:p>
    <w:p w14:paraId="5B3D4066" w14:textId="77777777" w:rsidR="00400398" w:rsidRPr="007232E4" w:rsidRDefault="00400398">
      <w:pPr>
        <w:ind w:left="567" w:hanging="567"/>
      </w:pPr>
      <w:r w:rsidRPr="007232E4">
        <w:t>•</w:t>
      </w:r>
      <w:r w:rsidRPr="007232E4">
        <w:tab/>
        <w:t>AVF0780g: Em associação com bólus de 5</w:t>
      </w:r>
      <w:r w:rsidRPr="007232E4">
        <w:noBreakHyphen/>
        <w:t>fluorouracilo/ácido folínico (5</w:t>
      </w:r>
      <w:r w:rsidRPr="007232E4">
        <w:noBreakHyphen/>
        <w:t>FU/AF) durante um total de 6 semanas de cada ciclo de 8 semanas (regime de Roswell Park).</w:t>
      </w:r>
    </w:p>
    <w:p w14:paraId="57DC6BA9" w14:textId="77777777" w:rsidR="00400398" w:rsidRPr="007232E4" w:rsidRDefault="00400398">
      <w:pPr>
        <w:ind w:left="600" w:hanging="600"/>
      </w:pPr>
      <w:r w:rsidRPr="007232E4">
        <w:t>•</w:t>
      </w:r>
      <w:r w:rsidRPr="007232E4">
        <w:tab/>
        <w:t>AVF2192g: Em associação com bólus de 5</w:t>
      </w:r>
      <w:r w:rsidRPr="007232E4">
        <w:noBreakHyphen/>
        <w:t>fluorouracilo/ ácido folínico (5</w:t>
      </w:r>
      <w:r w:rsidRPr="007232E4">
        <w:noBreakHyphen/>
        <w:t xml:space="preserve">FU/AF) durante um total de 6 semanas, de cada ciclo de 8 semanas (regime de Roswell Park), em </w:t>
      </w:r>
      <w:r w:rsidRPr="007232E4">
        <w:rPr>
          <w:rFonts w:eastAsia="MS Mincho"/>
        </w:rPr>
        <w:t>doentes que não eram candidatos ideais para o tratamento de primeira linha com irinotecano.</w:t>
      </w:r>
    </w:p>
    <w:p w14:paraId="3E1B0DBC" w14:textId="77777777" w:rsidR="00400398" w:rsidRPr="007232E4" w:rsidRDefault="00400398">
      <w:pPr>
        <w:ind w:left="567" w:hanging="567"/>
      </w:pPr>
    </w:p>
    <w:p w14:paraId="2EEAA8E2" w14:textId="77777777" w:rsidR="00400398" w:rsidRPr="007232E4" w:rsidRDefault="00400398" w:rsidP="00654553">
      <w:pPr>
        <w:keepNext/>
        <w:keepLines/>
      </w:pPr>
      <w:r w:rsidRPr="007232E4">
        <w:lastRenderedPageBreak/>
        <w:t>Foram realizados três ensaios adicionais com bevacizumab em doentes com carcinoma metastizado do cólon ou do reto: em primeira linha (NO16966), em segunda linha sem tratamento prévio com bevacizumab (E3200) e em segunda linha após progressão da doença, sob tratamento com bevacizumab em primeira linha (ML18147). Nestes estudos, bevacizumab foi administrado nos seguintes regimes posológicos em associação com FOLFOX-4 (5FU/LV/oxaliplatina), XELOX (capecitabina/oxaliplatina), fluoropirimidina/irinotecano e fluoropirimidina/oxaliplatina:</w:t>
      </w:r>
    </w:p>
    <w:p w14:paraId="7B5DB9CB" w14:textId="77777777" w:rsidR="00400398" w:rsidRPr="007232E4" w:rsidRDefault="00400398" w:rsidP="00654553">
      <w:pPr>
        <w:keepNext/>
        <w:keepLines/>
      </w:pPr>
    </w:p>
    <w:p w14:paraId="55AD9CD4" w14:textId="77777777" w:rsidR="00400398" w:rsidRPr="007232E4" w:rsidRDefault="00400398" w:rsidP="00654553">
      <w:pPr>
        <w:keepNext/>
        <w:keepLines/>
        <w:ind w:left="567" w:hanging="567"/>
      </w:pPr>
      <w:r w:rsidRPr="007232E4">
        <w:t>•</w:t>
      </w:r>
      <w:r w:rsidRPr="007232E4">
        <w:tab/>
        <w:t>NO16966:</w:t>
      </w:r>
      <w:r w:rsidRPr="007232E4">
        <w:rPr>
          <w:b/>
        </w:rPr>
        <w:t xml:space="preserve"> </w:t>
      </w:r>
      <w:r w:rsidR="0059729D">
        <w:t>bevacizumab</w:t>
      </w:r>
      <w:r w:rsidR="0059729D" w:rsidRPr="007232E4">
        <w:t xml:space="preserve"> </w:t>
      </w:r>
      <w:r w:rsidRPr="007232E4">
        <w:t xml:space="preserve">7,5 mg/kg de peso corporal de 3 em 3 semanas em associação com capecitabina por via oral e oxaliplatina por via intravenosa (XELOX) ou </w:t>
      </w:r>
      <w:r w:rsidR="0059729D">
        <w:t>bevacizumab</w:t>
      </w:r>
      <w:r w:rsidR="0059729D" w:rsidRPr="007232E4">
        <w:t xml:space="preserve"> </w:t>
      </w:r>
      <w:r w:rsidRPr="007232E4">
        <w:t>5 mg/kg de 2 em 2 semanas em associação com folinato de cálcio e 5</w:t>
      </w:r>
      <w:r w:rsidRPr="007232E4">
        <w:noBreakHyphen/>
        <w:t>fluorouracilo em bólus, seguido de perfusão de 5-fluorouracilo com oxaliplatina por via intravenosa (FOLFOX-4).</w:t>
      </w:r>
    </w:p>
    <w:p w14:paraId="00664311" w14:textId="77777777" w:rsidR="00400398" w:rsidRPr="007232E4" w:rsidRDefault="00400398">
      <w:pPr>
        <w:ind w:left="567" w:hanging="567"/>
      </w:pPr>
    </w:p>
    <w:p w14:paraId="6E2792AE" w14:textId="77777777" w:rsidR="00400398" w:rsidRPr="007232E4" w:rsidRDefault="00400398">
      <w:pPr>
        <w:ind w:left="567" w:hanging="567"/>
      </w:pPr>
      <w:r w:rsidRPr="007232E4">
        <w:t>•</w:t>
      </w:r>
      <w:r w:rsidRPr="007232E4">
        <w:tab/>
        <w:t xml:space="preserve">E3200: </w:t>
      </w:r>
      <w:r w:rsidR="0059729D">
        <w:t>bevacizumab</w:t>
      </w:r>
      <w:r w:rsidR="0059729D" w:rsidRPr="007232E4">
        <w:t xml:space="preserve"> </w:t>
      </w:r>
      <w:r w:rsidRPr="007232E4">
        <w:t>10 mg/kg de peso corporal de 2 em 2 semanas em associação com folinato de cálcio e 5</w:t>
      </w:r>
      <w:r w:rsidRPr="007232E4">
        <w:noBreakHyphen/>
        <w:t>fluorouracilo em bólus, seguido de perfusão de 5-fluorouracilo com oxaliplatina por via intravenosa (FOLFOX-4) em doentes sem tratamento prévio com bevacizumab (naïve).</w:t>
      </w:r>
    </w:p>
    <w:p w14:paraId="7F32FD31" w14:textId="77777777" w:rsidR="00400398" w:rsidRPr="007232E4" w:rsidRDefault="00400398">
      <w:pPr>
        <w:rPr>
          <w:b/>
        </w:rPr>
      </w:pPr>
    </w:p>
    <w:p w14:paraId="62284340" w14:textId="77777777" w:rsidR="00400398" w:rsidRPr="007232E4" w:rsidRDefault="00400398" w:rsidP="007662AF">
      <w:pPr>
        <w:keepNext/>
        <w:keepLines/>
        <w:ind w:left="567" w:hanging="567"/>
      </w:pPr>
      <w:r w:rsidRPr="007232E4">
        <w:t>•</w:t>
      </w:r>
      <w:r w:rsidRPr="007232E4">
        <w:tab/>
        <w:t xml:space="preserve">ML18147: </w:t>
      </w:r>
      <w:r w:rsidR="0059729D">
        <w:t>bevacizumab</w:t>
      </w:r>
      <w:r w:rsidR="0059729D" w:rsidRPr="007232E4">
        <w:t xml:space="preserve"> </w:t>
      </w:r>
      <w:r w:rsidRPr="007232E4">
        <w:t xml:space="preserve">5,0 mg/kg de peso corporal de 2 em 2 semanas ou </w:t>
      </w:r>
      <w:r w:rsidR="0059729D">
        <w:t>bevacizumab</w:t>
      </w:r>
      <w:r w:rsidR="0059729D" w:rsidRPr="007232E4">
        <w:t xml:space="preserve"> </w:t>
      </w:r>
      <w:r w:rsidRPr="007232E4">
        <w:t>7,5 mg/kg de peso corporal de 3 em 3 semanas em associação com fluoropirimidina/irinotecano ou fluoropirimidina/oxaliplatina em doentes com progressão de doença, sob tratamento com bevacizumab em primeira linha. A utilização de regimes contendo irinotecano ou oxaliplatina foi substituida por oxaliplatina ou irinotecano, dependendo do regime utilizado em primeira linha.</w:t>
      </w:r>
    </w:p>
    <w:p w14:paraId="3DA8D13B" w14:textId="77777777" w:rsidR="00400398" w:rsidRPr="007232E4" w:rsidRDefault="00400398">
      <w:pPr>
        <w:rPr>
          <w:b/>
        </w:rPr>
      </w:pPr>
    </w:p>
    <w:p w14:paraId="106F9C41" w14:textId="77777777" w:rsidR="00400398" w:rsidRPr="007232E4" w:rsidRDefault="00400398">
      <w:pPr>
        <w:rPr>
          <w:i/>
        </w:rPr>
      </w:pPr>
      <w:r w:rsidRPr="007232E4">
        <w:rPr>
          <w:i/>
        </w:rPr>
        <w:t xml:space="preserve">AVF2107g </w:t>
      </w:r>
    </w:p>
    <w:p w14:paraId="24CA1898" w14:textId="77777777" w:rsidR="00400398" w:rsidRPr="007232E4" w:rsidRDefault="00400398">
      <w:pPr>
        <w:rPr>
          <w:b/>
        </w:rPr>
      </w:pPr>
      <w:r w:rsidRPr="007232E4">
        <w:t>Tratou</w:t>
      </w:r>
      <w:r w:rsidRPr="007232E4">
        <w:noBreakHyphen/>
        <w:t xml:space="preserve">se de um ensaio clínico de fase III, aleatorizado, com dupla ocultação, controlado por substância ativa, para avaliar o </w:t>
      </w:r>
      <w:r w:rsidR="0059729D">
        <w:t>bevacizumab</w:t>
      </w:r>
      <w:r w:rsidR="0059729D" w:rsidRPr="007232E4">
        <w:t xml:space="preserve"> </w:t>
      </w:r>
      <w:r w:rsidRPr="007232E4">
        <w:t>em associação com IFL como tratamento de primeira linha do carcinoma metastizado do cólon ou do reto. Foram aleatorizados 813 doentes para tratamento com IFL + placebo (braço 1) ou com IFL + </w:t>
      </w:r>
      <w:r w:rsidR="0059729D">
        <w:t>bevacizumab</w:t>
      </w:r>
      <w:r w:rsidR="0059729D" w:rsidRPr="007232E4">
        <w:t xml:space="preserve"> </w:t>
      </w:r>
      <w:r w:rsidRPr="007232E4">
        <w:t>(5 mg/kg de 2 em 2</w:t>
      </w:r>
      <w:r w:rsidR="00B107E6">
        <w:t> </w:t>
      </w:r>
      <w:r w:rsidRPr="007232E4">
        <w:t>semanas, braço 2). Um terceiro grupo de 110 doentes recebeu bólus de 5</w:t>
      </w:r>
      <w:r w:rsidRPr="007232E4">
        <w:noBreakHyphen/>
        <w:t>FU/AF + </w:t>
      </w:r>
      <w:r w:rsidR="0059729D">
        <w:t>bevacizumab</w:t>
      </w:r>
      <w:r w:rsidR="0059729D" w:rsidRPr="007232E4">
        <w:t xml:space="preserve"> </w:t>
      </w:r>
      <w:r w:rsidRPr="007232E4">
        <w:t xml:space="preserve">(braço 3). A inclusão de doentes no braço 3 foi interrompida, tal como previamente especificado, logo que foi estabelecida e considerada aceitável, a segurança do </w:t>
      </w:r>
      <w:r w:rsidR="0059729D">
        <w:t>bevacizumab</w:t>
      </w:r>
      <w:r w:rsidR="0059729D" w:rsidRPr="007232E4">
        <w:t xml:space="preserve"> </w:t>
      </w:r>
      <w:r w:rsidRPr="007232E4">
        <w:t xml:space="preserve">em associação com IFL. Todos os tratamentos prosseguiram até se registar progressão da doença. A idade média dos doentes foi de 59,4 anos; 56,6% dos doentes apresentava uma </w:t>
      </w:r>
      <w:r w:rsidRPr="007232E4">
        <w:rPr>
          <w:i/>
        </w:rPr>
        <w:t>performance status</w:t>
      </w:r>
      <w:r w:rsidRPr="007232E4">
        <w:t xml:space="preserve"> ECOG de 0, 43% tinha um valor de 1 e 0,4% um valor de 2. 15,5% dos doentes tinham sido previamente submetidos a radioterapia e 28,4% a quimioterapia.</w:t>
      </w:r>
    </w:p>
    <w:p w14:paraId="781E54C9" w14:textId="77777777" w:rsidR="00400398" w:rsidRPr="007232E4" w:rsidRDefault="00400398"/>
    <w:p w14:paraId="3EA78D7E" w14:textId="77777777" w:rsidR="00400398" w:rsidRPr="007232E4" w:rsidRDefault="00400398">
      <w:pPr>
        <w:rPr>
          <w:b/>
          <w:sz w:val="18"/>
        </w:rPr>
      </w:pPr>
      <w:r w:rsidRPr="007232E4">
        <w:t xml:space="preserve">Neste ensaio, a principal variável de eficácia foi a </w:t>
      </w:r>
      <w:r w:rsidR="00066027">
        <w:t>OS</w:t>
      </w:r>
      <w:r w:rsidRPr="007232E4">
        <w:t xml:space="preserve">. A adição de </w:t>
      </w:r>
      <w:r w:rsidR="0059729D">
        <w:t>bevacizumab</w:t>
      </w:r>
      <w:r w:rsidR="0059729D" w:rsidRPr="007232E4">
        <w:t xml:space="preserve"> </w:t>
      </w:r>
      <w:r w:rsidRPr="007232E4">
        <w:t xml:space="preserve">a IFL resultou em aumentos estatisticamente significativos da </w:t>
      </w:r>
      <w:r w:rsidR="00066027">
        <w:t>OS</w:t>
      </w:r>
      <w:r w:rsidRPr="007232E4">
        <w:t xml:space="preserve">, </w:t>
      </w:r>
      <w:r w:rsidR="00066027">
        <w:t>PFS</w:t>
      </w:r>
      <w:r w:rsidRPr="007232E4">
        <w:t xml:space="preserve"> e taxa de resposta global (ver a Tabela </w:t>
      </w:r>
      <w:r>
        <w:t>4</w:t>
      </w:r>
      <w:r w:rsidRPr="007232E4">
        <w:t xml:space="preserve">). O benefício clínico do </w:t>
      </w:r>
      <w:r w:rsidR="0059729D">
        <w:t>bevacizumab</w:t>
      </w:r>
      <w:r w:rsidRPr="007232E4">
        <w:t xml:space="preserve">, determinado pela </w:t>
      </w:r>
      <w:r w:rsidR="00066027">
        <w:t>OS</w:t>
      </w:r>
      <w:r w:rsidRPr="007232E4">
        <w:t>, foi observado em todos os subgrupos pré</w:t>
      </w:r>
      <w:r w:rsidRPr="007232E4">
        <w:noBreakHyphen/>
        <w:t xml:space="preserve">especificados de doentes, incluindo os definidos pela idade, sexo, </w:t>
      </w:r>
      <w:r w:rsidRPr="007232E4">
        <w:rPr>
          <w:i/>
        </w:rPr>
        <w:t>performance status</w:t>
      </w:r>
      <w:r w:rsidRPr="007232E4">
        <w:t>, localização do tumor primário, número de órgãos envolvidos e duração da doença metastizada.</w:t>
      </w:r>
    </w:p>
    <w:p w14:paraId="3CEBF8F5" w14:textId="77777777" w:rsidR="00400398" w:rsidRPr="007232E4" w:rsidRDefault="00400398">
      <w:pPr>
        <w:rPr>
          <w:sz w:val="18"/>
        </w:rPr>
      </w:pPr>
    </w:p>
    <w:p w14:paraId="43BAB535" w14:textId="77777777" w:rsidR="00400398" w:rsidRPr="007232E4" w:rsidRDefault="00400398">
      <w:r w:rsidRPr="007232E4">
        <w:t xml:space="preserve">Os resultados de eficácia do </w:t>
      </w:r>
      <w:r w:rsidR="0059729D">
        <w:t>bevacizumab</w:t>
      </w:r>
      <w:r w:rsidR="0059729D" w:rsidRPr="007232E4">
        <w:t xml:space="preserve"> </w:t>
      </w:r>
      <w:r w:rsidRPr="007232E4">
        <w:t>em associação com quimioterapia com IFL são apresentados na Tabela </w:t>
      </w:r>
      <w:r>
        <w:t>4</w:t>
      </w:r>
      <w:r w:rsidRPr="007232E4">
        <w:t>.</w:t>
      </w:r>
    </w:p>
    <w:p w14:paraId="6CC682CD" w14:textId="77777777" w:rsidR="00400398" w:rsidRPr="007232E4" w:rsidRDefault="00400398"/>
    <w:p w14:paraId="1694D66E" w14:textId="77777777" w:rsidR="00400398" w:rsidRPr="007232E4" w:rsidRDefault="00400398" w:rsidP="002206F3">
      <w:pPr>
        <w:keepNext/>
        <w:keepLines/>
        <w:ind w:left="1418" w:hanging="1418"/>
        <w:rPr>
          <w:b/>
        </w:rPr>
      </w:pPr>
      <w:r w:rsidRPr="007232E4">
        <w:rPr>
          <w:b/>
        </w:rPr>
        <w:lastRenderedPageBreak/>
        <w:t>Tabela </w:t>
      </w:r>
      <w:r>
        <w:rPr>
          <w:b/>
        </w:rPr>
        <w:t>4</w:t>
      </w:r>
      <w:r w:rsidRPr="007232E4">
        <w:rPr>
          <w:b/>
        </w:rPr>
        <w:tab/>
        <w:t>Resultados de eficácia obtidos no ensaio AVF2107g</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0"/>
        <w:gridCol w:w="2280"/>
        <w:gridCol w:w="2160"/>
      </w:tblGrid>
      <w:tr w:rsidR="00400398" w:rsidRPr="00215594" w14:paraId="466ED851" w14:textId="77777777" w:rsidTr="001E05C2">
        <w:trPr>
          <w:cantSplit/>
          <w:tblHeader/>
        </w:trPr>
        <w:tc>
          <w:tcPr>
            <w:tcW w:w="4200" w:type="dxa"/>
            <w:vMerge w:val="restart"/>
          </w:tcPr>
          <w:p w14:paraId="66F2F96C" w14:textId="77777777" w:rsidR="00400398" w:rsidRPr="00215594" w:rsidRDefault="00400398" w:rsidP="002206F3">
            <w:pPr>
              <w:keepNext/>
              <w:keepLines/>
              <w:ind w:firstLine="12"/>
              <w:rPr>
                <w:szCs w:val="22"/>
              </w:rPr>
            </w:pPr>
          </w:p>
        </w:tc>
        <w:tc>
          <w:tcPr>
            <w:tcW w:w="4440" w:type="dxa"/>
            <w:gridSpan w:val="2"/>
            <w:vAlign w:val="center"/>
          </w:tcPr>
          <w:p w14:paraId="12579EAC" w14:textId="77777777" w:rsidR="00400398" w:rsidRPr="001E05C2" w:rsidRDefault="00400398" w:rsidP="002206F3">
            <w:pPr>
              <w:pStyle w:val="TableCellCenter"/>
              <w:spacing w:before="40" w:after="40" w:line="240" w:lineRule="auto"/>
              <w:rPr>
                <w:b/>
                <w:sz w:val="22"/>
                <w:szCs w:val="22"/>
              </w:rPr>
            </w:pPr>
            <w:r w:rsidRPr="001E05C2">
              <w:rPr>
                <w:b/>
                <w:sz w:val="22"/>
                <w:szCs w:val="22"/>
              </w:rPr>
              <w:t>AVF2107g</w:t>
            </w:r>
          </w:p>
        </w:tc>
      </w:tr>
      <w:tr w:rsidR="00400398" w:rsidRPr="00215594" w14:paraId="57B50B4B" w14:textId="77777777" w:rsidTr="001E05C2">
        <w:trPr>
          <w:cantSplit/>
          <w:tblHeader/>
        </w:trPr>
        <w:tc>
          <w:tcPr>
            <w:tcW w:w="4200" w:type="dxa"/>
            <w:vMerge/>
          </w:tcPr>
          <w:p w14:paraId="256D7F3B" w14:textId="77777777" w:rsidR="00400398" w:rsidRPr="00215594" w:rsidRDefault="00400398" w:rsidP="002206F3">
            <w:pPr>
              <w:keepNext/>
              <w:keepLines/>
              <w:ind w:firstLine="12"/>
              <w:rPr>
                <w:szCs w:val="22"/>
              </w:rPr>
            </w:pPr>
          </w:p>
        </w:tc>
        <w:tc>
          <w:tcPr>
            <w:tcW w:w="2280" w:type="dxa"/>
          </w:tcPr>
          <w:p w14:paraId="74B6D22C" w14:textId="77777777" w:rsidR="00400398" w:rsidRPr="001E05C2" w:rsidRDefault="00400398" w:rsidP="002206F3">
            <w:pPr>
              <w:pStyle w:val="TextTi12CharCharChar"/>
              <w:keepNext/>
              <w:keepLines/>
              <w:spacing w:before="40" w:after="40" w:line="240" w:lineRule="auto"/>
              <w:jc w:val="center"/>
              <w:rPr>
                <w:b/>
                <w:sz w:val="22"/>
                <w:szCs w:val="22"/>
              </w:rPr>
            </w:pPr>
            <w:r w:rsidRPr="001E05C2">
              <w:rPr>
                <w:b/>
                <w:sz w:val="22"/>
                <w:szCs w:val="22"/>
              </w:rPr>
              <w:t>Braço 1</w:t>
            </w:r>
          </w:p>
          <w:p w14:paraId="24A9D6BA" w14:textId="77777777" w:rsidR="00400398" w:rsidRPr="001E05C2" w:rsidRDefault="00400398" w:rsidP="002206F3">
            <w:pPr>
              <w:pStyle w:val="TextTi12CharCharChar"/>
              <w:keepNext/>
              <w:keepLines/>
              <w:spacing w:before="40" w:after="40" w:line="240" w:lineRule="auto"/>
              <w:jc w:val="center"/>
              <w:rPr>
                <w:b/>
                <w:sz w:val="22"/>
                <w:szCs w:val="22"/>
              </w:rPr>
            </w:pPr>
            <w:r w:rsidRPr="001E05C2">
              <w:rPr>
                <w:b/>
                <w:sz w:val="22"/>
                <w:szCs w:val="22"/>
              </w:rPr>
              <w:t>IFL </w:t>
            </w:r>
            <w:r w:rsidRPr="001E05C2">
              <w:rPr>
                <w:rFonts w:ascii="Symbol" w:hAnsi="Symbol"/>
                <w:b/>
                <w:sz w:val="22"/>
                <w:szCs w:val="22"/>
              </w:rPr>
              <w:t></w:t>
            </w:r>
            <w:r w:rsidRPr="001E05C2">
              <w:rPr>
                <w:b/>
                <w:sz w:val="22"/>
                <w:szCs w:val="22"/>
              </w:rPr>
              <w:t xml:space="preserve"> placebo</w:t>
            </w:r>
          </w:p>
        </w:tc>
        <w:tc>
          <w:tcPr>
            <w:tcW w:w="2160" w:type="dxa"/>
          </w:tcPr>
          <w:p w14:paraId="229F510C" w14:textId="77777777" w:rsidR="00400398" w:rsidRPr="001E05C2" w:rsidRDefault="00400398" w:rsidP="002206F3">
            <w:pPr>
              <w:pStyle w:val="TableCellCenter"/>
              <w:spacing w:before="40" w:after="40" w:line="240" w:lineRule="auto"/>
              <w:rPr>
                <w:b/>
                <w:sz w:val="22"/>
                <w:szCs w:val="22"/>
              </w:rPr>
            </w:pPr>
            <w:r w:rsidRPr="001E05C2">
              <w:rPr>
                <w:b/>
                <w:sz w:val="22"/>
                <w:szCs w:val="22"/>
              </w:rPr>
              <w:t>Braço 2</w:t>
            </w:r>
          </w:p>
          <w:p w14:paraId="54F50B08" w14:textId="77777777" w:rsidR="00400398" w:rsidRPr="001E05C2" w:rsidRDefault="00400398" w:rsidP="009D13B0">
            <w:pPr>
              <w:pStyle w:val="TableCellCenter"/>
              <w:spacing w:before="40" w:after="40" w:line="240" w:lineRule="auto"/>
              <w:rPr>
                <w:b/>
                <w:sz w:val="22"/>
                <w:szCs w:val="22"/>
              </w:rPr>
            </w:pPr>
            <w:r w:rsidRPr="001E05C2">
              <w:rPr>
                <w:b/>
                <w:sz w:val="22"/>
                <w:szCs w:val="22"/>
              </w:rPr>
              <w:t>IFL </w:t>
            </w:r>
            <w:r w:rsidRPr="001E05C2">
              <w:rPr>
                <w:rFonts w:ascii="Symbol" w:hAnsi="Symbol"/>
                <w:b/>
                <w:sz w:val="22"/>
                <w:szCs w:val="22"/>
              </w:rPr>
              <w:t></w:t>
            </w:r>
            <w:r w:rsidRPr="001E05C2">
              <w:rPr>
                <w:b/>
                <w:sz w:val="22"/>
                <w:szCs w:val="22"/>
              </w:rPr>
              <w:t xml:space="preserve"> </w:t>
            </w:r>
            <w:r w:rsidR="009D13B0" w:rsidRPr="001E05C2">
              <w:rPr>
                <w:b/>
                <w:sz w:val="22"/>
                <w:szCs w:val="22"/>
              </w:rPr>
              <w:t>bevacizumab</w:t>
            </w:r>
            <w:r w:rsidR="009D13B0" w:rsidRPr="001E05C2">
              <w:rPr>
                <w:b/>
                <w:sz w:val="22"/>
                <w:szCs w:val="22"/>
                <w:vertAlign w:val="superscript"/>
              </w:rPr>
              <w:t>a</w:t>
            </w:r>
          </w:p>
        </w:tc>
      </w:tr>
      <w:tr w:rsidR="00400398" w:rsidRPr="00215594" w14:paraId="2A77B26B" w14:textId="77777777" w:rsidTr="001E05C2">
        <w:tc>
          <w:tcPr>
            <w:tcW w:w="4200" w:type="dxa"/>
            <w:vAlign w:val="center"/>
          </w:tcPr>
          <w:p w14:paraId="577F30D5" w14:textId="77777777" w:rsidR="00400398" w:rsidRPr="00215594" w:rsidRDefault="00400398" w:rsidP="002206F3">
            <w:pPr>
              <w:pStyle w:val="TableCellLeft"/>
              <w:spacing w:before="40" w:after="40" w:line="240" w:lineRule="auto"/>
              <w:ind w:firstLine="12"/>
              <w:rPr>
                <w:sz w:val="22"/>
                <w:szCs w:val="22"/>
              </w:rPr>
            </w:pPr>
            <w:r w:rsidRPr="00215594">
              <w:rPr>
                <w:sz w:val="22"/>
                <w:szCs w:val="22"/>
              </w:rPr>
              <w:t>Número de doentes</w:t>
            </w:r>
          </w:p>
        </w:tc>
        <w:tc>
          <w:tcPr>
            <w:tcW w:w="2280" w:type="dxa"/>
          </w:tcPr>
          <w:p w14:paraId="45814D7F" w14:textId="77777777" w:rsidR="00400398" w:rsidRPr="00215594" w:rsidRDefault="00400398" w:rsidP="002206F3">
            <w:pPr>
              <w:pStyle w:val="TableCellCenter"/>
              <w:spacing w:before="40" w:after="40" w:line="240" w:lineRule="auto"/>
              <w:rPr>
                <w:sz w:val="22"/>
                <w:szCs w:val="22"/>
              </w:rPr>
            </w:pPr>
            <w:r w:rsidRPr="00215594">
              <w:rPr>
                <w:sz w:val="22"/>
                <w:szCs w:val="22"/>
              </w:rPr>
              <w:t>411</w:t>
            </w:r>
          </w:p>
        </w:tc>
        <w:tc>
          <w:tcPr>
            <w:tcW w:w="2160" w:type="dxa"/>
          </w:tcPr>
          <w:p w14:paraId="0C86CD1E" w14:textId="77777777" w:rsidR="00400398" w:rsidRPr="00215594" w:rsidRDefault="00400398" w:rsidP="002206F3">
            <w:pPr>
              <w:pStyle w:val="TableCellCenter"/>
              <w:spacing w:before="40" w:after="40" w:line="240" w:lineRule="auto"/>
              <w:rPr>
                <w:sz w:val="22"/>
                <w:szCs w:val="22"/>
                <w:vertAlign w:val="superscript"/>
              </w:rPr>
            </w:pPr>
            <w:r w:rsidRPr="00215594">
              <w:rPr>
                <w:sz w:val="22"/>
                <w:szCs w:val="22"/>
              </w:rPr>
              <w:t>402</w:t>
            </w:r>
          </w:p>
        </w:tc>
      </w:tr>
      <w:tr w:rsidR="00400398" w:rsidRPr="00215594" w14:paraId="7D09ECC1" w14:textId="77777777" w:rsidTr="001E05C2">
        <w:tc>
          <w:tcPr>
            <w:tcW w:w="4200" w:type="dxa"/>
            <w:tcBorders>
              <w:right w:val="nil"/>
            </w:tcBorders>
            <w:vAlign w:val="center"/>
          </w:tcPr>
          <w:p w14:paraId="4D048764" w14:textId="77777777" w:rsidR="00400398" w:rsidRPr="00215594" w:rsidRDefault="00400398" w:rsidP="002206F3">
            <w:pPr>
              <w:pStyle w:val="TableCellHead"/>
              <w:spacing w:before="40" w:after="40" w:line="240" w:lineRule="auto"/>
              <w:ind w:firstLine="12"/>
              <w:rPr>
                <w:sz w:val="22"/>
                <w:szCs w:val="22"/>
                <w:u w:val="none"/>
              </w:rPr>
            </w:pPr>
            <w:r w:rsidRPr="00215594">
              <w:rPr>
                <w:sz w:val="22"/>
                <w:szCs w:val="22"/>
                <w:u w:val="none"/>
              </w:rPr>
              <w:t>Sobrevivência global</w:t>
            </w:r>
          </w:p>
        </w:tc>
        <w:tc>
          <w:tcPr>
            <w:tcW w:w="2280" w:type="dxa"/>
            <w:tcBorders>
              <w:left w:val="nil"/>
              <w:right w:val="nil"/>
            </w:tcBorders>
          </w:tcPr>
          <w:p w14:paraId="41CADCF9" w14:textId="77777777" w:rsidR="00400398" w:rsidRPr="00215594" w:rsidRDefault="00400398" w:rsidP="002206F3">
            <w:pPr>
              <w:keepNext/>
              <w:keepLines/>
              <w:jc w:val="center"/>
              <w:rPr>
                <w:szCs w:val="22"/>
              </w:rPr>
            </w:pPr>
          </w:p>
        </w:tc>
        <w:tc>
          <w:tcPr>
            <w:tcW w:w="2160" w:type="dxa"/>
            <w:tcBorders>
              <w:left w:val="nil"/>
            </w:tcBorders>
          </w:tcPr>
          <w:p w14:paraId="1E8C078A" w14:textId="77777777" w:rsidR="00400398" w:rsidRPr="00215594" w:rsidRDefault="00400398" w:rsidP="002206F3">
            <w:pPr>
              <w:keepNext/>
              <w:keepLines/>
              <w:jc w:val="center"/>
              <w:rPr>
                <w:szCs w:val="22"/>
              </w:rPr>
            </w:pPr>
          </w:p>
        </w:tc>
      </w:tr>
      <w:tr w:rsidR="00400398" w:rsidRPr="00215594" w14:paraId="4262F842" w14:textId="77777777" w:rsidTr="001E05C2">
        <w:tc>
          <w:tcPr>
            <w:tcW w:w="4200" w:type="dxa"/>
            <w:vAlign w:val="center"/>
          </w:tcPr>
          <w:p w14:paraId="00CCAE17" w14:textId="77777777" w:rsidR="00400398" w:rsidRPr="00215594" w:rsidRDefault="00400398" w:rsidP="002206F3">
            <w:pPr>
              <w:pStyle w:val="TableCellLeft"/>
              <w:spacing w:before="40" w:after="40" w:line="240" w:lineRule="auto"/>
              <w:ind w:left="240" w:firstLine="12"/>
              <w:rPr>
                <w:sz w:val="22"/>
                <w:szCs w:val="22"/>
              </w:rPr>
            </w:pPr>
            <w:r w:rsidRPr="00215594">
              <w:rPr>
                <w:sz w:val="22"/>
                <w:szCs w:val="22"/>
              </w:rPr>
              <w:t>Mediana (meses)</w:t>
            </w:r>
          </w:p>
        </w:tc>
        <w:tc>
          <w:tcPr>
            <w:tcW w:w="2280" w:type="dxa"/>
          </w:tcPr>
          <w:p w14:paraId="473F5324" w14:textId="77777777" w:rsidR="00400398" w:rsidRPr="00215594" w:rsidRDefault="00400398" w:rsidP="002206F3">
            <w:pPr>
              <w:pStyle w:val="TableCellCenter"/>
              <w:spacing w:before="40" w:after="40" w:line="240" w:lineRule="auto"/>
              <w:rPr>
                <w:sz w:val="22"/>
                <w:szCs w:val="22"/>
              </w:rPr>
            </w:pPr>
            <w:r w:rsidRPr="00215594">
              <w:rPr>
                <w:sz w:val="22"/>
                <w:szCs w:val="22"/>
              </w:rPr>
              <w:t>15,6</w:t>
            </w:r>
          </w:p>
        </w:tc>
        <w:tc>
          <w:tcPr>
            <w:tcW w:w="2160" w:type="dxa"/>
          </w:tcPr>
          <w:p w14:paraId="63655B0D" w14:textId="77777777" w:rsidR="00400398" w:rsidRPr="00215594" w:rsidRDefault="00400398" w:rsidP="002206F3">
            <w:pPr>
              <w:pStyle w:val="TableCellCenter"/>
              <w:spacing w:before="40" w:after="40" w:line="240" w:lineRule="auto"/>
              <w:rPr>
                <w:sz w:val="22"/>
                <w:szCs w:val="22"/>
              </w:rPr>
            </w:pPr>
            <w:r w:rsidRPr="00215594">
              <w:rPr>
                <w:sz w:val="22"/>
                <w:szCs w:val="22"/>
              </w:rPr>
              <w:t>20,3</w:t>
            </w:r>
          </w:p>
        </w:tc>
      </w:tr>
      <w:tr w:rsidR="00400398" w:rsidRPr="00215594" w14:paraId="3E02B596" w14:textId="77777777" w:rsidTr="001E05C2">
        <w:tc>
          <w:tcPr>
            <w:tcW w:w="4200" w:type="dxa"/>
            <w:vAlign w:val="center"/>
          </w:tcPr>
          <w:p w14:paraId="69DAE373" w14:textId="77777777" w:rsidR="00400398" w:rsidRPr="00215594" w:rsidRDefault="00400398" w:rsidP="002206F3">
            <w:pPr>
              <w:pStyle w:val="TableCellLeft"/>
              <w:spacing w:before="40" w:after="40" w:line="240" w:lineRule="auto"/>
              <w:ind w:left="492" w:firstLine="12"/>
              <w:rPr>
                <w:sz w:val="22"/>
                <w:szCs w:val="22"/>
              </w:rPr>
            </w:pPr>
            <w:r w:rsidRPr="00215594">
              <w:rPr>
                <w:sz w:val="22"/>
                <w:szCs w:val="22"/>
              </w:rPr>
              <w:t>IC 95%</w:t>
            </w:r>
          </w:p>
        </w:tc>
        <w:tc>
          <w:tcPr>
            <w:tcW w:w="2280" w:type="dxa"/>
          </w:tcPr>
          <w:p w14:paraId="0D54AD10" w14:textId="77777777" w:rsidR="00400398" w:rsidRPr="00215594" w:rsidRDefault="00400398" w:rsidP="002206F3">
            <w:pPr>
              <w:pStyle w:val="TableCellCenter"/>
              <w:spacing w:before="40" w:after="40" w:line="240" w:lineRule="auto"/>
              <w:rPr>
                <w:sz w:val="22"/>
                <w:szCs w:val="22"/>
              </w:rPr>
            </w:pPr>
            <w:r w:rsidRPr="00215594">
              <w:rPr>
                <w:sz w:val="22"/>
                <w:szCs w:val="22"/>
              </w:rPr>
              <w:t>14,29 – 16,99</w:t>
            </w:r>
          </w:p>
        </w:tc>
        <w:tc>
          <w:tcPr>
            <w:tcW w:w="2160" w:type="dxa"/>
          </w:tcPr>
          <w:p w14:paraId="04800313" w14:textId="77777777" w:rsidR="00400398" w:rsidRPr="00215594" w:rsidRDefault="00400398" w:rsidP="002206F3">
            <w:pPr>
              <w:pStyle w:val="TableCellCenter"/>
              <w:spacing w:before="40" w:after="40" w:line="240" w:lineRule="auto"/>
              <w:rPr>
                <w:sz w:val="22"/>
                <w:szCs w:val="22"/>
              </w:rPr>
            </w:pPr>
            <w:r w:rsidRPr="00215594">
              <w:rPr>
                <w:sz w:val="22"/>
                <w:szCs w:val="22"/>
              </w:rPr>
              <w:t>18,46 – 24,18</w:t>
            </w:r>
          </w:p>
        </w:tc>
      </w:tr>
      <w:tr w:rsidR="00400398" w:rsidRPr="00215594" w14:paraId="1BCAD405" w14:textId="77777777" w:rsidTr="001E05C2">
        <w:trPr>
          <w:trHeight w:val="586"/>
        </w:trPr>
        <w:tc>
          <w:tcPr>
            <w:tcW w:w="4200" w:type="dxa"/>
            <w:vAlign w:val="center"/>
          </w:tcPr>
          <w:p w14:paraId="08FD127D" w14:textId="77777777" w:rsidR="00400398" w:rsidRPr="00215594" w:rsidRDefault="00400398" w:rsidP="002206F3">
            <w:pPr>
              <w:pStyle w:val="TableCellLeft"/>
              <w:spacing w:before="40" w:after="40" w:line="240" w:lineRule="auto"/>
              <w:ind w:left="240" w:firstLine="12"/>
              <w:rPr>
                <w:sz w:val="22"/>
                <w:szCs w:val="22"/>
                <w:vertAlign w:val="superscript"/>
              </w:rPr>
            </w:pPr>
            <w:r w:rsidRPr="00215594">
              <w:rPr>
                <w:i/>
                <w:sz w:val="22"/>
                <w:szCs w:val="22"/>
              </w:rPr>
              <w:t xml:space="preserve">Hazard </w:t>
            </w:r>
            <w:r w:rsidR="00066027">
              <w:rPr>
                <w:i/>
                <w:sz w:val="22"/>
                <w:szCs w:val="22"/>
              </w:rPr>
              <w:t>r</w:t>
            </w:r>
            <w:r w:rsidRPr="00215594">
              <w:rPr>
                <w:i/>
                <w:sz w:val="22"/>
                <w:szCs w:val="22"/>
              </w:rPr>
              <w:t xml:space="preserve">atio </w:t>
            </w:r>
            <w:r w:rsidRPr="00215594">
              <w:rPr>
                <w:sz w:val="22"/>
                <w:szCs w:val="22"/>
              </w:rPr>
              <w:t>(taxa de risco)</w:t>
            </w:r>
            <w:r w:rsidRPr="00215594">
              <w:rPr>
                <w:sz w:val="22"/>
                <w:szCs w:val="22"/>
                <w:vertAlign w:val="superscript"/>
              </w:rPr>
              <w:t xml:space="preserve"> b</w:t>
            </w:r>
          </w:p>
          <w:p w14:paraId="6FBAF476" w14:textId="77777777" w:rsidR="00400398" w:rsidRPr="00215594" w:rsidRDefault="00400398" w:rsidP="002206F3">
            <w:pPr>
              <w:pStyle w:val="TableCellLeft"/>
              <w:spacing w:before="40" w:after="40"/>
              <w:ind w:left="240" w:firstLine="12"/>
              <w:rPr>
                <w:sz w:val="22"/>
                <w:szCs w:val="22"/>
                <w:vertAlign w:val="superscript"/>
              </w:rPr>
            </w:pPr>
          </w:p>
        </w:tc>
        <w:tc>
          <w:tcPr>
            <w:tcW w:w="4440" w:type="dxa"/>
            <w:gridSpan w:val="2"/>
          </w:tcPr>
          <w:p w14:paraId="724155C4" w14:textId="77777777" w:rsidR="00400398" w:rsidRPr="00215594" w:rsidRDefault="00400398" w:rsidP="002206F3">
            <w:pPr>
              <w:pStyle w:val="TableCellCenter"/>
              <w:rPr>
                <w:sz w:val="22"/>
                <w:szCs w:val="22"/>
              </w:rPr>
            </w:pPr>
            <w:r w:rsidRPr="00215594">
              <w:rPr>
                <w:sz w:val="22"/>
                <w:szCs w:val="22"/>
              </w:rPr>
              <w:t>0,660</w:t>
            </w:r>
          </w:p>
          <w:p w14:paraId="4F8426A1" w14:textId="77777777" w:rsidR="00400398" w:rsidRPr="00215594" w:rsidRDefault="00400398" w:rsidP="002206F3">
            <w:pPr>
              <w:keepNext/>
              <w:keepLines/>
              <w:jc w:val="center"/>
              <w:rPr>
                <w:szCs w:val="22"/>
              </w:rPr>
            </w:pPr>
            <w:r w:rsidRPr="00215594">
              <w:rPr>
                <w:szCs w:val="22"/>
              </w:rPr>
              <w:t>(valor de p = 0,00004)</w:t>
            </w:r>
          </w:p>
        </w:tc>
      </w:tr>
      <w:tr w:rsidR="00400398" w:rsidRPr="00215594" w14:paraId="05FEE4D8" w14:textId="77777777" w:rsidTr="001E05C2">
        <w:tc>
          <w:tcPr>
            <w:tcW w:w="4200" w:type="dxa"/>
            <w:tcBorders>
              <w:right w:val="nil"/>
            </w:tcBorders>
            <w:vAlign w:val="center"/>
          </w:tcPr>
          <w:p w14:paraId="4F347C03" w14:textId="77777777" w:rsidR="00400398" w:rsidRPr="00215594" w:rsidRDefault="00400398" w:rsidP="004619D2">
            <w:pPr>
              <w:pStyle w:val="TableCellHead"/>
              <w:spacing w:before="40" w:after="40" w:line="240" w:lineRule="auto"/>
              <w:ind w:firstLine="12"/>
              <w:rPr>
                <w:sz w:val="22"/>
                <w:szCs w:val="22"/>
                <w:u w:val="none"/>
              </w:rPr>
            </w:pPr>
            <w:r w:rsidRPr="00215594">
              <w:rPr>
                <w:sz w:val="22"/>
                <w:szCs w:val="22"/>
                <w:u w:val="none"/>
              </w:rPr>
              <w:t>Sobrevivência livre de progressão</w:t>
            </w:r>
          </w:p>
        </w:tc>
        <w:tc>
          <w:tcPr>
            <w:tcW w:w="2280" w:type="dxa"/>
            <w:tcBorders>
              <w:left w:val="nil"/>
              <w:right w:val="nil"/>
            </w:tcBorders>
          </w:tcPr>
          <w:p w14:paraId="2B8661C6" w14:textId="77777777" w:rsidR="00400398" w:rsidRPr="00215594" w:rsidRDefault="00400398" w:rsidP="005A246D">
            <w:pPr>
              <w:pStyle w:val="TableCellCenter"/>
              <w:spacing w:before="40" w:after="40" w:line="240" w:lineRule="auto"/>
              <w:rPr>
                <w:sz w:val="22"/>
                <w:szCs w:val="22"/>
              </w:rPr>
            </w:pPr>
          </w:p>
        </w:tc>
        <w:tc>
          <w:tcPr>
            <w:tcW w:w="2160" w:type="dxa"/>
            <w:tcBorders>
              <w:left w:val="nil"/>
            </w:tcBorders>
          </w:tcPr>
          <w:p w14:paraId="5D61A4DF" w14:textId="77777777" w:rsidR="00400398" w:rsidRPr="00215594" w:rsidRDefault="00400398" w:rsidP="002206F3">
            <w:pPr>
              <w:pStyle w:val="TableCellCenter"/>
              <w:spacing w:before="40" w:after="40" w:line="240" w:lineRule="auto"/>
              <w:rPr>
                <w:sz w:val="22"/>
                <w:szCs w:val="22"/>
              </w:rPr>
            </w:pPr>
          </w:p>
        </w:tc>
      </w:tr>
      <w:tr w:rsidR="00400398" w:rsidRPr="00215594" w14:paraId="2B69A9B7" w14:textId="77777777" w:rsidTr="001E05C2">
        <w:tc>
          <w:tcPr>
            <w:tcW w:w="4200" w:type="dxa"/>
            <w:vAlign w:val="center"/>
          </w:tcPr>
          <w:p w14:paraId="1E9DE02D" w14:textId="77777777" w:rsidR="00400398" w:rsidRPr="00215594" w:rsidRDefault="00400398" w:rsidP="004619D2">
            <w:pPr>
              <w:pStyle w:val="TableCellLeft"/>
              <w:spacing w:before="40" w:after="40" w:line="240" w:lineRule="auto"/>
              <w:ind w:left="240" w:firstLine="12"/>
              <w:rPr>
                <w:sz w:val="22"/>
                <w:szCs w:val="22"/>
              </w:rPr>
            </w:pPr>
            <w:r w:rsidRPr="00215594">
              <w:rPr>
                <w:sz w:val="22"/>
                <w:szCs w:val="22"/>
              </w:rPr>
              <w:t>Mediana (meses)</w:t>
            </w:r>
          </w:p>
        </w:tc>
        <w:tc>
          <w:tcPr>
            <w:tcW w:w="2280" w:type="dxa"/>
          </w:tcPr>
          <w:p w14:paraId="29ADF08C" w14:textId="77777777" w:rsidR="00400398" w:rsidRPr="00215594" w:rsidRDefault="00400398" w:rsidP="005A246D">
            <w:pPr>
              <w:pStyle w:val="TableCellCenter"/>
              <w:spacing w:before="40" w:after="40" w:line="240" w:lineRule="auto"/>
              <w:rPr>
                <w:sz w:val="22"/>
                <w:szCs w:val="22"/>
              </w:rPr>
            </w:pPr>
            <w:r w:rsidRPr="00215594">
              <w:rPr>
                <w:sz w:val="22"/>
                <w:szCs w:val="22"/>
              </w:rPr>
              <w:t>6,2</w:t>
            </w:r>
          </w:p>
        </w:tc>
        <w:tc>
          <w:tcPr>
            <w:tcW w:w="2160" w:type="dxa"/>
          </w:tcPr>
          <w:p w14:paraId="10F1E84E" w14:textId="77777777" w:rsidR="00400398" w:rsidRPr="00215594" w:rsidRDefault="00400398" w:rsidP="002206F3">
            <w:pPr>
              <w:pStyle w:val="TableCellCenter"/>
              <w:spacing w:before="40" w:after="40" w:line="240" w:lineRule="auto"/>
              <w:rPr>
                <w:sz w:val="22"/>
                <w:szCs w:val="22"/>
              </w:rPr>
            </w:pPr>
            <w:r w:rsidRPr="00215594">
              <w:rPr>
                <w:sz w:val="22"/>
                <w:szCs w:val="22"/>
              </w:rPr>
              <w:t>10,6</w:t>
            </w:r>
          </w:p>
        </w:tc>
      </w:tr>
      <w:tr w:rsidR="00400398" w:rsidRPr="00215594" w14:paraId="548D7330" w14:textId="77777777" w:rsidTr="001E05C2">
        <w:trPr>
          <w:trHeight w:val="586"/>
        </w:trPr>
        <w:tc>
          <w:tcPr>
            <w:tcW w:w="4200" w:type="dxa"/>
            <w:vAlign w:val="center"/>
          </w:tcPr>
          <w:p w14:paraId="0FA09FDC" w14:textId="77777777" w:rsidR="00400398" w:rsidRPr="00215594" w:rsidRDefault="00400398">
            <w:pPr>
              <w:pStyle w:val="TableCellLeft"/>
              <w:keepNext w:val="0"/>
              <w:keepLines w:val="0"/>
              <w:spacing w:before="40" w:after="40" w:line="240" w:lineRule="auto"/>
              <w:ind w:left="240" w:firstLine="12"/>
              <w:rPr>
                <w:sz w:val="22"/>
                <w:szCs w:val="22"/>
              </w:rPr>
            </w:pPr>
            <w:r w:rsidRPr="00215594">
              <w:rPr>
                <w:i/>
                <w:sz w:val="22"/>
                <w:szCs w:val="22"/>
              </w:rPr>
              <w:t xml:space="preserve">Hazard </w:t>
            </w:r>
            <w:r w:rsidR="00066027">
              <w:rPr>
                <w:i/>
                <w:sz w:val="22"/>
                <w:szCs w:val="22"/>
              </w:rPr>
              <w:t>r</w:t>
            </w:r>
            <w:r w:rsidRPr="00215594">
              <w:rPr>
                <w:i/>
                <w:sz w:val="22"/>
                <w:szCs w:val="22"/>
              </w:rPr>
              <w:t xml:space="preserve">atio </w:t>
            </w:r>
            <w:r w:rsidRPr="00215594">
              <w:rPr>
                <w:sz w:val="22"/>
                <w:szCs w:val="22"/>
              </w:rPr>
              <w:t>(taxa de risco)</w:t>
            </w:r>
          </w:p>
          <w:p w14:paraId="20216E40" w14:textId="77777777" w:rsidR="00400398" w:rsidRPr="00215594" w:rsidRDefault="00400398">
            <w:pPr>
              <w:pStyle w:val="TableCellLeft"/>
              <w:keepNext w:val="0"/>
              <w:keepLines w:val="0"/>
              <w:spacing w:before="40" w:after="40"/>
              <w:ind w:left="240" w:firstLine="12"/>
              <w:rPr>
                <w:sz w:val="22"/>
                <w:szCs w:val="22"/>
              </w:rPr>
            </w:pPr>
          </w:p>
        </w:tc>
        <w:tc>
          <w:tcPr>
            <w:tcW w:w="4440" w:type="dxa"/>
            <w:gridSpan w:val="2"/>
          </w:tcPr>
          <w:p w14:paraId="3D8F50FC" w14:textId="77777777" w:rsidR="00400398" w:rsidRPr="00215594" w:rsidRDefault="00400398">
            <w:pPr>
              <w:jc w:val="center"/>
              <w:rPr>
                <w:szCs w:val="22"/>
              </w:rPr>
            </w:pPr>
            <w:r w:rsidRPr="00215594">
              <w:rPr>
                <w:szCs w:val="22"/>
              </w:rPr>
              <w:t>0,54</w:t>
            </w:r>
          </w:p>
          <w:p w14:paraId="3E22B52E" w14:textId="77777777" w:rsidR="00400398" w:rsidRPr="00215594" w:rsidRDefault="00400398">
            <w:pPr>
              <w:pStyle w:val="TableCellCenter"/>
              <w:keepNext w:val="0"/>
              <w:keepLines w:val="0"/>
              <w:rPr>
                <w:sz w:val="22"/>
                <w:szCs w:val="22"/>
              </w:rPr>
            </w:pPr>
            <w:r w:rsidRPr="00215594">
              <w:rPr>
                <w:sz w:val="22"/>
                <w:szCs w:val="22"/>
              </w:rPr>
              <w:t>(valor de p</w:t>
            </w:r>
            <w:r w:rsidRPr="00215594">
              <w:rPr>
                <w:rFonts w:ascii="Symbol" w:hAnsi="Symbol"/>
                <w:sz w:val="22"/>
                <w:szCs w:val="22"/>
              </w:rPr>
              <w:t></w:t>
            </w:r>
            <w:r w:rsidRPr="00215594">
              <w:rPr>
                <w:rFonts w:ascii="Symbol" w:hAnsi="Symbol"/>
                <w:sz w:val="22"/>
                <w:szCs w:val="22"/>
              </w:rPr>
              <w:t></w:t>
            </w:r>
            <w:r w:rsidRPr="00215594">
              <w:rPr>
                <w:sz w:val="22"/>
                <w:szCs w:val="22"/>
              </w:rPr>
              <w:t> 0,0001)</w:t>
            </w:r>
          </w:p>
        </w:tc>
      </w:tr>
      <w:tr w:rsidR="00400398" w:rsidRPr="00215594" w14:paraId="40A05BED" w14:textId="77777777" w:rsidTr="001E05C2">
        <w:tc>
          <w:tcPr>
            <w:tcW w:w="4200" w:type="dxa"/>
            <w:tcBorders>
              <w:right w:val="nil"/>
            </w:tcBorders>
            <w:vAlign w:val="center"/>
          </w:tcPr>
          <w:p w14:paraId="5188CB3C" w14:textId="77777777" w:rsidR="00400398" w:rsidRPr="00215594" w:rsidRDefault="00400398">
            <w:pPr>
              <w:pStyle w:val="TableCellHead"/>
              <w:keepNext w:val="0"/>
              <w:keepLines w:val="0"/>
              <w:spacing w:before="40" w:after="40" w:line="240" w:lineRule="auto"/>
              <w:ind w:firstLine="12"/>
              <w:rPr>
                <w:sz w:val="22"/>
                <w:szCs w:val="22"/>
                <w:u w:val="none"/>
              </w:rPr>
            </w:pPr>
            <w:r w:rsidRPr="00215594">
              <w:rPr>
                <w:sz w:val="22"/>
                <w:szCs w:val="22"/>
                <w:u w:val="none"/>
              </w:rPr>
              <w:t>Taxa de resposta global</w:t>
            </w:r>
          </w:p>
        </w:tc>
        <w:tc>
          <w:tcPr>
            <w:tcW w:w="2280" w:type="dxa"/>
            <w:tcBorders>
              <w:left w:val="nil"/>
              <w:right w:val="nil"/>
            </w:tcBorders>
          </w:tcPr>
          <w:p w14:paraId="07E98BA0" w14:textId="77777777" w:rsidR="00400398" w:rsidRPr="00215594" w:rsidRDefault="00400398">
            <w:pPr>
              <w:pStyle w:val="TableCellCenter"/>
              <w:keepNext w:val="0"/>
              <w:keepLines w:val="0"/>
              <w:spacing w:before="40" w:after="40" w:line="240" w:lineRule="auto"/>
              <w:rPr>
                <w:sz w:val="22"/>
                <w:szCs w:val="22"/>
              </w:rPr>
            </w:pPr>
          </w:p>
        </w:tc>
        <w:tc>
          <w:tcPr>
            <w:tcW w:w="2160" w:type="dxa"/>
            <w:tcBorders>
              <w:left w:val="nil"/>
            </w:tcBorders>
          </w:tcPr>
          <w:p w14:paraId="259E2FE6" w14:textId="77777777" w:rsidR="00400398" w:rsidRPr="00215594" w:rsidRDefault="00400398">
            <w:pPr>
              <w:pStyle w:val="TableCellCenter"/>
              <w:keepNext w:val="0"/>
              <w:keepLines w:val="0"/>
              <w:spacing w:before="40" w:after="40" w:line="240" w:lineRule="auto"/>
              <w:rPr>
                <w:sz w:val="22"/>
                <w:szCs w:val="22"/>
              </w:rPr>
            </w:pPr>
          </w:p>
        </w:tc>
      </w:tr>
      <w:tr w:rsidR="00400398" w:rsidRPr="00215594" w14:paraId="35CBD776" w14:textId="77777777" w:rsidTr="001E05C2">
        <w:trPr>
          <w:trHeight w:val="411"/>
        </w:trPr>
        <w:tc>
          <w:tcPr>
            <w:tcW w:w="4200" w:type="dxa"/>
            <w:vAlign w:val="center"/>
          </w:tcPr>
          <w:p w14:paraId="62F376FA" w14:textId="77777777" w:rsidR="00400398" w:rsidRPr="00215594" w:rsidRDefault="00400398">
            <w:pPr>
              <w:pStyle w:val="TableCellLeft"/>
              <w:keepNext w:val="0"/>
              <w:keepLines w:val="0"/>
              <w:spacing w:before="40" w:after="40" w:line="240" w:lineRule="auto"/>
              <w:ind w:left="240" w:firstLine="12"/>
              <w:rPr>
                <w:sz w:val="22"/>
                <w:szCs w:val="22"/>
              </w:rPr>
            </w:pPr>
            <w:r w:rsidRPr="00215594">
              <w:rPr>
                <w:sz w:val="22"/>
                <w:szCs w:val="22"/>
              </w:rPr>
              <w:t>Taxa (%)</w:t>
            </w:r>
          </w:p>
        </w:tc>
        <w:tc>
          <w:tcPr>
            <w:tcW w:w="2280" w:type="dxa"/>
          </w:tcPr>
          <w:p w14:paraId="31283388" w14:textId="77777777" w:rsidR="00400398" w:rsidRPr="00215594" w:rsidRDefault="00400398">
            <w:pPr>
              <w:pStyle w:val="TableCellCenter"/>
              <w:keepNext w:val="0"/>
              <w:keepLines w:val="0"/>
              <w:spacing w:before="40" w:after="40" w:line="240" w:lineRule="auto"/>
              <w:rPr>
                <w:sz w:val="22"/>
                <w:szCs w:val="22"/>
              </w:rPr>
            </w:pPr>
            <w:r w:rsidRPr="00215594">
              <w:rPr>
                <w:sz w:val="22"/>
                <w:szCs w:val="22"/>
              </w:rPr>
              <w:t>34,8</w:t>
            </w:r>
          </w:p>
        </w:tc>
        <w:tc>
          <w:tcPr>
            <w:tcW w:w="2160" w:type="dxa"/>
          </w:tcPr>
          <w:p w14:paraId="6E4DB2A8" w14:textId="77777777" w:rsidR="00400398" w:rsidRPr="00215594" w:rsidRDefault="00400398">
            <w:pPr>
              <w:pStyle w:val="TableCellCenter"/>
              <w:keepNext w:val="0"/>
              <w:keepLines w:val="0"/>
              <w:spacing w:before="40" w:after="40" w:line="240" w:lineRule="auto"/>
              <w:rPr>
                <w:sz w:val="22"/>
                <w:szCs w:val="22"/>
              </w:rPr>
            </w:pPr>
            <w:r w:rsidRPr="00215594">
              <w:rPr>
                <w:sz w:val="22"/>
                <w:szCs w:val="22"/>
              </w:rPr>
              <w:t>44,8</w:t>
            </w:r>
          </w:p>
        </w:tc>
      </w:tr>
      <w:tr w:rsidR="00400398" w:rsidRPr="00215594" w14:paraId="40351429" w14:textId="77777777" w:rsidTr="001E05C2">
        <w:tc>
          <w:tcPr>
            <w:tcW w:w="4200" w:type="dxa"/>
            <w:vAlign w:val="center"/>
          </w:tcPr>
          <w:p w14:paraId="68158A3A" w14:textId="77777777" w:rsidR="00400398" w:rsidRPr="00215594" w:rsidRDefault="00400398">
            <w:pPr>
              <w:pStyle w:val="TableCellCenter"/>
              <w:keepNext w:val="0"/>
              <w:keepLines w:val="0"/>
              <w:spacing w:before="40" w:after="40" w:line="240" w:lineRule="auto"/>
              <w:ind w:left="240" w:firstLine="12"/>
              <w:jc w:val="left"/>
              <w:rPr>
                <w:sz w:val="22"/>
                <w:szCs w:val="22"/>
              </w:rPr>
            </w:pPr>
          </w:p>
        </w:tc>
        <w:tc>
          <w:tcPr>
            <w:tcW w:w="4440" w:type="dxa"/>
            <w:gridSpan w:val="2"/>
          </w:tcPr>
          <w:p w14:paraId="1D64D466" w14:textId="77777777" w:rsidR="00400398" w:rsidRPr="00215594" w:rsidRDefault="00400398">
            <w:pPr>
              <w:pStyle w:val="TableCellCenter"/>
              <w:keepNext w:val="0"/>
              <w:keepLines w:val="0"/>
              <w:spacing w:before="40" w:after="40" w:line="240" w:lineRule="auto"/>
              <w:rPr>
                <w:sz w:val="22"/>
                <w:szCs w:val="22"/>
              </w:rPr>
            </w:pPr>
            <w:r w:rsidRPr="00215594">
              <w:rPr>
                <w:sz w:val="22"/>
                <w:szCs w:val="22"/>
              </w:rPr>
              <w:t>(valor de p = 0,0036)</w:t>
            </w:r>
          </w:p>
        </w:tc>
      </w:tr>
      <w:tr w:rsidR="00400398" w:rsidRPr="00215594" w14:paraId="2FD29362" w14:textId="77777777" w:rsidTr="001E05C2">
        <w:tc>
          <w:tcPr>
            <w:tcW w:w="8640" w:type="dxa"/>
            <w:gridSpan w:val="3"/>
            <w:tcBorders>
              <w:left w:val="nil"/>
              <w:bottom w:val="nil"/>
              <w:right w:val="nil"/>
            </w:tcBorders>
            <w:vAlign w:val="center"/>
          </w:tcPr>
          <w:p w14:paraId="4F535132" w14:textId="77777777" w:rsidR="00400398" w:rsidRPr="001E05C2" w:rsidRDefault="00400398">
            <w:pPr>
              <w:ind w:firstLine="12"/>
              <w:rPr>
                <w:sz w:val="18"/>
                <w:szCs w:val="18"/>
              </w:rPr>
            </w:pPr>
            <w:r w:rsidRPr="001E05C2">
              <w:rPr>
                <w:sz w:val="18"/>
                <w:szCs w:val="18"/>
                <w:vertAlign w:val="superscript"/>
              </w:rPr>
              <w:t xml:space="preserve">a </w:t>
            </w:r>
            <w:r w:rsidRPr="001E05C2">
              <w:rPr>
                <w:sz w:val="18"/>
                <w:szCs w:val="18"/>
              </w:rPr>
              <w:t>5 mg/kg de 2 em 2 semanas</w:t>
            </w:r>
          </w:p>
          <w:p w14:paraId="4A5EBF02" w14:textId="77777777" w:rsidR="00400398" w:rsidRPr="00215594" w:rsidRDefault="00400398">
            <w:pPr>
              <w:ind w:firstLine="12"/>
              <w:rPr>
                <w:sz w:val="20"/>
              </w:rPr>
            </w:pPr>
            <w:r w:rsidRPr="001E05C2">
              <w:rPr>
                <w:sz w:val="18"/>
                <w:szCs w:val="18"/>
                <w:vertAlign w:val="superscript"/>
              </w:rPr>
              <w:t>b</w:t>
            </w:r>
            <w:r w:rsidRPr="001E05C2">
              <w:rPr>
                <w:sz w:val="18"/>
                <w:szCs w:val="18"/>
              </w:rPr>
              <w:t xml:space="preserve"> Relativamente ao braço de controlo</w:t>
            </w:r>
          </w:p>
        </w:tc>
      </w:tr>
    </w:tbl>
    <w:p w14:paraId="3C6CE068" w14:textId="77777777" w:rsidR="00400398" w:rsidRPr="007232E4" w:rsidRDefault="00400398"/>
    <w:p w14:paraId="37E9CC66" w14:textId="77777777" w:rsidR="00400398" w:rsidRPr="007232E4" w:rsidRDefault="00400398">
      <w:pPr>
        <w:rPr>
          <w:szCs w:val="22"/>
        </w:rPr>
      </w:pPr>
      <w:r w:rsidRPr="007232E4">
        <w:rPr>
          <w:szCs w:val="22"/>
        </w:rPr>
        <w:t>Entre os 110 doentes aleatorizados para o Braço 3 (5</w:t>
      </w:r>
      <w:r w:rsidRPr="007232E4">
        <w:rPr>
          <w:szCs w:val="22"/>
        </w:rPr>
        <w:noBreakHyphen/>
        <w:t>FU/AF + </w:t>
      </w:r>
      <w:r w:rsidR="009D13B0">
        <w:rPr>
          <w:szCs w:val="22"/>
        </w:rPr>
        <w:t>bevacizumab</w:t>
      </w:r>
      <w:r w:rsidRPr="007232E4">
        <w:rPr>
          <w:szCs w:val="22"/>
        </w:rPr>
        <w:t xml:space="preserve">), antes da descontinuação deste braço de tratamento, a </w:t>
      </w:r>
      <w:r w:rsidR="00066027">
        <w:rPr>
          <w:szCs w:val="22"/>
        </w:rPr>
        <w:t>OS</w:t>
      </w:r>
      <w:r w:rsidRPr="007232E4">
        <w:rPr>
          <w:szCs w:val="22"/>
        </w:rPr>
        <w:t xml:space="preserve"> mediana foi de 18,3 meses e a </w:t>
      </w:r>
      <w:r w:rsidR="00066027">
        <w:rPr>
          <w:szCs w:val="22"/>
        </w:rPr>
        <w:t>PFS</w:t>
      </w:r>
      <w:r w:rsidRPr="007232E4">
        <w:rPr>
          <w:szCs w:val="22"/>
        </w:rPr>
        <w:t>mediana foi de 8,8 meses.</w:t>
      </w:r>
    </w:p>
    <w:p w14:paraId="1F533DFF" w14:textId="77777777" w:rsidR="00400398" w:rsidRPr="007232E4" w:rsidRDefault="00400398"/>
    <w:p w14:paraId="577E2A6A" w14:textId="77777777" w:rsidR="00400398" w:rsidRPr="007232E4" w:rsidRDefault="00400398">
      <w:pPr>
        <w:rPr>
          <w:rFonts w:eastAsia="MS Mincho"/>
          <w:i/>
        </w:rPr>
      </w:pPr>
      <w:r w:rsidRPr="007232E4">
        <w:rPr>
          <w:i/>
        </w:rPr>
        <w:t>AVF2192g</w:t>
      </w:r>
      <w:r w:rsidRPr="007232E4">
        <w:rPr>
          <w:rFonts w:eastAsia="MS Mincho"/>
          <w:i/>
        </w:rPr>
        <w:t xml:space="preserve"> </w:t>
      </w:r>
    </w:p>
    <w:p w14:paraId="1E2E08FD" w14:textId="77777777" w:rsidR="00400398" w:rsidRPr="007232E4" w:rsidRDefault="00400398">
      <w:r w:rsidRPr="007232E4">
        <w:rPr>
          <w:rFonts w:eastAsia="MS Mincho"/>
        </w:rPr>
        <w:t>Tratou</w:t>
      </w:r>
      <w:r w:rsidRPr="007232E4">
        <w:rPr>
          <w:rFonts w:eastAsia="MS Mincho"/>
        </w:rPr>
        <w:noBreakHyphen/>
        <w:t xml:space="preserve">se de um ensaio clínico aleatorizado de fase II, com dupla ocultação, controlado por substância ativa, para avaliar a eficácia e segurança do </w:t>
      </w:r>
      <w:r w:rsidR="009D13B0">
        <w:rPr>
          <w:rFonts w:eastAsia="MS Mincho"/>
        </w:rPr>
        <w:t>bevacizumab</w:t>
      </w:r>
      <w:r w:rsidR="009D13B0" w:rsidRPr="007232E4">
        <w:rPr>
          <w:rFonts w:eastAsia="MS Mincho"/>
        </w:rPr>
        <w:t xml:space="preserve"> </w:t>
      </w:r>
      <w:r w:rsidRPr="007232E4">
        <w:rPr>
          <w:rFonts w:eastAsia="MS Mincho"/>
        </w:rPr>
        <w:t>em associação com 5</w:t>
      </w:r>
      <w:r w:rsidRPr="007232E4">
        <w:rPr>
          <w:rFonts w:eastAsia="MS Mincho"/>
        </w:rPr>
        <w:noBreakHyphen/>
        <w:t xml:space="preserve">FU/AF como tratamento de primeira linha do cancro </w:t>
      </w:r>
      <w:r w:rsidRPr="007232E4">
        <w:t>colo</w:t>
      </w:r>
      <w:r w:rsidRPr="007232E4">
        <w:noBreakHyphen/>
        <w:t>retal</w:t>
      </w:r>
      <w:r w:rsidRPr="007232E4">
        <w:rPr>
          <w:rFonts w:eastAsia="MS Mincho"/>
        </w:rPr>
        <w:t xml:space="preserve"> metastizado em doentes que não eram candidatos ideais ao tratamento de primeira linha com irinotecano. Foram aleatorizados 105 doentes para o braço 5</w:t>
      </w:r>
      <w:r w:rsidRPr="007232E4">
        <w:rPr>
          <w:rFonts w:eastAsia="MS Mincho"/>
        </w:rPr>
        <w:noBreakHyphen/>
        <w:t>FU/AF + placebo e 104 doentes para o braço 5</w:t>
      </w:r>
      <w:r w:rsidRPr="007232E4">
        <w:rPr>
          <w:rFonts w:eastAsia="MS Mincho"/>
        </w:rPr>
        <w:noBreakHyphen/>
        <w:t>FU/AF + </w:t>
      </w:r>
      <w:r w:rsidR="009D13B0">
        <w:rPr>
          <w:rFonts w:eastAsia="MS Mincho"/>
        </w:rPr>
        <w:t>bevacizumab</w:t>
      </w:r>
      <w:r w:rsidR="009D13B0" w:rsidRPr="007232E4">
        <w:rPr>
          <w:rFonts w:eastAsia="MS Mincho"/>
        </w:rPr>
        <w:t xml:space="preserve"> </w:t>
      </w:r>
      <w:r w:rsidRPr="007232E4">
        <w:rPr>
          <w:rFonts w:eastAsia="MS Mincho"/>
        </w:rPr>
        <w:t>(5 mg/kg de 2 em 2</w:t>
      </w:r>
      <w:r w:rsidR="00B107E6">
        <w:rPr>
          <w:rFonts w:eastAsia="MS Mincho"/>
        </w:rPr>
        <w:t> </w:t>
      </w:r>
      <w:r w:rsidRPr="007232E4">
        <w:rPr>
          <w:rFonts w:eastAsia="MS Mincho"/>
        </w:rPr>
        <w:t xml:space="preserve">semanas). Todos os tratamentos prosseguiram até progressão da doença. </w:t>
      </w:r>
      <w:r w:rsidRPr="007232E4">
        <w:t xml:space="preserve">A adição de 5 mg/kg de </w:t>
      </w:r>
      <w:r w:rsidR="009D13B0">
        <w:t>bevacizumab</w:t>
      </w:r>
      <w:r w:rsidRPr="007232E4">
        <w:t>, de 2 em 2 semanas, ao 5</w:t>
      </w:r>
      <w:r w:rsidRPr="007232E4">
        <w:noBreakHyphen/>
        <w:t xml:space="preserve">FU/AF resultou em taxas de resposta objetiva mais elevadas, uma </w:t>
      </w:r>
      <w:r w:rsidR="00066027">
        <w:t>PFS</w:t>
      </w:r>
      <w:r w:rsidRPr="007232E4">
        <w:t xml:space="preserve"> significativamente mais longa e uma tendência para uma sobrevivência global mais longa, comparativamente com as obtidas com a quimioterapia apenas com 5</w:t>
      </w:r>
      <w:r w:rsidRPr="007232E4">
        <w:noBreakHyphen/>
        <w:t>FU/AF.</w:t>
      </w:r>
    </w:p>
    <w:p w14:paraId="671B9BA3" w14:textId="77777777" w:rsidR="00400398" w:rsidRPr="007232E4" w:rsidRDefault="00400398"/>
    <w:p w14:paraId="292EB23B" w14:textId="77777777" w:rsidR="00400398" w:rsidRPr="007232E4" w:rsidRDefault="00400398">
      <w:pPr>
        <w:keepNext/>
        <w:keepLines/>
        <w:rPr>
          <w:i/>
        </w:rPr>
      </w:pPr>
      <w:r w:rsidRPr="007232E4">
        <w:rPr>
          <w:i/>
        </w:rPr>
        <w:t xml:space="preserve">AVF0780g </w:t>
      </w:r>
    </w:p>
    <w:p w14:paraId="7F783821" w14:textId="77777777" w:rsidR="00B107E6" w:rsidRDefault="00400398">
      <w:r w:rsidRPr="007232E4">
        <w:t>Tratou</w:t>
      </w:r>
      <w:r w:rsidRPr="007232E4">
        <w:noBreakHyphen/>
        <w:t xml:space="preserve">se de um ensaio clínico de fase II aleatorizado, controlado por substância ativa, aberto, destinado a investigar o </w:t>
      </w:r>
      <w:r w:rsidR="009D13B0">
        <w:t>bevacizumab</w:t>
      </w:r>
      <w:r w:rsidR="009D13B0" w:rsidRPr="007232E4">
        <w:t xml:space="preserve"> </w:t>
      </w:r>
      <w:r w:rsidRPr="007232E4">
        <w:t>em associação com o 5</w:t>
      </w:r>
      <w:r w:rsidRPr="007232E4">
        <w:noBreakHyphen/>
        <w:t>FU/AF como tratamento de primeira linha do cancro colo</w:t>
      </w:r>
      <w:r w:rsidRPr="007232E4">
        <w:noBreakHyphen/>
        <w:t xml:space="preserve">retal metastizado. A idade </w:t>
      </w:r>
      <w:r w:rsidR="00B96995">
        <w:t>mediana</w:t>
      </w:r>
      <w:r w:rsidRPr="007232E4">
        <w:t xml:space="preserve"> foi de 64 anos. 19% dos doentes tinham sido tratados previamente com quimioterapia e 14% com radioterapia. </w:t>
      </w:r>
    </w:p>
    <w:p w14:paraId="420E3AC1" w14:textId="77777777" w:rsidR="00400398" w:rsidRPr="007232E4" w:rsidRDefault="00400398">
      <w:r w:rsidRPr="007232E4">
        <w:t>Setenta e um doentes foram aleatorizados para tratamento com 5</w:t>
      </w:r>
      <w:r w:rsidRPr="007232E4">
        <w:noBreakHyphen/>
        <w:t>FU/AF em bólus ou 5</w:t>
      </w:r>
      <w:r w:rsidRPr="007232E4">
        <w:noBreakHyphen/>
        <w:t>FU/AF </w:t>
      </w:r>
      <w:r w:rsidRPr="007232E4">
        <w:rPr>
          <w:rFonts w:ascii="Symbol" w:hAnsi="Symbol"/>
        </w:rPr>
        <w:t></w:t>
      </w:r>
      <w:r w:rsidRPr="007232E4">
        <w:t> </w:t>
      </w:r>
      <w:r w:rsidR="009D13B0">
        <w:t>bevacizumab</w:t>
      </w:r>
      <w:r w:rsidR="009D13B0" w:rsidRPr="007232E4">
        <w:t xml:space="preserve"> </w:t>
      </w:r>
      <w:r w:rsidRPr="007232E4">
        <w:t>(5 mg/kg de 2 em 2 semanas). Um terceiro grupo de 33 doentes recebeu bólus de 5</w:t>
      </w:r>
      <w:r w:rsidRPr="007232E4">
        <w:noBreakHyphen/>
        <w:t>FU/AF </w:t>
      </w:r>
      <w:r w:rsidRPr="007232E4">
        <w:rPr>
          <w:rFonts w:ascii="Symbol" w:hAnsi="Symbol"/>
        </w:rPr>
        <w:t></w:t>
      </w:r>
      <w:r w:rsidRPr="007232E4">
        <w:t> </w:t>
      </w:r>
      <w:r w:rsidR="009D13B0">
        <w:t>bevacizumab</w:t>
      </w:r>
      <w:r w:rsidR="009D13B0" w:rsidRPr="007232E4">
        <w:t xml:space="preserve"> </w:t>
      </w:r>
      <w:r w:rsidRPr="007232E4">
        <w:t xml:space="preserve">(10 mg/kg de 2 em 2 semanas). Os doentes foram tratados até progressão da doença. Os objetivos primários do ensaio foram a taxa de resposta objetiva e a </w:t>
      </w:r>
      <w:r w:rsidR="00066027">
        <w:t>PFS</w:t>
      </w:r>
      <w:r w:rsidRPr="007232E4">
        <w:t xml:space="preserve">. A adição de 5 mg/kg de </w:t>
      </w:r>
      <w:r w:rsidR="009D13B0">
        <w:t>bevacizumab</w:t>
      </w:r>
      <w:r w:rsidRPr="007232E4">
        <w:t>, de 2 em 2</w:t>
      </w:r>
      <w:r w:rsidR="00B107E6">
        <w:t> </w:t>
      </w:r>
      <w:r w:rsidRPr="007232E4">
        <w:t>semanas, a 5</w:t>
      </w:r>
      <w:r w:rsidRPr="007232E4">
        <w:noBreakHyphen/>
        <w:t>FU/AF resultou numa maior taxa de resposta objetiva, numa maior so</w:t>
      </w:r>
      <w:r w:rsidR="00066027">
        <w:t>PFS</w:t>
      </w:r>
      <w:r w:rsidRPr="007232E4">
        <w:t xml:space="preserve"> e numa tendência para uma sobrevivência mais prolongada, comparativamente com o observado com quimioterapia apenas com 5</w:t>
      </w:r>
      <w:r w:rsidRPr="007232E4">
        <w:noBreakHyphen/>
        <w:t>FU/AF (ver a Tabela </w:t>
      </w:r>
      <w:r>
        <w:t>5</w:t>
      </w:r>
      <w:r w:rsidRPr="007232E4">
        <w:t>). Estes resultados de eficácia são consistentes com os resultados obtidos no ensaio AVF2107g.</w:t>
      </w:r>
    </w:p>
    <w:p w14:paraId="36F0E631" w14:textId="77777777" w:rsidR="00400398" w:rsidRPr="007232E4" w:rsidRDefault="00400398"/>
    <w:p w14:paraId="52BBA4BD" w14:textId="77777777" w:rsidR="00400398" w:rsidRPr="007232E4" w:rsidRDefault="00400398">
      <w:r w:rsidRPr="007232E4">
        <w:t>Na Tabela </w:t>
      </w:r>
      <w:r>
        <w:t>5</w:t>
      </w:r>
      <w:r w:rsidRPr="007232E4">
        <w:t xml:space="preserve"> indicam</w:t>
      </w:r>
      <w:r w:rsidRPr="007232E4">
        <w:noBreakHyphen/>
        <w:t xml:space="preserve">se, em resumo, os resultados de eficácia obtidos nos ensaios AVF0780g e AVF2192g destinados a estudar o </w:t>
      </w:r>
      <w:r w:rsidR="009D13B0">
        <w:t>bevacizumab</w:t>
      </w:r>
      <w:r w:rsidR="009D13B0" w:rsidRPr="007232E4">
        <w:t xml:space="preserve"> </w:t>
      </w:r>
      <w:r w:rsidRPr="007232E4">
        <w:t>em associação com a quimioterapia com 5</w:t>
      </w:r>
      <w:r w:rsidRPr="007232E4">
        <w:noBreakHyphen/>
        <w:t>FU/AF.</w:t>
      </w:r>
    </w:p>
    <w:p w14:paraId="03ABD6AF" w14:textId="77777777" w:rsidR="00400398" w:rsidRPr="007232E4" w:rsidRDefault="00400398"/>
    <w:p w14:paraId="725799E3" w14:textId="77777777" w:rsidR="00400398" w:rsidRPr="007232E4" w:rsidRDefault="00400398" w:rsidP="00FE7BEC">
      <w:pPr>
        <w:keepNext/>
        <w:keepLines/>
        <w:tabs>
          <w:tab w:val="left" w:pos="1320"/>
        </w:tabs>
        <w:rPr>
          <w:b/>
        </w:rPr>
      </w:pPr>
      <w:r w:rsidRPr="007232E4">
        <w:rPr>
          <w:b/>
        </w:rPr>
        <w:lastRenderedPageBreak/>
        <w:t>Tabela </w:t>
      </w:r>
      <w:r>
        <w:rPr>
          <w:b/>
        </w:rPr>
        <w:t>5</w:t>
      </w:r>
      <w:r w:rsidRPr="007232E4">
        <w:rPr>
          <w:b/>
        </w:rPr>
        <w:tab/>
        <w:t>Resultados de eficácia obtidos nos ensaios AVF0780g e AVF2192g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047"/>
        <w:gridCol w:w="1715"/>
        <w:gridCol w:w="1731"/>
        <w:gridCol w:w="1390"/>
        <w:gridCol w:w="1451"/>
      </w:tblGrid>
      <w:tr w:rsidR="00400398" w:rsidRPr="00215594" w14:paraId="603EF1B3" w14:textId="77777777" w:rsidTr="00D91337">
        <w:trPr>
          <w:cantSplit/>
          <w:tblHeader/>
        </w:trPr>
        <w:tc>
          <w:tcPr>
            <w:tcW w:w="857" w:type="pct"/>
            <w:vMerge w:val="restart"/>
          </w:tcPr>
          <w:p w14:paraId="25B7A103" w14:textId="77777777" w:rsidR="00400398" w:rsidRPr="00215594" w:rsidRDefault="00400398" w:rsidP="00FE7BEC">
            <w:pPr>
              <w:keepNext/>
              <w:keepLines/>
              <w:rPr>
                <w:szCs w:val="22"/>
              </w:rPr>
            </w:pPr>
          </w:p>
        </w:tc>
        <w:tc>
          <w:tcPr>
            <w:tcW w:w="2827" w:type="pct"/>
            <w:gridSpan w:val="3"/>
            <w:vAlign w:val="center"/>
          </w:tcPr>
          <w:p w14:paraId="10A8BA32" w14:textId="77777777" w:rsidR="00400398" w:rsidRPr="001E05C2" w:rsidRDefault="00400398" w:rsidP="00FE7BEC">
            <w:pPr>
              <w:pStyle w:val="TableCellCenter"/>
              <w:spacing w:before="40" w:after="40" w:line="240" w:lineRule="auto"/>
              <w:rPr>
                <w:b/>
                <w:sz w:val="22"/>
                <w:szCs w:val="22"/>
              </w:rPr>
            </w:pPr>
            <w:r w:rsidRPr="001E05C2">
              <w:rPr>
                <w:b/>
                <w:sz w:val="22"/>
                <w:szCs w:val="22"/>
              </w:rPr>
              <w:t>AVF0780g</w:t>
            </w:r>
          </w:p>
        </w:tc>
        <w:tc>
          <w:tcPr>
            <w:tcW w:w="1316" w:type="pct"/>
            <w:gridSpan w:val="2"/>
            <w:vAlign w:val="center"/>
          </w:tcPr>
          <w:p w14:paraId="33FBDC4B" w14:textId="77777777" w:rsidR="00400398" w:rsidRPr="001E05C2" w:rsidRDefault="00400398" w:rsidP="00FE7BEC">
            <w:pPr>
              <w:keepNext/>
              <w:keepLines/>
              <w:jc w:val="center"/>
              <w:rPr>
                <w:b/>
                <w:szCs w:val="22"/>
              </w:rPr>
            </w:pPr>
            <w:r w:rsidRPr="001E05C2">
              <w:rPr>
                <w:b/>
                <w:szCs w:val="22"/>
              </w:rPr>
              <w:t>AVF2192g</w:t>
            </w:r>
          </w:p>
        </w:tc>
      </w:tr>
      <w:tr w:rsidR="00400398" w:rsidRPr="00215594" w14:paraId="3BDA820D" w14:textId="77777777" w:rsidTr="00D91337">
        <w:trPr>
          <w:cantSplit/>
          <w:trHeight w:val="932"/>
          <w:tblHeader/>
        </w:trPr>
        <w:tc>
          <w:tcPr>
            <w:tcW w:w="857" w:type="pct"/>
            <w:vMerge/>
          </w:tcPr>
          <w:p w14:paraId="69CB52AA" w14:textId="77777777" w:rsidR="00400398" w:rsidRPr="00215594" w:rsidRDefault="00400398" w:rsidP="00FE7BEC">
            <w:pPr>
              <w:keepNext/>
              <w:keepLines/>
              <w:rPr>
                <w:szCs w:val="22"/>
              </w:rPr>
            </w:pPr>
          </w:p>
        </w:tc>
        <w:tc>
          <w:tcPr>
            <w:tcW w:w="521" w:type="pct"/>
            <w:vAlign w:val="center"/>
          </w:tcPr>
          <w:p w14:paraId="382F4084" w14:textId="77777777" w:rsidR="00400398" w:rsidRPr="00215594" w:rsidRDefault="00400398" w:rsidP="00FE7BEC">
            <w:pPr>
              <w:pStyle w:val="TableCellCenter"/>
              <w:spacing w:before="40" w:after="40" w:line="240" w:lineRule="auto"/>
              <w:rPr>
                <w:b/>
                <w:sz w:val="22"/>
                <w:szCs w:val="22"/>
              </w:rPr>
            </w:pPr>
            <w:r w:rsidRPr="00215594">
              <w:rPr>
                <w:b/>
                <w:sz w:val="22"/>
                <w:szCs w:val="22"/>
              </w:rPr>
              <w:t xml:space="preserve"> 5</w:t>
            </w:r>
            <w:r w:rsidRPr="00215594">
              <w:rPr>
                <w:b/>
                <w:sz w:val="22"/>
                <w:szCs w:val="22"/>
              </w:rPr>
              <w:noBreakHyphen/>
              <w:t>FU/AF</w:t>
            </w:r>
          </w:p>
        </w:tc>
        <w:tc>
          <w:tcPr>
            <w:tcW w:w="1149" w:type="pct"/>
            <w:vAlign w:val="center"/>
          </w:tcPr>
          <w:p w14:paraId="07CACBFE" w14:textId="77777777" w:rsidR="00400398" w:rsidRPr="00215594" w:rsidRDefault="00400398" w:rsidP="009D13B0">
            <w:pPr>
              <w:pStyle w:val="TableCellCenter"/>
              <w:spacing w:before="40" w:after="40" w:line="240" w:lineRule="auto"/>
              <w:rPr>
                <w:b/>
                <w:sz w:val="22"/>
                <w:szCs w:val="22"/>
              </w:rPr>
            </w:pPr>
            <w:r w:rsidRPr="00215594">
              <w:rPr>
                <w:b/>
                <w:sz w:val="22"/>
                <w:szCs w:val="22"/>
              </w:rPr>
              <w:t>5</w:t>
            </w:r>
            <w:r w:rsidRPr="00215594">
              <w:rPr>
                <w:b/>
                <w:sz w:val="22"/>
                <w:szCs w:val="22"/>
              </w:rPr>
              <w:noBreakHyphen/>
              <w:t>FU/AF </w:t>
            </w:r>
            <w:r w:rsidRPr="00215594">
              <w:rPr>
                <w:rFonts w:ascii="Symbol" w:hAnsi="Symbol"/>
                <w:b/>
                <w:sz w:val="22"/>
                <w:szCs w:val="22"/>
              </w:rPr>
              <w:t></w:t>
            </w:r>
            <w:r w:rsidRPr="00215594">
              <w:rPr>
                <w:b/>
                <w:sz w:val="22"/>
                <w:szCs w:val="22"/>
              </w:rPr>
              <w:t xml:space="preserve"> </w:t>
            </w:r>
            <w:r w:rsidR="009D13B0" w:rsidRPr="00215594">
              <w:rPr>
                <w:b/>
                <w:sz w:val="22"/>
                <w:szCs w:val="22"/>
              </w:rPr>
              <w:t>bevacizumab</w:t>
            </w:r>
            <w:r w:rsidR="009D13B0" w:rsidRPr="00215594">
              <w:rPr>
                <w:b/>
                <w:sz w:val="22"/>
                <w:szCs w:val="22"/>
                <w:vertAlign w:val="superscript"/>
              </w:rPr>
              <w:t>a</w:t>
            </w:r>
          </w:p>
        </w:tc>
        <w:tc>
          <w:tcPr>
            <w:tcW w:w="1157" w:type="pct"/>
            <w:vAlign w:val="center"/>
          </w:tcPr>
          <w:p w14:paraId="0A00800E" w14:textId="77777777" w:rsidR="00400398" w:rsidRPr="00215594" w:rsidRDefault="00400398" w:rsidP="009D13B0">
            <w:pPr>
              <w:pStyle w:val="TableCellCenter"/>
              <w:spacing w:before="40" w:after="40" w:line="240" w:lineRule="auto"/>
              <w:rPr>
                <w:b/>
                <w:sz w:val="22"/>
                <w:szCs w:val="22"/>
              </w:rPr>
            </w:pPr>
            <w:r w:rsidRPr="00215594">
              <w:rPr>
                <w:b/>
                <w:sz w:val="22"/>
                <w:szCs w:val="22"/>
              </w:rPr>
              <w:t>5</w:t>
            </w:r>
            <w:r w:rsidRPr="00215594">
              <w:rPr>
                <w:b/>
                <w:sz w:val="22"/>
                <w:szCs w:val="22"/>
              </w:rPr>
              <w:noBreakHyphen/>
              <w:t>FU/AF </w:t>
            </w:r>
            <w:r w:rsidRPr="00215594">
              <w:rPr>
                <w:rFonts w:ascii="Symbol" w:hAnsi="Symbol"/>
                <w:b/>
                <w:sz w:val="22"/>
                <w:szCs w:val="22"/>
              </w:rPr>
              <w:t></w:t>
            </w:r>
            <w:r w:rsidRPr="00215594">
              <w:rPr>
                <w:b/>
                <w:sz w:val="22"/>
                <w:szCs w:val="22"/>
              </w:rPr>
              <w:t xml:space="preserve"> </w:t>
            </w:r>
            <w:r w:rsidR="009D13B0" w:rsidRPr="00215594">
              <w:rPr>
                <w:b/>
                <w:sz w:val="22"/>
                <w:szCs w:val="22"/>
              </w:rPr>
              <w:t>bevacizumab</w:t>
            </w:r>
            <w:r w:rsidR="009D13B0" w:rsidRPr="00215594">
              <w:rPr>
                <w:b/>
                <w:sz w:val="22"/>
                <w:szCs w:val="22"/>
                <w:vertAlign w:val="superscript"/>
              </w:rPr>
              <w:t>b</w:t>
            </w:r>
          </w:p>
        </w:tc>
        <w:tc>
          <w:tcPr>
            <w:tcW w:w="691" w:type="pct"/>
            <w:vAlign w:val="center"/>
          </w:tcPr>
          <w:p w14:paraId="503D5614" w14:textId="77777777" w:rsidR="00400398" w:rsidRPr="001E05C2" w:rsidRDefault="00400398" w:rsidP="00F65A07">
            <w:pPr>
              <w:keepNext/>
              <w:keepLines/>
              <w:spacing w:beforeLines="40" w:before="96" w:afterLines="40" w:after="96" w:line="240" w:lineRule="atLeast"/>
              <w:jc w:val="center"/>
              <w:rPr>
                <w:b/>
                <w:szCs w:val="22"/>
              </w:rPr>
            </w:pPr>
            <w:r w:rsidRPr="001E05C2">
              <w:rPr>
                <w:b/>
                <w:szCs w:val="22"/>
              </w:rPr>
              <w:t>5</w:t>
            </w:r>
            <w:r w:rsidRPr="001E05C2">
              <w:rPr>
                <w:b/>
                <w:szCs w:val="22"/>
              </w:rPr>
              <w:noBreakHyphen/>
              <w:t>FU/AF + placebo</w:t>
            </w:r>
          </w:p>
        </w:tc>
        <w:tc>
          <w:tcPr>
            <w:tcW w:w="625" w:type="pct"/>
            <w:vAlign w:val="center"/>
          </w:tcPr>
          <w:p w14:paraId="5C1C118F" w14:textId="77777777" w:rsidR="00400398" w:rsidRPr="00215594" w:rsidRDefault="00400398" w:rsidP="009D13B0">
            <w:pPr>
              <w:keepNext/>
              <w:keepLines/>
              <w:spacing w:beforeLines="40" w:before="96" w:afterLines="40" w:after="96" w:line="240" w:lineRule="atLeast"/>
              <w:jc w:val="center"/>
              <w:rPr>
                <w:b/>
                <w:szCs w:val="22"/>
              </w:rPr>
            </w:pPr>
            <w:r w:rsidRPr="00215594">
              <w:rPr>
                <w:b/>
                <w:szCs w:val="22"/>
              </w:rPr>
              <w:t>5</w:t>
            </w:r>
            <w:r w:rsidRPr="00215594">
              <w:rPr>
                <w:b/>
                <w:szCs w:val="22"/>
              </w:rPr>
              <w:noBreakHyphen/>
              <w:t xml:space="preserve">FU/AF + </w:t>
            </w:r>
            <w:r w:rsidR="009D13B0" w:rsidRPr="00215594">
              <w:rPr>
                <w:b/>
                <w:szCs w:val="22"/>
              </w:rPr>
              <w:t>bevacizumab</w:t>
            </w:r>
          </w:p>
        </w:tc>
      </w:tr>
      <w:tr w:rsidR="00400398" w:rsidRPr="00215594" w14:paraId="5508F7A4" w14:textId="77777777" w:rsidTr="00D91337">
        <w:tc>
          <w:tcPr>
            <w:tcW w:w="857" w:type="pct"/>
            <w:vAlign w:val="center"/>
          </w:tcPr>
          <w:p w14:paraId="48BC042A" w14:textId="77777777" w:rsidR="00400398" w:rsidRPr="00215594" w:rsidRDefault="00400398" w:rsidP="00FE7BEC">
            <w:pPr>
              <w:pStyle w:val="TableCellLeft"/>
              <w:spacing w:before="40" w:after="40" w:line="240" w:lineRule="auto"/>
              <w:rPr>
                <w:sz w:val="22"/>
                <w:szCs w:val="22"/>
              </w:rPr>
            </w:pPr>
            <w:r w:rsidRPr="00215594">
              <w:rPr>
                <w:sz w:val="22"/>
                <w:szCs w:val="22"/>
              </w:rPr>
              <w:t>Número de doentes</w:t>
            </w:r>
          </w:p>
        </w:tc>
        <w:tc>
          <w:tcPr>
            <w:tcW w:w="521" w:type="pct"/>
            <w:vAlign w:val="center"/>
          </w:tcPr>
          <w:p w14:paraId="6FF8981F" w14:textId="77777777" w:rsidR="00400398" w:rsidRPr="00215594" w:rsidRDefault="00400398" w:rsidP="00FE7BEC">
            <w:pPr>
              <w:pStyle w:val="TableCellCenter"/>
              <w:spacing w:before="40" w:after="40" w:line="240" w:lineRule="auto"/>
              <w:rPr>
                <w:sz w:val="22"/>
                <w:szCs w:val="22"/>
              </w:rPr>
            </w:pPr>
            <w:r w:rsidRPr="00215594">
              <w:rPr>
                <w:sz w:val="22"/>
                <w:szCs w:val="22"/>
              </w:rPr>
              <w:t>36</w:t>
            </w:r>
          </w:p>
        </w:tc>
        <w:tc>
          <w:tcPr>
            <w:tcW w:w="1149" w:type="pct"/>
            <w:vAlign w:val="center"/>
          </w:tcPr>
          <w:p w14:paraId="2EF0C770" w14:textId="77777777" w:rsidR="00400398" w:rsidRPr="00215594" w:rsidRDefault="00400398" w:rsidP="00FE7BEC">
            <w:pPr>
              <w:pStyle w:val="TableCellCenter"/>
              <w:spacing w:before="40" w:after="40" w:line="240" w:lineRule="auto"/>
              <w:rPr>
                <w:sz w:val="22"/>
                <w:szCs w:val="22"/>
              </w:rPr>
            </w:pPr>
            <w:r w:rsidRPr="00215594">
              <w:rPr>
                <w:sz w:val="22"/>
                <w:szCs w:val="22"/>
              </w:rPr>
              <w:t>35</w:t>
            </w:r>
          </w:p>
        </w:tc>
        <w:tc>
          <w:tcPr>
            <w:tcW w:w="1157" w:type="pct"/>
            <w:vAlign w:val="center"/>
          </w:tcPr>
          <w:p w14:paraId="661FD5FF" w14:textId="77777777" w:rsidR="00400398" w:rsidRPr="00215594" w:rsidRDefault="00400398" w:rsidP="00FE7BEC">
            <w:pPr>
              <w:pStyle w:val="TableCellCenter"/>
              <w:spacing w:before="40" w:after="40" w:line="240" w:lineRule="auto"/>
              <w:rPr>
                <w:sz w:val="22"/>
                <w:szCs w:val="22"/>
              </w:rPr>
            </w:pPr>
            <w:r w:rsidRPr="00215594">
              <w:rPr>
                <w:sz w:val="22"/>
                <w:szCs w:val="22"/>
              </w:rPr>
              <w:t>33</w:t>
            </w:r>
          </w:p>
        </w:tc>
        <w:tc>
          <w:tcPr>
            <w:tcW w:w="691" w:type="pct"/>
            <w:vAlign w:val="center"/>
          </w:tcPr>
          <w:p w14:paraId="6E618E52" w14:textId="77777777" w:rsidR="00400398" w:rsidRPr="00215594" w:rsidRDefault="00400398" w:rsidP="00FE7BEC">
            <w:pPr>
              <w:keepNext/>
              <w:keepLines/>
              <w:jc w:val="center"/>
              <w:rPr>
                <w:szCs w:val="22"/>
              </w:rPr>
            </w:pPr>
            <w:r w:rsidRPr="00215594">
              <w:rPr>
                <w:szCs w:val="22"/>
              </w:rPr>
              <w:t>105</w:t>
            </w:r>
          </w:p>
        </w:tc>
        <w:tc>
          <w:tcPr>
            <w:tcW w:w="625" w:type="pct"/>
            <w:vAlign w:val="center"/>
          </w:tcPr>
          <w:p w14:paraId="2F9DD534" w14:textId="77777777" w:rsidR="00400398" w:rsidRPr="00215594" w:rsidRDefault="00400398" w:rsidP="00FE7BEC">
            <w:pPr>
              <w:keepNext/>
              <w:keepLines/>
              <w:jc w:val="center"/>
              <w:rPr>
                <w:szCs w:val="22"/>
              </w:rPr>
            </w:pPr>
            <w:r w:rsidRPr="00215594">
              <w:rPr>
                <w:szCs w:val="22"/>
              </w:rPr>
              <w:t>104</w:t>
            </w:r>
          </w:p>
        </w:tc>
      </w:tr>
      <w:tr w:rsidR="00400398" w:rsidRPr="00215594" w14:paraId="4D751D05" w14:textId="77777777" w:rsidTr="00D91337">
        <w:tc>
          <w:tcPr>
            <w:tcW w:w="857" w:type="pct"/>
            <w:tcBorders>
              <w:right w:val="nil"/>
            </w:tcBorders>
            <w:vAlign w:val="center"/>
          </w:tcPr>
          <w:p w14:paraId="541140EB" w14:textId="77777777" w:rsidR="00400398" w:rsidRPr="00215594" w:rsidRDefault="00400398" w:rsidP="00FE7BEC">
            <w:pPr>
              <w:pStyle w:val="TableCellHead"/>
              <w:spacing w:before="40" w:after="40" w:line="240" w:lineRule="auto"/>
              <w:rPr>
                <w:sz w:val="22"/>
                <w:szCs w:val="22"/>
                <w:u w:val="none"/>
              </w:rPr>
            </w:pPr>
            <w:r w:rsidRPr="00215594">
              <w:rPr>
                <w:sz w:val="22"/>
                <w:szCs w:val="22"/>
                <w:u w:val="none"/>
              </w:rPr>
              <w:t>Sobrevivência global</w:t>
            </w:r>
          </w:p>
        </w:tc>
        <w:tc>
          <w:tcPr>
            <w:tcW w:w="521" w:type="pct"/>
            <w:tcBorders>
              <w:left w:val="nil"/>
              <w:right w:val="nil"/>
            </w:tcBorders>
            <w:vAlign w:val="center"/>
          </w:tcPr>
          <w:p w14:paraId="34F45841" w14:textId="77777777" w:rsidR="00400398" w:rsidRPr="00215594" w:rsidRDefault="00400398" w:rsidP="00FE7BEC">
            <w:pPr>
              <w:pStyle w:val="TableCellCenter"/>
              <w:spacing w:before="40" w:after="40" w:line="240" w:lineRule="auto"/>
              <w:rPr>
                <w:sz w:val="22"/>
                <w:szCs w:val="22"/>
              </w:rPr>
            </w:pPr>
          </w:p>
        </w:tc>
        <w:tc>
          <w:tcPr>
            <w:tcW w:w="1149" w:type="pct"/>
            <w:tcBorders>
              <w:left w:val="nil"/>
              <w:right w:val="nil"/>
            </w:tcBorders>
            <w:vAlign w:val="center"/>
          </w:tcPr>
          <w:p w14:paraId="1CEA8A23" w14:textId="77777777" w:rsidR="00400398" w:rsidRPr="00215594" w:rsidRDefault="00400398" w:rsidP="00FE7BEC">
            <w:pPr>
              <w:pStyle w:val="TableCellCenter"/>
              <w:spacing w:before="40" w:after="40" w:line="240" w:lineRule="auto"/>
              <w:rPr>
                <w:sz w:val="22"/>
                <w:szCs w:val="22"/>
              </w:rPr>
            </w:pPr>
          </w:p>
        </w:tc>
        <w:tc>
          <w:tcPr>
            <w:tcW w:w="1157" w:type="pct"/>
            <w:tcBorders>
              <w:left w:val="nil"/>
              <w:right w:val="nil"/>
            </w:tcBorders>
            <w:vAlign w:val="center"/>
          </w:tcPr>
          <w:p w14:paraId="6CC20FFE" w14:textId="77777777" w:rsidR="00400398" w:rsidRPr="00215594" w:rsidRDefault="00400398" w:rsidP="00FE7BEC">
            <w:pPr>
              <w:pStyle w:val="TableCellCenter"/>
              <w:spacing w:before="40" w:after="40" w:line="240" w:lineRule="auto"/>
              <w:rPr>
                <w:sz w:val="22"/>
                <w:szCs w:val="22"/>
              </w:rPr>
            </w:pPr>
          </w:p>
        </w:tc>
        <w:tc>
          <w:tcPr>
            <w:tcW w:w="691" w:type="pct"/>
            <w:tcBorders>
              <w:left w:val="nil"/>
              <w:right w:val="nil"/>
            </w:tcBorders>
            <w:vAlign w:val="center"/>
          </w:tcPr>
          <w:p w14:paraId="6BEC74B6" w14:textId="77777777" w:rsidR="00400398" w:rsidRPr="00215594" w:rsidRDefault="00400398" w:rsidP="00FE7BEC">
            <w:pPr>
              <w:keepNext/>
              <w:keepLines/>
              <w:jc w:val="center"/>
              <w:rPr>
                <w:szCs w:val="22"/>
              </w:rPr>
            </w:pPr>
          </w:p>
        </w:tc>
        <w:tc>
          <w:tcPr>
            <w:tcW w:w="625" w:type="pct"/>
            <w:tcBorders>
              <w:left w:val="nil"/>
            </w:tcBorders>
            <w:vAlign w:val="center"/>
          </w:tcPr>
          <w:p w14:paraId="69466A9E" w14:textId="77777777" w:rsidR="00400398" w:rsidRPr="00215594" w:rsidRDefault="00400398" w:rsidP="00FE7BEC">
            <w:pPr>
              <w:keepNext/>
              <w:keepLines/>
              <w:jc w:val="center"/>
              <w:rPr>
                <w:szCs w:val="22"/>
              </w:rPr>
            </w:pPr>
          </w:p>
        </w:tc>
      </w:tr>
      <w:tr w:rsidR="00400398" w:rsidRPr="00215594" w14:paraId="1E0E1630" w14:textId="77777777" w:rsidTr="00D91337">
        <w:tc>
          <w:tcPr>
            <w:tcW w:w="857" w:type="pct"/>
            <w:vAlign w:val="center"/>
          </w:tcPr>
          <w:p w14:paraId="20E718B1" w14:textId="77777777" w:rsidR="00400398" w:rsidRPr="00215594" w:rsidRDefault="00400398" w:rsidP="00FE7BEC">
            <w:pPr>
              <w:pStyle w:val="TableCellLeft"/>
              <w:spacing w:before="40" w:after="40" w:line="240" w:lineRule="auto"/>
              <w:ind w:left="240"/>
              <w:rPr>
                <w:sz w:val="22"/>
                <w:szCs w:val="22"/>
              </w:rPr>
            </w:pPr>
            <w:r w:rsidRPr="00215594">
              <w:rPr>
                <w:sz w:val="22"/>
                <w:szCs w:val="22"/>
              </w:rPr>
              <w:t>Mediana (meses)</w:t>
            </w:r>
          </w:p>
        </w:tc>
        <w:tc>
          <w:tcPr>
            <w:tcW w:w="521" w:type="pct"/>
            <w:vAlign w:val="center"/>
          </w:tcPr>
          <w:p w14:paraId="5CAB09E7" w14:textId="77777777" w:rsidR="00400398" w:rsidRPr="00215594" w:rsidRDefault="00400398" w:rsidP="00FE7BEC">
            <w:pPr>
              <w:pStyle w:val="TableCellCenter"/>
              <w:spacing w:before="40" w:after="40" w:line="240" w:lineRule="auto"/>
              <w:rPr>
                <w:sz w:val="22"/>
                <w:szCs w:val="22"/>
              </w:rPr>
            </w:pPr>
            <w:r w:rsidRPr="00215594">
              <w:rPr>
                <w:sz w:val="22"/>
                <w:szCs w:val="22"/>
              </w:rPr>
              <w:t>13,6</w:t>
            </w:r>
          </w:p>
        </w:tc>
        <w:tc>
          <w:tcPr>
            <w:tcW w:w="1149" w:type="pct"/>
            <w:vAlign w:val="center"/>
          </w:tcPr>
          <w:p w14:paraId="28A7C753" w14:textId="77777777" w:rsidR="00400398" w:rsidRPr="00215594" w:rsidRDefault="00400398" w:rsidP="00FE7BEC">
            <w:pPr>
              <w:pStyle w:val="TableCellCenter"/>
              <w:spacing w:before="40" w:after="40" w:line="240" w:lineRule="auto"/>
              <w:rPr>
                <w:sz w:val="22"/>
                <w:szCs w:val="22"/>
              </w:rPr>
            </w:pPr>
            <w:r w:rsidRPr="00215594">
              <w:rPr>
                <w:sz w:val="22"/>
                <w:szCs w:val="22"/>
              </w:rPr>
              <w:t>17,7</w:t>
            </w:r>
          </w:p>
        </w:tc>
        <w:tc>
          <w:tcPr>
            <w:tcW w:w="1157" w:type="pct"/>
            <w:vAlign w:val="center"/>
          </w:tcPr>
          <w:p w14:paraId="47967DEA" w14:textId="77777777" w:rsidR="00400398" w:rsidRPr="00215594" w:rsidRDefault="00400398" w:rsidP="00FE7BEC">
            <w:pPr>
              <w:pStyle w:val="TableCellCenter"/>
              <w:spacing w:before="40" w:after="40" w:line="240" w:lineRule="auto"/>
              <w:rPr>
                <w:sz w:val="22"/>
                <w:szCs w:val="22"/>
              </w:rPr>
            </w:pPr>
            <w:r w:rsidRPr="00215594">
              <w:rPr>
                <w:sz w:val="22"/>
                <w:szCs w:val="22"/>
              </w:rPr>
              <w:t>15,2</w:t>
            </w:r>
          </w:p>
        </w:tc>
        <w:tc>
          <w:tcPr>
            <w:tcW w:w="691" w:type="pct"/>
            <w:vAlign w:val="center"/>
          </w:tcPr>
          <w:p w14:paraId="73694DC6" w14:textId="77777777" w:rsidR="00400398" w:rsidRPr="00215594" w:rsidRDefault="00400398" w:rsidP="00FE7BEC">
            <w:pPr>
              <w:keepNext/>
              <w:keepLines/>
              <w:jc w:val="center"/>
              <w:rPr>
                <w:szCs w:val="22"/>
              </w:rPr>
            </w:pPr>
            <w:r w:rsidRPr="00215594">
              <w:rPr>
                <w:szCs w:val="22"/>
              </w:rPr>
              <w:t>12,9</w:t>
            </w:r>
          </w:p>
        </w:tc>
        <w:tc>
          <w:tcPr>
            <w:tcW w:w="625" w:type="pct"/>
            <w:vAlign w:val="center"/>
          </w:tcPr>
          <w:p w14:paraId="29D9A7FB" w14:textId="77777777" w:rsidR="00400398" w:rsidRPr="00215594" w:rsidRDefault="00400398" w:rsidP="00FE7BEC">
            <w:pPr>
              <w:keepNext/>
              <w:keepLines/>
              <w:jc w:val="center"/>
              <w:rPr>
                <w:szCs w:val="22"/>
              </w:rPr>
            </w:pPr>
            <w:r w:rsidRPr="00215594">
              <w:rPr>
                <w:szCs w:val="22"/>
              </w:rPr>
              <w:t>16,6</w:t>
            </w:r>
          </w:p>
        </w:tc>
      </w:tr>
      <w:tr w:rsidR="00400398" w:rsidRPr="00215594" w14:paraId="52EC180C" w14:textId="77777777" w:rsidTr="00D91337">
        <w:tc>
          <w:tcPr>
            <w:tcW w:w="857" w:type="pct"/>
            <w:vAlign w:val="center"/>
          </w:tcPr>
          <w:p w14:paraId="1D75E64A" w14:textId="77777777" w:rsidR="00400398" w:rsidRPr="00215594" w:rsidRDefault="00400398" w:rsidP="00FE7BEC">
            <w:pPr>
              <w:pStyle w:val="TableCellLeft"/>
              <w:spacing w:before="40" w:after="40" w:line="240" w:lineRule="auto"/>
              <w:ind w:left="480"/>
              <w:rPr>
                <w:sz w:val="22"/>
                <w:szCs w:val="22"/>
              </w:rPr>
            </w:pPr>
            <w:r w:rsidRPr="00215594">
              <w:rPr>
                <w:sz w:val="22"/>
                <w:szCs w:val="22"/>
              </w:rPr>
              <w:t xml:space="preserve">IC 95% </w:t>
            </w:r>
          </w:p>
        </w:tc>
        <w:tc>
          <w:tcPr>
            <w:tcW w:w="521" w:type="pct"/>
            <w:vAlign w:val="center"/>
          </w:tcPr>
          <w:p w14:paraId="4F1056DC" w14:textId="77777777" w:rsidR="00400398" w:rsidRPr="00215594" w:rsidRDefault="00400398" w:rsidP="00FE7BEC">
            <w:pPr>
              <w:pStyle w:val="TableCellCenter"/>
              <w:spacing w:before="40" w:after="40" w:line="240" w:lineRule="auto"/>
              <w:rPr>
                <w:sz w:val="22"/>
                <w:szCs w:val="22"/>
              </w:rPr>
            </w:pPr>
          </w:p>
        </w:tc>
        <w:tc>
          <w:tcPr>
            <w:tcW w:w="1149" w:type="pct"/>
            <w:vAlign w:val="center"/>
          </w:tcPr>
          <w:p w14:paraId="40E115AE" w14:textId="77777777" w:rsidR="00400398" w:rsidRPr="00215594" w:rsidRDefault="00400398" w:rsidP="00FE7BEC">
            <w:pPr>
              <w:pStyle w:val="TableCellCenter"/>
              <w:spacing w:before="40" w:after="40" w:line="240" w:lineRule="auto"/>
              <w:rPr>
                <w:sz w:val="22"/>
                <w:szCs w:val="22"/>
              </w:rPr>
            </w:pPr>
          </w:p>
        </w:tc>
        <w:tc>
          <w:tcPr>
            <w:tcW w:w="1157" w:type="pct"/>
            <w:vAlign w:val="center"/>
          </w:tcPr>
          <w:p w14:paraId="1609934C" w14:textId="77777777" w:rsidR="00400398" w:rsidRPr="00215594" w:rsidRDefault="00400398" w:rsidP="00FE7BEC">
            <w:pPr>
              <w:pStyle w:val="TableCellCenter"/>
              <w:spacing w:before="40" w:after="40" w:line="240" w:lineRule="auto"/>
              <w:rPr>
                <w:sz w:val="22"/>
                <w:szCs w:val="22"/>
              </w:rPr>
            </w:pPr>
          </w:p>
        </w:tc>
        <w:tc>
          <w:tcPr>
            <w:tcW w:w="691" w:type="pct"/>
            <w:vAlign w:val="center"/>
          </w:tcPr>
          <w:p w14:paraId="08649158" w14:textId="77777777" w:rsidR="00400398" w:rsidRPr="00215594" w:rsidRDefault="00400398" w:rsidP="00FE7BEC">
            <w:pPr>
              <w:keepNext/>
              <w:keepLines/>
              <w:jc w:val="center"/>
              <w:rPr>
                <w:szCs w:val="22"/>
              </w:rPr>
            </w:pPr>
            <w:r w:rsidRPr="00215594">
              <w:rPr>
                <w:szCs w:val="22"/>
              </w:rPr>
              <w:t>10,35 </w:t>
            </w:r>
            <w:r w:rsidRPr="00215594">
              <w:rPr>
                <w:szCs w:val="22"/>
              </w:rPr>
              <w:noBreakHyphen/>
              <w:t> 16,95</w:t>
            </w:r>
          </w:p>
        </w:tc>
        <w:tc>
          <w:tcPr>
            <w:tcW w:w="625" w:type="pct"/>
            <w:vAlign w:val="center"/>
          </w:tcPr>
          <w:p w14:paraId="1528A26E" w14:textId="77777777" w:rsidR="00400398" w:rsidRPr="00215594" w:rsidRDefault="00400398" w:rsidP="00FE7BEC">
            <w:pPr>
              <w:keepNext/>
              <w:keepLines/>
              <w:jc w:val="center"/>
              <w:rPr>
                <w:szCs w:val="22"/>
              </w:rPr>
            </w:pPr>
            <w:r w:rsidRPr="00215594">
              <w:rPr>
                <w:szCs w:val="22"/>
              </w:rPr>
              <w:t>13,63 </w:t>
            </w:r>
            <w:r w:rsidRPr="00215594">
              <w:rPr>
                <w:szCs w:val="22"/>
              </w:rPr>
              <w:noBreakHyphen/>
              <w:t> 19,32</w:t>
            </w:r>
          </w:p>
        </w:tc>
      </w:tr>
      <w:tr w:rsidR="00400398" w:rsidRPr="00215594" w14:paraId="56738BE0" w14:textId="77777777" w:rsidTr="00D91337">
        <w:tc>
          <w:tcPr>
            <w:tcW w:w="857" w:type="pct"/>
            <w:vAlign w:val="center"/>
          </w:tcPr>
          <w:p w14:paraId="46636624" w14:textId="77777777" w:rsidR="00400398" w:rsidRPr="00215594" w:rsidRDefault="00400398" w:rsidP="00FE7BEC">
            <w:pPr>
              <w:pStyle w:val="TableCellLeft"/>
              <w:spacing w:before="40" w:after="40" w:line="240" w:lineRule="auto"/>
              <w:ind w:left="240"/>
              <w:rPr>
                <w:sz w:val="22"/>
                <w:szCs w:val="22"/>
                <w:vertAlign w:val="superscript"/>
              </w:rPr>
            </w:pPr>
            <w:r w:rsidRPr="00215594">
              <w:rPr>
                <w:i/>
                <w:sz w:val="22"/>
                <w:szCs w:val="22"/>
              </w:rPr>
              <w:t xml:space="preserve">Hazard </w:t>
            </w:r>
            <w:r w:rsidR="00066027">
              <w:rPr>
                <w:i/>
                <w:sz w:val="22"/>
                <w:szCs w:val="22"/>
              </w:rPr>
              <w:t>r</w:t>
            </w:r>
            <w:r w:rsidRPr="00215594">
              <w:rPr>
                <w:i/>
                <w:sz w:val="22"/>
                <w:szCs w:val="22"/>
              </w:rPr>
              <w:t xml:space="preserve">atio </w:t>
            </w:r>
            <w:r w:rsidRPr="00215594">
              <w:rPr>
                <w:sz w:val="22"/>
                <w:szCs w:val="22"/>
              </w:rPr>
              <w:t>(taxa de risco)</w:t>
            </w:r>
            <w:r w:rsidRPr="00215594">
              <w:rPr>
                <w:i/>
                <w:sz w:val="22"/>
                <w:szCs w:val="22"/>
                <w:vertAlign w:val="superscript"/>
              </w:rPr>
              <w:t xml:space="preserve"> </w:t>
            </w:r>
            <w:r w:rsidRPr="00215594">
              <w:rPr>
                <w:sz w:val="22"/>
                <w:szCs w:val="22"/>
                <w:vertAlign w:val="superscript"/>
              </w:rPr>
              <w:t>c</w:t>
            </w:r>
          </w:p>
        </w:tc>
        <w:tc>
          <w:tcPr>
            <w:tcW w:w="521" w:type="pct"/>
            <w:vAlign w:val="center"/>
          </w:tcPr>
          <w:p w14:paraId="6E524E7D" w14:textId="77777777" w:rsidR="00400398" w:rsidRPr="00215594" w:rsidRDefault="00400398" w:rsidP="00FE7BEC">
            <w:pPr>
              <w:pStyle w:val="TableCellCenter"/>
              <w:spacing w:before="40" w:after="40" w:line="240" w:lineRule="auto"/>
              <w:rPr>
                <w:sz w:val="22"/>
                <w:szCs w:val="22"/>
              </w:rPr>
            </w:pPr>
            <w:r w:rsidRPr="00215594">
              <w:rPr>
                <w:sz w:val="22"/>
                <w:szCs w:val="22"/>
              </w:rPr>
              <w:t>-</w:t>
            </w:r>
          </w:p>
        </w:tc>
        <w:tc>
          <w:tcPr>
            <w:tcW w:w="1149" w:type="pct"/>
            <w:vAlign w:val="center"/>
          </w:tcPr>
          <w:p w14:paraId="669A0253" w14:textId="77777777" w:rsidR="00400398" w:rsidRPr="00215594" w:rsidRDefault="00400398" w:rsidP="00FE7BEC">
            <w:pPr>
              <w:pStyle w:val="TableCellCenter"/>
              <w:spacing w:before="40" w:after="40" w:line="240" w:lineRule="auto"/>
              <w:rPr>
                <w:sz w:val="22"/>
                <w:szCs w:val="22"/>
              </w:rPr>
            </w:pPr>
            <w:r w:rsidRPr="00215594">
              <w:rPr>
                <w:sz w:val="22"/>
                <w:szCs w:val="22"/>
              </w:rPr>
              <w:t>0,52</w:t>
            </w:r>
          </w:p>
        </w:tc>
        <w:tc>
          <w:tcPr>
            <w:tcW w:w="1157" w:type="pct"/>
            <w:vAlign w:val="center"/>
          </w:tcPr>
          <w:p w14:paraId="3D58202A" w14:textId="77777777" w:rsidR="00400398" w:rsidRPr="00215594" w:rsidRDefault="00400398" w:rsidP="00FE7BEC">
            <w:pPr>
              <w:pStyle w:val="TableCellCenter"/>
              <w:spacing w:before="40" w:after="40" w:line="240" w:lineRule="auto"/>
              <w:rPr>
                <w:sz w:val="22"/>
                <w:szCs w:val="22"/>
              </w:rPr>
            </w:pPr>
            <w:r w:rsidRPr="00215594">
              <w:rPr>
                <w:sz w:val="22"/>
                <w:szCs w:val="22"/>
              </w:rPr>
              <w:t>1,01</w:t>
            </w:r>
          </w:p>
        </w:tc>
        <w:tc>
          <w:tcPr>
            <w:tcW w:w="691" w:type="pct"/>
            <w:vAlign w:val="center"/>
          </w:tcPr>
          <w:p w14:paraId="78D6C851" w14:textId="77777777" w:rsidR="00400398" w:rsidRPr="00215594" w:rsidRDefault="00400398" w:rsidP="00FE7BEC">
            <w:pPr>
              <w:keepNext/>
              <w:keepLines/>
              <w:jc w:val="center"/>
              <w:rPr>
                <w:szCs w:val="22"/>
              </w:rPr>
            </w:pPr>
          </w:p>
        </w:tc>
        <w:tc>
          <w:tcPr>
            <w:tcW w:w="625" w:type="pct"/>
            <w:vAlign w:val="center"/>
          </w:tcPr>
          <w:p w14:paraId="62CFBC31" w14:textId="77777777" w:rsidR="00400398" w:rsidRPr="00215594" w:rsidRDefault="00400398" w:rsidP="00FE7BEC">
            <w:pPr>
              <w:keepNext/>
              <w:keepLines/>
              <w:jc w:val="center"/>
              <w:rPr>
                <w:szCs w:val="22"/>
              </w:rPr>
            </w:pPr>
            <w:r w:rsidRPr="00215594">
              <w:rPr>
                <w:szCs w:val="22"/>
              </w:rPr>
              <w:t>0,79</w:t>
            </w:r>
          </w:p>
        </w:tc>
      </w:tr>
      <w:tr w:rsidR="00400398" w:rsidRPr="00215594" w14:paraId="4F1AB916" w14:textId="77777777" w:rsidTr="00D91337">
        <w:tc>
          <w:tcPr>
            <w:tcW w:w="857" w:type="pct"/>
            <w:vAlign w:val="center"/>
          </w:tcPr>
          <w:p w14:paraId="29C9F5AE" w14:textId="77777777" w:rsidR="00400398" w:rsidRPr="00215594" w:rsidRDefault="00400398" w:rsidP="00FE7BEC">
            <w:pPr>
              <w:pStyle w:val="TableCellLeft"/>
              <w:spacing w:before="40" w:after="40" w:line="240" w:lineRule="auto"/>
              <w:ind w:left="240"/>
              <w:rPr>
                <w:sz w:val="22"/>
                <w:szCs w:val="22"/>
              </w:rPr>
            </w:pPr>
            <w:r w:rsidRPr="00215594">
              <w:rPr>
                <w:sz w:val="22"/>
                <w:szCs w:val="22"/>
              </w:rPr>
              <w:t>Valor de p</w:t>
            </w:r>
          </w:p>
        </w:tc>
        <w:tc>
          <w:tcPr>
            <w:tcW w:w="521" w:type="pct"/>
            <w:vAlign w:val="center"/>
          </w:tcPr>
          <w:p w14:paraId="43E2DDDE" w14:textId="77777777" w:rsidR="00400398" w:rsidRPr="00215594" w:rsidRDefault="00400398" w:rsidP="00FE7BEC">
            <w:pPr>
              <w:pStyle w:val="TableCellCenter"/>
              <w:spacing w:before="40" w:after="40" w:line="240" w:lineRule="auto"/>
              <w:rPr>
                <w:sz w:val="22"/>
                <w:szCs w:val="22"/>
              </w:rPr>
            </w:pPr>
          </w:p>
        </w:tc>
        <w:tc>
          <w:tcPr>
            <w:tcW w:w="1149" w:type="pct"/>
            <w:vAlign w:val="center"/>
          </w:tcPr>
          <w:p w14:paraId="71665654" w14:textId="77777777" w:rsidR="00400398" w:rsidRPr="00215594" w:rsidRDefault="00400398" w:rsidP="00FE7BEC">
            <w:pPr>
              <w:pStyle w:val="TableCellCenter"/>
              <w:spacing w:before="40" w:after="40" w:line="240" w:lineRule="auto"/>
              <w:rPr>
                <w:sz w:val="22"/>
                <w:szCs w:val="22"/>
              </w:rPr>
            </w:pPr>
            <w:r w:rsidRPr="00215594">
              <w:rPr>
                <w:sz w:val="22"/>
                <w:szCs w:val="22"/>
              </w:rPr>
              <w:t>0,073</w:t>
            </w:r>
          </w:p>
        </w:tc>
        <w:tc>
          <w:tcPr>
            <w:tcW w:w="1157" w:type="pct"/>
            <w:vAlign w:val="center"/>
          </w:tcPr>
          <w:p w14:paraId="7E0AB5B2" w14:textId="77777777" w:rsidR="00400398" w:rsidRPr="00215594" w:rsidRDefault="00400398" w:rsidP="00FE7BEC">
            <w:pPr>
              <w:keepNext/>
              <w:keepLines/>
              <w:jc w:val="center"/>
              <w:rPr>
                <w:szCs w:val="22"/>
              </w:rPr>
            </w:pPr>
            <w:r w:rsidRPr="00215594">
              <w:rPr>
                <w:szCs w:val="22"/>
              </w:rPr>
              <w:t>0,978</w:t>
            </w:r>
          </w:p>
        </w:tc>
        <w:tc>
          <w:tcPr>
            <w:tcW w:w="691" w:type="pct"/>
            <w:vAlign w:val="center"/>
          </w:tcPr>
          <w:p w14:paraId="7BE95E21" w14:textId="77777777" w:rsidR="00400398" w:rsidRPr="00215594" w:rsidRDefault="00400398" w:rsidP="00FE7BEC">
            <w:pPr>
              <w:keepNext/>
              <w:keepLines/>
              <w:jc w:val="center"/>
              <w:rPr>
                <w:szCs w:val="22"/>
              </w:rPr>
            </w:pPr>
          </w:p>
        </w:tc>
        <w:tc>
          <w:tcPr>
            <w:tcW w:w="625" w:type="pct"/>
            <w:vAlign w:val="center"/>
          </w:tcPr>
          <w:p w14:paraId="42CD0A8E" w14:textId="77777777" w:rsidR="00400398" w:rsidRPr="00215594" w:rsidRDefault="00400398" w:rsidP="00FE7BEC">
            <w:pPr>
              <w:keepNext/>
              <w:keepLines/>
              <w:jc w:val="center"/>
              <w:rPr>
                <w:szCs w:val="22"/>
              </w:rPr>
            </w:pPr>
            <w:r w:rsidRPr="00215594">
              <w:rPr>
                <w:szCs w:val="22"/>
              </w:rPr>
              <w:t>0,16</w:t>
            </w:r>
          </w:p>
        </w:tc>
      </w:tr>
      <w:tr w:rsidR="00400398" w:rsidRPr="00215594" w14:paraId="4E7DA0F5" w14:textId="77777777" w:rsidTr="00D91337">
        <w:tc>
          <w:tcPr>
            <w:tcW w:w="857" w:type="pct"/>
            <w:tcBorders>
              <w:right w:val="nil"/>
            </w:tcBorders>
            <w:vAlign w:val="center"/>
          </w:tcPr>
          <w:p w14:paraId="4F3B501E" w14:textId="77777777" w:rsidR="00400398" w:rsidRPr="00215594" w:rsidRDefault="00400398" w:rsidP="00FE7BEC">
            <w:pPr>
              <w:pStyle w:val="TableCellHead"/>
              <w:spacing w:before="40" w:after="40" w:line="240" w:lineRule="auto"/>
              <w:rPr>
                <w:sz w:val="22"/>
                <w:szCs w:val="22"/>
                <w:u w:val="none"/>
              </w:rPr>
            </w:pPr>
            <w:r w:rsidRPr="00215594">
              <w:rPr>
                <w:sz w:val="22"/>
                <w:szCs w:val="22"/>
                <w:u w:val="none"/>
              </w:rPr>
              <w:t>Sobrevivência livre de progressão</w:t>
            </w:r>
          </w:p>
        </w:tc>
        <w:tc>
          <w:tcPr>
            <w:tcW w:w="521" w:type="pct"/>
            <w:tcBorders>
              <w:left w:val="nil"/>
              <w:right w:val="nil"/>
            </w:tcBorders>
            <w:vAlign w:val="center"/>
          </w:tcPr>
          <w:p w14:paraId="317D618C" w14:textId="77777777" w:rsidR="00400398" w:rsidRPr="00215594" w:rsidRDefault="00400398" w:rsidP="00FE7BEC">
            <w:pPr>
              <w:pStyle w:val="TableCellCenter"/>
              <w:spacing w:before="40" w:after="40" w:line="240" w:lineRule="auto"/>
              <w:rPr>
                <w:sz w:val="22"/>
                <w:szCs w:val="22"/>
              </w:rPr>
            </w:pPr>
          </w:p>
        </w:tc>
        <w:tc>
          <w:tcPr>
            <w:tcW w:w="1149" w:type="pct"/>
            <w:tcBorders>
              <w:left w:val="nil"/>
              <w:right w:val="nil"/>
            </w:tcBorders>
            <w:vAlign w:val="center"/>
          </w:tcPr>
          <w:p w14:paraId="3213F8C0" w14:textId="77777777" w:rsidR="00400398" w:rsidRPr="00215594" w:rsidRDefault="00400398" w:rsidP="00FE7BEC">
            <w:pPr>
              <w:pStyle w:val="TableCellCenter"/>
              <w:spacing w:before="40" w:after="40" w:line="240" w:lineRule="auto"/>
              <w:rPr>
                <w:sz w:val="22"/>
                <w:szCs w:val="22"/>
              </w:rPr>
            </w:pPr>
          </w:p>
        </w:tc>
        <w:tc>
          <w:tcPr>
            <w:tcW w:w="1157" w:type="pct"/>
            <w:tcBorders>
              <w:left w:val="nil"/>
              <w:right w:val="nil"/>
            </w:tcBorders>
            <w:vAlign w:val="center"/>
          </w:tcPr>
          <w:p w14:paraId="433A9CC4" w14:textId="77777777" w:rsidR="00400398" w:rsidRPr="00215594" w:rsidRDefault="00400398" w:rsidP="00FE7BEC">
            <w:pPr>
              <w:pStyle w:val="TableCellCenter"/>
              <w:spacing w:before="40" w:after="40" w:line="240" w:lineRule="auto"/>
              <w:rPr>
                <w:sz w:val="22"/>
                <w:szCs w:val="22"/>
              </w:rPr>
            </w:pPr>
          </w:p>
        </w:tc>
        <w:tc>
          <w:tcPr>
            <w:tcW w:w="691" w:type="pct"/>
            <w:tcBorders>
              <w:left w:val="nil"/>
              <w:right w:val="nil"/>
            </w:tcBorders>
            <w:vAlign w:val="center"/>
          </w:tcPr>
          <w:p w14:paraId="3A9CDBD4" w14:textId="77777777" w:rsidR="00400398" w:rsidRPr="00215594" w:rsidRDefault="00400398" w:rsidP="00FE7BEC">
            <w:pPr>
              <w:keepNext/>
              <w:keepLines/>
              <w:jc w:val="center"/>
              <w:rPr>
                <w:szCs w:val="22"/>
              </w:rPr>
            </w:pPr>
          </w:p>
        </w:tc>
        <w:tc>
          <w:tcPr>
            <w:tcW w:w="625" w:type="pct"/>
            <w:tcBorders>
              <w:left w:val="nil"/>
            </w:tcBorders>
            <w:vAlign w:val="center"/>
          </w:tcPr>
          <w:p w14:paraId="2EAA1894" w14:textId="77777777" w:rsidR="00400398" w:rsidRPr="00215594" w:rsidRDefault="00400398" w:rsidP="00FE7BEC">
            <w:pPr>
              <w:keepNext/>
              <w:keepLines/>
              <w:jc w:val="center"/>
              <w:rPr>
                <w:szCs w:val="22"/>
              </w:rPr>
            </w:pPr>
          </w:p>
        </w:tc>
      </w:tr>
      <w:tr w:rsidR="00400398" w:rsidRPr="00215594" w14:paraId="4CD95471" w14:textId="77777777" w:rsidTr="00D91337">
        <w:tc>
          <w:tcPr>
            <w:tcW w:w="857" w:type="pct"/>
            <w:vAlign w:val="center"/>
          </w:tcPr>
          <w:p w14:paraId="4494C3E0" w14:textId="77777777" w:rsidR="00400398" w:rsidRPr="00215594" w:rsidRDefault="00400398" w:rsidP="00FE7BEC">
            <w:pPr>
              <w:pStyle w:val="TableCellLeft"/>
              <w:spacing w:before="40" w:after="40" w:line="240" w:lineRule="auto"/>
              <w:ind w:left="240"/>
              <w:rPr>
                <w:sz w:val="22"/>
                <w:szCs w:val="22"/>
              </w:rPr>
            </w:pPr>
            <w:r w:rsidRPr="00215594">
              <w:rPr>
                <w:sz w:val="22"/>
                <w:szCs w:val="22"/>
              </w:rPr>
              <w:t>Mediana (meses)</w:t>
            </w:r>
          </w:p>
        </w:tc>
        <w:tc>
          <w:tcPr>
            <w:tcW w:w="521" w:type="pct"/>
            <w:vAlign w:val="center"/>
          </w:tcPr>
          <w:p w14:paraId="1A2B3F4B" w14:textId="77777777" w:rsidR="00400398" w:rsidRPr="00215594" w:rsidRDefault="00400398" w:rsidP="00FE7BEC">
            <w:pPr>
              <w:pStyle w:val="TableCellCenter"/>
              <w:spacing w:before="40" w:after="40" w:line="240" w:lineRule="auto"/>
              <w:rPr>
                <w:sz w:val="22"/>
                <w:szCs w:val="22"/>
              </w:rPr>
            </w:pPr>
            <w:r w:rsidRPr="00215594">
              <w:rPr>
                <w:sz w:val="22"/>
                <w:szCs w:val="22"/>
              </w:rPr>
              <w:t>5,2</w:t>
            </w:r>
          </w:p>
        </w:tc>
        <w:tc>
          <w:tcPr>
            <w:tcW w:w="1149" w:type="pct"/>
            <w:vAlign w:val="center"/>
          </w:tcPr>
          <w:p w14:paraId="0827EEB3" w14:textId="77777777" w:rsidR="00400398" w:rsidRPr="00215594" w:rsidRDefault="00400398" w:rsidP="00FE7BEC">
            <w:pPr>
              <w:pStyle w:val="TableCellCenter"/>
              <w:spacing w:before="40" w:after="40" w:line="240" w:lineRule="auto"/>
              <w:rPr>
                <w:sz w:val="22"/>
                <w:szCs w:val="22"/>
              </w:rPr>
            </w:pPr>
            <w:r w:rsidRPr="00215594">
              <w:rPr>
                <w:sz w:val="22"/>
                <w:szCs w:val="22"/>
              </w:rPr>
              <w:t>9,0</w:t>
            </w:r>
          </w:p>
        </w:tc>
        <w:tc>
          <w:tcPr>
            <w:tcW w:w="1157" w:type="pct"/>
            <w:vAlign w:val="center"/>
          </w:tcPr>
          <w:p w14:paraId="7EFD0351" w14:textId="77777777" w:rsidR="00400398" w:rsidRPr="00215594" w:rsidRDefault="00400398" w:rsidP="00FE7BEC">
            <w:pPr>
              <w:pStyle w:val="TableCellCenter"/>
              <w:spacing w:before="40" w:after="40" w:line="240" w:lineRule="auto"/>
              <w:rPr>
                <w:sz w:val="22"/>
                <w:szCs w:val="22"/>
              </w:rPr>
            </w:pPr>
            <w:r w:rsidRPr="00215594">
              <w:rPr>
                <w:sz w:val="22"/>
                <w:szCs w:val="22"/>
              </w:rPr>
              <w:t>7,2</w:t>
            </w:r>
          </w:p>
        </w:tc>
        <w:tc>
          <w:tcPr>
            <w:tcW w:w="691" w:type="pct"/>
            <w:vAlign w:val="center"/>
          </w:tcPr>
          <w:p w14:paraId="4B7546C4" w14:textId="77777777" w:rsidR="00400398" w:rsidRPr="00215594" w:rsidRDefault="00400398" w:rsidP="00FE7BEC">
            <w:pPr>
              <w:keepNext/>
              <w:keepLines/>
              <w:jc w:val="center"/>
              <w:rPr>
                <w:szCs w:val="22"/>
              </w:rPr>
            </w:pPr>
            <w:r w:rsidRPr="00215594">
              <w:rPr>
                <w:szCs w:val="22"/>
              </w:rPr>
              <w:t>5,5</w:t>
            </w:r>
          </w:p>
        </w:tc>
        <w:tc>
          <w:tcPr>
            <w:tcW w:w="625" w:type="pct"/>
            <w:vAlign w:val="center"/>
          </w:tcPr>
          <w:p w14:paraId="6D28AF48" w14:textId="77777777" w:rsidR="00400398" w:rsidRPr="00215594" w:rsidRDefault="00400398" w:rsidP="00FE7BEC">
            <w:pPr>
              <w:keepNext/>
              <w:keepLines/>
              <w:jc w:val="center"/>
              <w:rPr>
                <w:szCs w:val="22"/>
              </w:rPr>
            </w:pPr>
            <w:r w:rsidRPr="00215594">
              <w:rPr>
                <w:szCs w:val="22"/>
              </w:rPr>
              <w:t>9,2</w:t>
            </w:r>
          </w:p>
        </w:tc>
      </w:tr>
      <w:tr w:rsidR="00400398" w:rsidRPr="00215594" w14:paraId="414AD81B" w14:textId="77777777" w:rsidTr="00D91337">
        <w:tc>
          <w:tcPr>
            <w:tcW w:w="857" w:type="pct"/>
            <w:vAlign w:val="center"/>
          </w:tcPr>
          <w:p w14:paraId="4889537C" w14:textId="77777777" w:rsidR="00400398" w:rsidRPr="00215594" w:rsidRDefault="00400398" w:rsidP="00FE7BEC">
            <w:pPr>
              <w:pStyle w:val="TableCellLeft"/>
              <w:spacing w:before="40" w:after="40" w:line="240" w:lineRule="auto"/>
              <w:ind w:left="240"/>
              <w:rPr>
                <w:sz w:val="22"/>
                <w:szCs w:val="22"/>
              </w:rPr>
            </w:pPr>
            <w:r w:rsidRPr="00215594">
              <w:rPr>
                <w:i/>
                <w:sz w:val="22"/>
                <w:szCs w:val="22"/>
              </w:rPr>
              <w:t xml:space="preserve">Hazard </w:t>
            </w:r>
            <w:r w:rsidR="00066027">
              <w:rPr>
                <w:i/>
                <w:sz w:val="22"/>
                <w:szCs w:val="22"/>
              </w:rPr>
              <w:t>r</w:t>
            </w:r>
            <w:r w:rsidRPr="00215594">
              <w:rPr>
                <w:i/>
                <w:sz w:val="22"/>
                <w:szCs w:val="22"/>
              </w:rPr>
              <w:t xml:space="preserve">atio </w:t>
            </w:r>
            <w:r w:rsidRPr="00215594">
              <w:rPr>
                <w:sz w:val="22"/>
                <w:szCs w:val="22"/>
              </w:rPr>
              <w:t>(taxa de risco)</w:t>
            </w:r>
          </w:p>
        </w:tc>
        <w:tc>
          <w:tcPr>
            <w:tcW w:w="521" w:type="pct"/>
            <w:vAlign w:val="center"/>
          </w:tcPr>
          <w:p w14:paraId="57548D1E" w14:textId="77777777" w:rsidR="00400398" w:rsidRPr="00215594" w:rsidRDefault="00400398" w:rsidP="00FE7BEC">
            <w:pPr>
              <w:pStyle w:val="TableCellCenter"/>
              <w:spacing w:before="40" w:after="40" w:line="240" w:lineRule="auto"/>
              <w:rPr>
                <w:sz w:val="22"/>
                <w:szCs w:val="22"/>
              </w:rPr>
            </w:pPr>
          </w:p>
        </w:tc>
        <w:tc>
          <w:tcPr>
            <w:tcW w:w="1149" w:type="pct"/>
            <w:vAlign w:val="center"/>
          </w:tcPr>
          <w:p w14:paraId="61B6A644" w14:textId="77777777" w:rsidR="00400398" w:rsidRPr="00215594" w:rsidRDefault="00400398" w:rsidP="00FE7BEC">
            <w:pPr>
              <w:pStyle w:val="TableCellCenter"/>
              <w:spacing w:before="40" w:after="40" w:line="240" w:lineRule="auto"/>
              <w:rPr>
                <w:sz w:val="22"/>
                <w:szCs w:val="22"/>
              </w:rPr>
            </w:pPr>
            <w:r w:rsidRPr="00215594">
              <w:rPr>
                <w:sz w:val="22"/>
                <w:szCs w:val="22"/>
              </w:rPr>
              <w:t>0,44</w:t>
            </w:r>
          </w:p>
        </w:tc>
        <w:tc>
          <w:tcPr>
            <w:tcW w:w="1157" w:type="pct"/>
            <w:vAlign w:val="center"/>
          </w:tcPr>
          <w:p w14:paraId="37156DE6" w14:textId="77777777" w:rsidR="00400398" w:rsidRPr="00215594" w:rsidRDefault="00400398" w:rsidP="00FE7BEC">
            <w:pPr>
              <w:keepNext/>
              <w:keepLines/>
              <w:jc w:val="center"/>
              <w:rPr>
                <w:szCs w:val="22"/>
              </w:rPr>
            </w:pPr>
            <w:r w:rsidRPr="00215594">
              <w:rPr>
                <w:szCs w:val="22"/>
              </w:rPr>
              <w:t>0,69</w:t>
            </w:r>
          </w:p>
        </w:tc>
        <w:tc>
          <w:tcPr>
            <w:tcW w:w="691" w:type="pct"/>
            <w:vAlign w:val="center"/>
          </w:tcPr>
          <w:p w14:paraId="4C25D94F" w14:textId="77777777" w:rsidR="00400398" w:rsidRPr="00215594" w:rsidRDefault="00400398" w:rsidP="00FE7BEC">
            <w:pPr>
              <w:keepNext/>
              <w:keepLines/>
              <w:jc w:val="center"/>
              <w:rPr>
                <w:szCs w:val="22"/>
              </w:rPr>
            </w:pPr>
          </w:p>
        </w:tc>
        <w:tc>
          <w:tcPr>
            <w:tcW w:w="625" w:type="pct"/>
            <w:vAlign w:val="center"/>
          </w:tcPr>
          <w:p w14:paraId="630E93D9" w14:textId="77777777" w:rsidR="00400398" w:rsidRPr="00215594" w:rsidRDefault="00400398" w:rsidP="00FE7BEC">
            <w:pPr>
              <w:keepNext/>
              <w:keepLines/>
              <w:jc w:val="center"/>
              <w:rPr>
                <w:szCs w:val="22"/>
              </w:rPr>
            </w:pPr>
            <w:r w:rsidRPr="00215594">
              <w:rPr>
                <w:szCs w:val="22"/>
              </w:rPr>
              <w:t>0,5</w:t>
            </w:r>
          </w:p>
        </w:tc>
      </w:tr>
      <w:tr w:rsidR="00400398" w:rsidRPr="00215594" w14:paraId="51C37AF8" w14:textId="77777777" w:rsidTr="00D91337">
        <w:tc>
          <w:tcPr>
            <w:tcW w:w="857" w:type="pct"/>
            <w:vAlign w:val="center"/>
          </w:tcPr>
          <w:p w14:paraId="6F514957" w14:textId="77777777" w:rsidR="00400398" w:rsidRPr="00215594" w:rsidRDefault="00400398" w:rsidP="00FE7BEC">
            <w:pPr>
              <w:pStyle w:val="TableCellLeft"/>
              <w:spacing w:before="40" w:after="40" w:line="240" w:lineRule="auto"/>
              <w:ind w:left="240"/>
              <w:rPr>
                <w:sz w:val="22"/>
                <w:szCs w:val="22"/>
              </w:rPr>
            </w:pPr>
            <w:r w:rsidRPr="00215594">
              <w:rPr>
                <w:sz w:val="22"/>
                <w:szCs w:val="22"/>
              </w:rPr>
              <w:t>Valor de p</w:t>
            </w:r>
          </w:p>
        </w:tc>
        <w:tc>
          <w:tcPr>
            <w:tcW w:w="521" w:type="pct"/>
            <w:vAlign w:val="center"/>
          </w:tcPr>
          <w:p w14:paraId="1C777E07" w14:textId="77777777" w:rsidR="00400398" w:rsidRPr="00215594" w:rsidRDefault="00400398" w:rsidP="00FE7BEC">
            <w:pPr>
              <w:pStyle w:val="TableCellCenter"/>
              <w:spacing w:before="40" w:after="40" w:line="240" w:lineRule="auto"/>
              <w:rPr>
                <w:sz w:val="22"/>
                <w:szCs w:val="22"/>
              </w:rPr>
            </w:pPr>
            <w:r w:rsidRPr="00215594">
              <w:rPr>
                <w:sz w:val="22"/>
                <w:szCs w:val="22"/>
              </w:rPr>
              <w:t>-</w:t>
            </w:r>
          </w:p>
        </w:tc>
        <w:tc>
          <w:tcPr>
            <w:tcW w:w="1149" w:type="pct"/>
            <w:vAlign w:val="center"/>
          </w:tcPr>
          <w:p w14:paraId="2F2A89EB" w14:textId="77777777" w:rsidR="00400398" w:rsidRPr="00215594" w:rsidRDefault="00400398" w:rsidP="00FE7BEC">
            <w:pPr>
              <w:pStyle w:val="TableCellCenter"/>
              <w:spacing w:before="40" w:after="40" w:line="240" w:lineRule="auto"/>
              <w:rPr>
                <w:sz w:val="22"/>
                <w:szCs w:val="22"/>
              </w:rPr>
            </w:pPr>
            <w:r w:rsidRPr="00215594">
              <w:rPr>
                <w:sz w:val="22"/>
                <w:szCs w:val="22"/>
              </w:rPr>
              <w:t>0,0049</w:t>
            </w:r>
          </w:p>
        </w:tc>
        <w:tc>
          <w:tcPr>
            <w:tcW w:w="1157" w:type="pct"/>
            <w:vAlign w:val="center"/>
          </w:tcPr>
          <w:p w14:paraId="0DF9B8C4" w14:textId="77777777" w:rsidR="00400398" w:rsidRPr="00215594" w:rsidRDefault="00400398" w:rsidP="00FE7BEC">
            <w:pPr>
              <w:pStyle w:val="TableCellCenter"/>
              <w:spacing w:before="40" w:after="40" w:line="240" w:lineRule="auto"/>
              <w:rPr>
                <w:sz w:val="22"/>
                <w:szCs w:val="22"/>
              </w:rPr>
            </w:pPr>
            <w:r w:rsidRPr="00215594">
              <w:rPr>
                <w:sz w:val="22"/>
                <w:szCs w:val="22"/>
              </w:rPr>
              <w:t>0,217</w:t>
            </w:r>
          </w:p>
        </w:tc>
        <w:tc>
          <w:tcPr>
            <w:tcW w:w="691" w:type="pct"/>
            <w:vAlign w:val="center"/>
          </w:tcPr>
          <w:p w14:paraId="4031FA1D" w14:textId="77777777" w:rsidR="00400398" w:rsidRPr="00215594" w:rsidRDefault="00400398" w:rsidP="00FE7BEC">
            <w:pPr>
              <w:keepNext/>
              <w:keepLines/>
              <w:jc w:val="center"/>
              <w:rPr>
                <w:szCs w:val="22"/>
              </w:rPr>
            </w:pPr>
          </w:p>
        </w:tc>
        <w:tc>
          <w:tcPr>
            <w:tcW w:w="625" w:type="pct"/>
            <w:vAlign w:val="center"/>
          </w:tcPr>
          <w:p w14:paraId="58550C3E" w14:textId="77777777" w:rsidR="00400398" w:rsidRPr="00215594" w:rsidRDefault="00400398" w:rsidP="00FE7BEC">
            <w:pPr>
              <w:keepNext/>
              <w:keepLines/>
              <w:jc w:val="center"/>
              <w:rPr>
                <w:szCs w:val="22"/>
              </w:rPr>
            </w:pPr>
            <w:r w:rsidRPr="00215594">
              <w:rPr>
                <w:szCs w:val="22"/>
              </w:rPr>
              <w:t>0,0002</w:t>
            </w:r>
          </w:p>
        </w:tc>
      </w:tr>
      <w:tr w:rsidR="00400398" w:rsidRPr="00215594" w14:paraId="5AADC592" w14:textId="77777777" w:rsidTr="00D91337">
        <w:tc>
          <w:tcPr>
            <w:tcW w:w="857" w:type="pct"/>
            <w:tcBorders>
              <w:right w:val="nil"/>
            </w:tcBorders>
            <w:vAlign w:val="center"/>
          </w:tcPr>
          <w:p w14:paraId="53514AC5" w14:textId="77777777" w:rsidR="00400398" w:rsidRPr="00215594" w:rsidRDefault="00400398" w:rsidP="00FE7BEC">
            <w:pPr>
              <w:pStyle w:val="TableCellHead"/>
              <w:spacing w:before="40" w:after="40" w:line="240" w:lineRule="auto"/>
              <w:rPr>
                <w:sz w:val="22"/>
                <w:szCs w:val="22"/>
                <w:u w:val="none"/>
              </w:rPr>
            </w:pPr>
            <w:r w:rsidRPr="00215594">
              <w:rPr>
                <w:sz w:val="22"/>
                <w:szCs w:val="22"/>
                <w:u w:val="none"/>
              </w:rPr>
              <w:t>Taxa de resposta global</w:t>
            </w:r>
          </w:p>
        </w:tc>
        <w:tc>
          <w:tcPr>
            <w:tcW w:w="521" w:type="pct"/>
            <w:tcBorders>
              <w:left w:val="nil"/>
              <w:right w:val="nil"/>
            </w:tcBorders>
            <w:vAlign w:val="center"/>
          </w:tcPr>
          <w:p w14:paraId="70AE36C3" w14:textId="77777777" w:rsidR="00400398" w:rsidRPr="00215594" w:rsidRDefault="00400398" w:rsidP="00FE7BEC">
            <w:pPr>
              <w:pStyle w:val="TableCellCenter"/>
              <w:spacing w:before="40" w:after="40" w:line="240" w:lineRule="auto"/>
              <w:rPr>
                <w:sz w:val="22"/>
                <w:szCs w:val="22"/>
              </w:rPr>
            </w:pPr>
          </w:p>
        </w:tc>
        <w:tc>
          <w:tcPr>
            <w:tcW w:w="1149" w:type="pct"/>
            <w:tcBorders>
              <w:left w:val="nil"/>
              <w:right w:val="nil"/>
            </w:tcBorders>
            <w:vAlign w:val="center"/>
          </w:tcPr>
          <w:p w14:paraId="6677D6D1" w14:textId="77777777" w:rsidR="00400398" w:rsidRPr="00215594" w:rsidRDefault="00400398" w:rsidP="00FE7BEC">
            <w:pPr>
              <w:pStyle w:val="TableCellCenter"/>
              <w:spacing w:before="40" w:after="40" w:line="240" w:lineRule="auto"/>
              <w:rPr>
                <w:sz w:val="22"/>
                <w:szCs w:val="22"/>
              </w:rPr>
            </w:pPr>
          </w:p>
        </w:tc>
        <w:tc>
          <w:tcPr>
            <w:tcW w:w="1157" w:type="pct"/>
            <w:tcBorders>
              <w:left w:val="nil"/>
              <w:right w:val="nil"/>
            </w:tcBorders>
            <w:vAlign w:val="center"/>
          </w:tcPr>
          <w:p w14:paraId="1E78F30F" w14:textId="77777777" w:rsidR="00400398" w:rsidRPr="00215594" w:rsidRDefault="00400398" w:rsidP="00FE7BEC">
            <w:pPr>
              <w:pStyle w:val="TableCellCenter"/>
              <w:spacing w:before="40" w:after="40" w:line="240" w:lineRule="auto"/>
              <w:rPr>
                <w:sz w:val="22"/>
                <w:szCs w:val="22"/>
              </w:rPr>
            </w:pPr>
          </w:p>
        </w:tc>
        <w:tc>
          <w:tcPr>
            <w:tcW w:w="691" w:type="pct"/>
            <w:tcBorders>
              <w:left w:val="nil"/>
              <w:right w:val="nil"/>
            </w:tcBorders>
            <w:vAlign w:val="center"/>
          </w:tcPr>
          <w:p w14:paraId="211145D7" w14:textId="77777777" w:rsidR="00400398" w:rsidRPr="00215594" w:rsidRDefault="00400398" w:rsidP="00FE7BEC">
            <w:pPr>
              <w:keepNext/>
              <w:keepLines/>
              <w:jc w:val="center"/>
              <w:rPr>
                <w:szCs w:val="22"/>
              </w:rPr>
            </w:pPr>
          </w:p>
        </w:tc>
        <w:tc>
          <w:tcPr>
            <w:tcW w:w="625" w:type="pct"/>
            <w:tcBorders>
              <w:left w:val="nil"/>
            </w:tcBorders>
            <w:vAlign w:val="center"/>
          </w:tcPr>
          <w:p w14:paraId="2EB11635" w14:textId="77777777" w:rsidR="00400398" w:rsidRPr="00215594" w:rsidRDefault="00400398" w:rsidP="00FE7BEC">
            <w:pPr>
              <w:keepNext/>
              <w:keepLines/>
              <w:jc w:val="center"/>
              <w:rPr>
                <w:szCs w:val="22"/>
              </w:rPr>
            </w:pPr>
          </w:p>
        </w:tc>
      </w:tr>
      <w:tr w:rsidR="00400398" w:rsidRPr="00215594" w14:paraId="075F5524" w14:textId="77777777" w:rsidTr="00D91337">
        <w:tc>
          <w:tcPr>
            <w:tcW w:w="857" w:type="pct"/>
            <w:vAlign w:val="center"/>
          </w:tcPr>
          <w:p w14:paraId="57815578" w14:textId="77777777" w:rsidR="00400398" w:rsidRPr="00215594" w:rsidRDefault="00400398" w:rsidP="00FE7BEC">
            <w:pPr>
              <w:pStyle w:val="TableCellLeft"/>
              <w:spacing w:before="40" w:after="40" w:line="240" w:lineRule="auto"/>
              <w:ind w:left="240"/>
              <w:rPr>
                <w:sz w:val="22"/>
                <w:szCs w:val="22"/>
              </w:rPr>
            </w:pPr>
            <w:r w:rsidRPr="00215594">
              <w:rPr>
                <w:sz w:val="22"/>
                <w:szCs w:val="22"/>
              </w:rPr>
              <w:t>Taxa (percentagem)</w:t>
            </w:r>
          </w:p>
        </w:tc>
        <w:tc>
          <w:tcPr>
            <w:tcW w:w="521" w:type="pct"/>
            <w:vAlign w:val="center"/>
          </w:tcPr>
          <w:p w14:paraId="17B8B7DC" w14:textId="77777777" w:rsidR="00400398" w:rsidRPr="00215594" w:rsidRDefault="00400398" w:rsidP="00FE7BEC">
            <w:pPr>
              <w:pStyle w:val="TableCellCenter"/>
              <w:spacing w:before="40" w:after="40" w:line="240" w:lineRule="auto"/>
              <w:rPr>
                <w:sz w:val="22"/>
                <w:szCs w:val="22"/>
              </w:rPr>
            </w:pPr>
            <w:r w:rsidRPr="00215594">
              <w:rPr>
                <w:sz w:val="22"/>
                <w:szCs w:val="22"/>
              </w:rPr>
              <w:t>16,7</w:t>
            </w:r>
          </w:p>
        </w:tc>
        <w:tc>
          <w:tcPr>
            <w:tcW w:w="1149" w:type="pct"/>
            <w:vAlign w:val="center"/>
          </w:tcPr>
          <w:p w14:paraId="24722F8A" w14:textId="77777777" w:rsidR="00400398" w:rsidRPr="00215594" w:rsidRDefault="00400398" w:rsidP="00FE7BEC">
            <w:pPr>
              <w:pStyle w:val="TableCellCenter"/>
              <w:spacing w:before="40" w:after="40" w:line="240" w:lineRule="auto"/>
              <w:rPr>
                <w:sz w:val="22"/>
                <w:szCs w:val="22"/>
              </w:rPr>
            </w:pPr>
            <w:r w:rsidRPr="00215594">
              <w:rPr>
                <w:sz w:val="22"/>
                <w:szCs w:val="22"/>
              </w:rPr>
              <w:t>40,0</w:t>
            </w:r>
          </w:p>
        </w:tc>
        <w:tc>
          <w:tcPr>
            <w:tcW w:w="1157" w:type="pct"/>
            <w:vAlign w:val="center"/>
          </w:tcPr>
          <w:p w14:paraId="4B9698F3" w14:textId="77777777" w:rsidR="00400398" w:rsidRPr="00215594" w:rsidRDefault="00400398" w:rsidP="00FE7BEC">
            <w:pPr>
              <w:pStyle w:val="TableCellCenter"/>
              <w:spacing w:before="40" w:after="40" w:line="240" w:lineRule="auto"/>
              <w:rPr>
                <w:sz w:val="22"/>
                <w:szCs w:val="22"/>
              </w:rPr>
            </w:pPr>
            <w:r w:rsidRPr="00215594">
              <w:rPr>
                <w:sz w:val="22"/>
                <w:szCs w:val="22"/>
              </w:rPr>
              <w:t>24,2</w:t>
            </w:r>
          </w:p>
        </w:tc>
        <w:tc>
          <w:tcPr>
            <w:tcW w:w="691" w:type="pct"/>
            <w:vAlign w:val="center"/>
          </w:tcPr>
          <w:p w14:paraId="6B76779E" w14:textId="77777777" w:rsidR="00400398" w:rsidRPr="00215594" w:rsidRDefault="00400398" w:rsidP="00FE7BEC">
            <w:pPr>
              <w:keepNext/>
              <w:keepLines/>
              <w:jc w:val="center"/>
              <w:rPr>
                <w:szCs w:val="22"/>
              </w:rPr>
            </w:pPr>
            <w:r w:rsidRPr="00215594">
              <w:rPr>
                <w:szCs w:val="22"/>
              </w:rPr>
              <w:t>15,2</w:t>
            </w:r>
          </w:p>
        </w:tc>
        <w:tc>
          <w:tcPr>
            <w:tcW w:w="625" w:type="pct"/>
            <w:vAlign w:val="center"/>
          </w:tcPr>
          <w:p w14:paraId="3AD7E455" w14:textId="77777777" w:rsidR="00400398" w:rsidRPr="00215594" w:rsidRDefault="00400398" w:rsidP="00FE7BEC">
            <w:pPr>
              <w:keepNext/>
              <w:keepLines/>
              <w:jc w:val="center"/>
              <w:rPr>
                <w:szCs w:val="22"/>
              </w:rPr>
            </w:pPr>
            <w:r w:rsidRPr="00215594">
              <w:rPr>
                <w:szCs w:val="22"/>
              </w:rPr>
              <w:t>26</w:t>
            </w:r>
          </w:p>
        </w:tc>
      </w:tr>
      <w:tr w:rsidR="00400398" w:rsidRPr="00215594" w14:paraId="4FB1042A" w14:textId="77777777" w:rsidTr="00D91337">
        <w:tc>
          <w:tcPr>
            <w:tcW w:w="857" w:type="pct"/>
            <w:vAlign w:val="center"/>
          </w:tcPr>
          <w:p w14:paraId="6F520BC2" w14:textId="77777777" w:rsidR="00400398" w:rsidRPr="00215594" w:rsidRDefault="00400398" w:rsidP="00FE7BEC">
            <w:pPr>
              <w:pStyle w:val="TableCellCenter"/>
              <w:spacing w:before="40" w:after="40" w:line="240" w:lineRule="auto"/>
              <w:ind w:left="240"/>
              <w:jc w:val="left"/>
              <w:rPr>
                <w:sz w:val="22"/>
                <w:szCs w:val="22"/>
              </w:rPr>
            </w:pPr>
            <w:r w:rsidRPr="00215594">
              <w:rPr>
                <w:sz w:val="22"/>
                <w:szCs w:val="22"/>
              </w:rPr>
              <w:t>IC 95%</w:t>
            </w:r>
          </w:p>
        </w:tc>
        <w:tc>
          <w:tcPr>
            <w:tcW w:w="521" w:type="pct"/>
            <w:vAlign w:val="center"/>
          </w:tcPr>
          <w:p w14:paraId="399A0ED5" w14:textId="77777777" w:rsidR="00400398" w:rsidRPr="00215594" w:rsidRDefault="00400398" w:rsidP="00FE7BEC">
            <w:pPr>
              <w:pStyle w:val="TableCellCenter"/>
              <w:spacing w:before="40" w:after="40" w:line="240" w:lineRule="auto"/>
              <w:rPr>
                <w:sz w:val="22"/>
                <w:szCs w:val="22"/>
              </w:rPr>
            </w:pPr>
            <w:r w:rsidRPr="00215594">
              <w:rPr>
                <w:sz w:val="22"/>
                <w:szCs w:val="22"/>
              </w:rPr>
              <w:t xml:space="preserve">7,0 </w:t>
            </w:r>
            <w:r w:rsidRPr="00215594">
              <w:rPr>
                <w:rFonts w:ascii="Symbol" w:hAnsi="Symbol"/>
                <w:sz w:val="22"/>
                <w:szCs w:val="22"/>
              </w:rPr>
              <w:t></w:t>
            </w:r>
            <w:r w:rsidRPr="00215594">
              <w:rPr>
                <w:rFonts w:ascii="Symbol" w:hAnsi="Symbol"/>
                <w:sz w:val="22"/>
                <w:szCs w:val="22"/>
              </w:rPr>
              <w:t></w:t>
            </w:r>
            <w:r w:rsidRPr="00215594">
              <w:rPr>
                <w:sz w:val="22"/>
                <w:szCs w:val="22"/>
              </w:rPr>
              <w:t>33,5</w:t>
            </w:r>
          </w:p>
        </w:tc>
        <w:tc>
          <w:tcPr>
            <w:tcW w:w="1149" w:type="pct"/>
            <w:vAlign w:val="center"/>
          </w:tcPr>
          <w:p w14:paraId="6637D6DF" w14:textId="77777777" w:rsidR="00400398" w:rsidRPr="00215594" w:rsidRDefault="00400398" w:rsidP="00FE7BEC">
            <w:pPr>
              <w:pStyle w:val="TableCellCenter"/>
              <w:spacing w:before="40" w:after="40" w:line="240" w:lineRule="auto"/>
              <w:rPr>
                <w:sz w:val="22"/>
                <w:szCs w:val="22"/>
              </w:rPr>
            </w:pPr>
            <w:r w:rsidRPr="00215594">
              <w:rPr>
                <w:sz w:val="22"/>
                <w:szCs w:val="22"/>
              </w:rPr>
              <w:t xml:space="preserve">24,4 </w:t>
            </w:r>
            <w:r w:rsidRPr="00215594">
              <w:rPr>
                <w:rFonts w:ascii="Symbol" w:hAnsi="Symbol"/>
                <w:sz w:val="22"/>
                <w:szCs w:val="22"/>
              </w:rPr>
              <w:t></w:t>
            </w:r>
            <w:r w:rsidRPr="00215594">
              <w:rPr>
                <w:rFonts w:ascii="Symbol" w:hAnsi="Symbol"/>
                <w:sz w:val="22"/>
                <w:szCs w:val="22"/>
              </w:rPr>
              <w:t></w:t>
            </w:r>
            <w:r w:rsidRPr="00215594">
              <w:rPr>
                <w:sz w:val="22"/>
                <w:szCs w:val="22"/>
              </w:rPr>
              <w:t>57,8</w:t>
            </w:r>
          </w:p>
        </w:tc>
        <w:tc>
          <w:tcPr>
            <w:tcW w:w="1157" w:type="pct"/>
            <w:vAlign w:val="center"/>
          </w:tcPr>
          <w:p w14:paraId="073B0C85" w14:textId="77777777" w:rsidR="00400398" w:rsidRPr="00215594" w:rsidRDefault="00400398" w:rsidP="00FE7BEC">
            <w:pPr>
              <w:pStyle w:val="TableCellCenter"/>
              <w:spacing w:before="40" w:after="40" w:line="240" w:lineRule="auto"/>
              <w:rPr>
                <w:sz w:val="22"/>
                <w:szCs w:val="22"/>
              </w:rPr>
            </w:pPr>
            <w:r w:rsidRPr="00215594">
              <w:rPr>
                <w:sz w:val="22"/>
                <w:szCs w:val="22"/>
              </w:rPr>
              <w:t>11,7 – 42,6</w:t>
            </w:r>
          </w:p>
        </w:tc>
        <w:tc>
          <w:tcPr>
            <w:tcW w:w="691" w:type="pct"/>
            <w:vAlign w:val="center"/>
          </w:tcPr>
          <w:p w14:paraId="7F5C062E" w14:textId="77777777" w:rsidR="00400398" w:rsidRPr="00215594" w:rsidRDefault="00400398" w:rsidP="00FE7BEC">
            <w:pPr>
              <w:keepNext/>
              <w:keepLines/>
              <w:jc w:val="center"/>
              <w:rPr>
                <w:szCs w:val="22"/>
              </w:rPr>
            </w:pPr>
            <w:r w:rsidRPr="00215594">
              <w:rPr>
                <w:szCs w:val="22"/>
              </w:rPr>
              <w:t>9,2 </w:t>
            </w:r>
            <w:r w:rsidRPr="00215594">
              <w:rPr>
                <w:szCs w:val="22"/>
              </w:rPr>
              <w:noBreakHyphen/>
              <w:t> 23,9</w:t>
            </w:r>
          </w:p>
        </w:tc>
        <w:tc>
          <w:tcPr>
            <w:tcW w:w="625" w:type="pct"/>
            <w:vAlign w:val="center"/>
          </w:tcPr>
          <w:p w14:paraId="086617F0" w14:textId="77777777" w:rsidR="00400398" w:rsidRPr="00215594" w:rsidRDefault="00400398" w:rsidP="00FE7BEC">
            <w:pPr>
              <w:keepNext/>
              <w:keepLines/>
              <w:jc w:val="center"/>
              <w:rPr>
                <w:szCs w:val="22"/>
              </w:rPr>
            </w:pPr>
            <w:r w:rsidRPr="00215594">
              <w:rPr>
                <w:szCs w:val="22"/>
              </w:rPr>
              <w:t>18,1 </w:t>
            </w:r>
            <w:r w:rsidRPr="00215594">
              <w:rPr>
                <w:szCs w:val="22"/>
              </w:rPr>
              <w:noBreakHyphen/>
              <w:t> 35,6</w:t>
            </w:r>
          </w:p>
        </w:tc>
      </w:tr>
      <w:tr w:rsidR="00400398" w:rsidRPr="00215594" w14:paraId="35FB97F7" w14:textId="77777777" w:rsidTr="00D91337">
        <w:tc>
          <w:tcPr>
            <w:tcW w:w="857" w:type="pct"/>
            <w:vAlign w:val="center"/>
          </w:tcPr>
          <w:p w14:paraId="54F99F04" w14:textId="77777777" w:rsidR="00400398" w:rsidRPr="00215594" w:rsidRDefault="00400398" w:rsidP="00FE7BEC">
            <w:pPr>
              <w:pStyle w:val="TableCellCenter"/>
              <w:spacing w:before="40" w:after="40" w:line="240" w:lineRule="auto"/>
              <w:ind w:left="240"/>
              <w:jc w:val="left"/>
              <w:rPr>
                <w:sz w:val="22"/>
                <w:szCs w:val="22"/>
              </w:rPr>
            </w:pPr>
            <w:r w:rsidRPr="00215594">
              <w:rPr>
                <w:sz w:val="22"/>
                <w:szCs w:val="22"/>
              </w:rPr>
              <w:t>Valor de p</w:t>
            </w:r>
          </w:p>
        </w:tc>
        <w:tc>
          <w:tcPr>
            <w:tcW w:w="521" w:type="pct"/>
            <w:vAlign w:val="center"/>
          </w:tcPr>
          <w:p w14:paraId="07563B8A" w14:textId="77777777" w:rsidR="00400398" w:rsidRPr="00215594" w:rsidRDefault="00400398" w:rsidP="00FE7BEC">
            <w:pPr>
              <w:pStyle w:val="TableCellCenter"/>
              <w:spacing w:before="40" w:after="40" w:line="240" w:lineRule="auto"/>
              <w:rPr>
                <w:sz w:val="22"/>
                <w:szCs w:val="22"/>
              </w:rPr>
            </w:pPr>
          </w:p>
        </w:tc>
        <w:tc>
          <w:tcPr>
            <w:tcW w:w="1149" w:type="pct"/>
            <w:vAlign w:val="center"/>
          </w:tcPr>
          <w:p w14:paraId="1236E3DE" w14:textId="77777777" w:rsidR="00400398" w:rsidRPr="00215594" w:rsidRDefault="00400398" w:rsidP="00FE7BEC">
            <w:pPr>
              <w:pStyle w:val="TableCellCenter"/>
              <w:spacing w:before="40" w:after="40" w:line="240" w:lineRule="auto"/>
              <w:rPr>
                <w:sz w:val="22"/>
                <w:szCs w:val="22"/>
              </w:rPr>
            </w:pPr>
            <w:r w:rsidRPr="00215594">
              <w:rPr>
                <w:sz w:val="22"/>
                <w:szCs w:val="22"/>
              </w:rPr>
              <w:t>0,029</w:t>
            </w:r>
          </w:p>
        </w:tc>
        <w:tc>
          <w:tcPr>
            <w:tcW w:w="1157" w:type="pct"/>
            <w:vAlign w:val="center"/>
          </w:tcPr>
          <w:p w14:paraId="5ED0811B" w14:textId="77777777" w:rsidR="00400398" w:rsidRPr="00215594" w:rsidRDefault="00400398" w:rsidP="00FE7BEC">
            <w:pPr>
              <w:keepNext/>
              <w:keepLines/>
              <w:jc w:val="center"/>
              <w:rPr>
                <w:szCs w:val="22"/>
              </w:rPr>
            </w:pPr>
            <w:r w:rsidRPr="00215594">
              <w:rPr>
                <w:szCs w:val="22"/>
              </w:rPr>
              <w:t>0,43</w:t>
            </w:r>
          </w:p>
        </w:tc>
        <w:tc>
          <w:tcPr>
            <w:tcW w:w="691" w:type="pct"/>
            <w:vAlign w:val="center"/>
          </w:tcPr>
          <w:p w14:paraId="7FF5D141" w14:textId="77777777" w:rsidR="00400398" w:rsidRPr="00215594" w:rsidRDefault="00400398" w:rsidP="00FE7BEC">
            <w:pPr>
              <w:keepNext/>
              <w:keepLines/>
              <w:jc w:val="center"/>
              <w:rPr>
                <w:szCs w:val="22"/>
              </w:rPr>
            </w:pPr>
          </w:p>
        </w:tc>
        <w:tc>
          <w:tcPr>
            <w:tcW w:w="625" w:type="pct"/>
            <w:vAlign w:val="center"/>
          </w:tcPr>
          <w:p w14:paraId="1469B2C3" w14:textId="77777777" w:rsidR="00400398" w:rsidRPr="00215594" w:rsidRDefault="00400398" w:rsidP="00FE7BEC">
            <w:pPr>
              <w:keepNext/>
              <w:keepLines/>
              <w:jc w:val="center"/>
              <w:rPr>
                <w:szCs w:val="22"/>
              </w:rPr>
            </w:pPr>
            <w:r w:rsidRPr="00215594">
              <w:rPr>
                <w:szCs w:val="22"/>
              </w:rPr>
              <w:t>0,055</w:t>
            </w:r>
          </w:p>
        </w:tc>
      </w:tr>
      <w:tr w:rsidR="00400398" w:rsidRPr="00215594" w14:paraId="6E15C73F" w14:textId="77777777" w:rsidTr="00D91337">
        <w:tc>
          <w:tcPr>
            <w:tcW w:w="857" w:type="pct"/>
            <w:tcBorders>
              <w:right w:val="nil"/>
            </w:tcBorders>
            <w:vAlign w:val="center"/>
          </w:tcPr>
          <w:p w14:paraId="1001B041" w14:textId="77777777" w:rsidR="00400398" w:rsidRPr="00215594" w:rsidRDefault="00400398" w:rsidP="00FE7BEC">
            <w:pPr>
              <w:pStyle w:val="TableCellLeft"/>
              <w:spacing w:before="40" w:after="40" w:line="240" w:lineRule="auto"/>
              <w:rPr>
                <w:sz w:val="22"/>
                <w:szCs w:val="22"/>
              </w:rPr>
            </w:pPr>
            <w:r w:rsidRPr="00215594">
              <w:rPr>
                <w:sz w:val="22"/>
                <w:szCs w:val="22"/>
              </w:rPr>
              <w:t>Duração da resposta</w:t>
            </w:r>
          </w:p>
        </w:tc>
        <w:tc>
          <w:tcPr>
            <w:tcW w:w="521" w:type="pct"/>
            <w:tcBorders>
              <w:left w:val="nil"/>
              <w:right w:val="nil"/>
            </w:tcBorders>
            <w:vAlign w:val="center"/>
          </w:tcPr>
          <w:p w14:paraId="2BD37911" w14:textId="77777777" w:rsidR="00400398" w:rsidRPr="00215594" w:rsidRDefault="00400398" w:rsidP="00FE7BEC">
            <w:pPr>
              <w:pStyle w:val="TableCellCenter"/>
              <w:spacing w:before="40" w:after="40" w:line="240" w:lineRule="auto"/>
              <w:rPr>
                <w:sz w:val="22"/>
                <w:szCs w:val="22"/>
              </w:rPr>
            </w:pPr>
          </w:p>
        </w:tc>
        <w:tc>
          <w:tcPr>
            <w:tcW w:w="1149" w:type="pct"/>
            <w:tcBorders>
              <w:left w:val="nil"/>
              <w:right w:val="nil"/>
            </w:tcBorders>
            <w:vAlign w:val="center"/>
          </w:tcPr>
          <w:p w14:paraId="6AD857A4" w14:textId="77777777" w:rsidR="00400398" w:rsidRPr="00215594" w:rsidRDefault="00400398" w:rsidP="00FE7BEC">
            <w:pPr>
              <w:pStyle w:val="TableCellCenter"/>
              <w:spacing w:before="40" w:after="40" w:line="240" w:lineRule="auto"/>
              <w:rPr>
                <w:sz w:val="22"/>
                <w:szCs w:val="22"/>
              </w:rPr>
            </w:pPr>
          </w:p>
        </w:tc>
        <w:tc>
          <w:tcPr>
            <w:tcW w:w="1157" w:type="pct"/>
            <w:tcBorders>
              <w:left w:val="nil"/>
              <w:right w:val="nil"/>
            </w:tcBorders>
            <w:vAlign w:val="center"/>
          </w:tcPr>
          <w:p w14:paraId="08A71FF3" w14:textId="77777777" w:rsidR="00400398" w:rsidRPr="00215594" w:rsidRDefault="00400398" w:rsidP="00FE7BEC">
            <w:pPr>
              <w:pStyle w:val="TableCellCenter"/>
              <w:spacing w:before="40" w:after="40" w:line="240" w:lineRule="auto"/>
              <w:rPr>
                <w:sz w:val="22"/>
                <w:szCs w:val="22"/>
              </w:rPr>
            </w:pPr>
          </w:p>
        </w:tc>
        <w:tc>
          <w:tcPr>
            <w:tcW w:w="691" w:type="pct"/>
            <w:tcBorders>
              <w:left w:val="nil"/>
              <w:right w:val="nil"/>
            </w:tcBorders>
            <w:vAlign w:val="center"/>
          </w:tcPr>
          <w:p w14:paraId="0E815A03" w14:textId="77777777" w:rsidR="00400398" w:rsidRPr="00215594" w:rsidRDefault="00400398" w:rsidP="00FE7BEC">
            <w:pPr>
              <w:keepNext/>
              <w:keepLines/>
              <w:jc w:val="center"/>
              <w:rPr>
                <w:szCs w:val="22"/>
              </w:rPr>
            </w:pPr>
          </w:p>
        </w:tc>
        <w:tc>
          <w:tcPr>
            <w:tcW w:w="625" w:type="pct"/>
            <w:tcBorders>
              <w:left w:val="nil"/>
            </w:tcBorders>
            <w:vAlign w:val="center"/>
          </w:tcPr>
          <w:p w14:paraId="1366E96D" w14:textId="77777777" w:rsidR="00400398" w:rsidRPr="00215594" w:rsidRDefault="00400398" w:rsidP="00FE7BEC">
            <w:pPr>
              <w:keepNext/>
              <w:keepLines/>
              <w:jc w:val="center"/>
              <w:rPr>
                <w:szCs w:val="22"/>
              </w:rPr>
            </w:pPr>
          </w:p>
        </w:tc>
      </w:tr>
      <w:tr w:rsidR="00400398" w:rsidRPr="00215594" w14:paraId="3C4ECDF1" w14:textId="77777777" w:rsidTr="00D91337">
        <w:tc>
          <w:tcPr>
            <w:tcW w:w="857" w:type="pct"/>
            <w:vAlign w:val="center"/>
          </w:tcPr>
          <w:p w14:paraId="5489B51F" w14:textId="77777777" w:rsidR="00400398" w:rsidRPr="00215594" w:rsidRDefault="00400398" w:rsidP="00FE7BEC">
            <w:pPr>
              <w:pStyle w:val="TableCellCenter"/>
              <w:spacing w:before="40" w:after="40" w:line="240" w:lineRule="auto"/>
              <w:ind w:left="240"/>
              <w:jc w:val="left"/>
              <w:rPr>
                <w:sz w:val="22"/>
                <w:szCs w:val="22"/>
              </w:rPr>
            </w:pPr>
            <w:r w:rsidRPr="00215594">
              <w:rPr>
                <w:sz w:val="22"/>
                <w:szCs w:val="22"/>
              </w:rPr>
              <w:t>Mediana (meses)</w:t>
            </w:r>
          </w:p>
        </w:tc>
        <w:tc>
          <w:tcPr>
            <w:tcW w:w="521" w:type="pct"/>
            <w:vAlign w:val="center"/>
          </w:tcPr>
          <w:p w14:paraId="41F63C34" w14:textId="77777777" w:rsidR="00400398" w:rsidRPr="00215594" w:rsidRDefault="00400398" w:rsidP="00FE7BEC">
            <w:pPr>
              <w:pStyle w:val="TableCellCenter"/>
              <w:spacing w:before="40" w:after="40" w:line="240" w:lineRule="auto"/>
              <w:rPr>
                <w:sz w:val="22"/>
                <w:szCs w:val="22"/>
              </w:rPr>
            </w:pPr>
            <w:r w:rsidRPr="00215594">
              <w:rPr>
                <w:sz w:val="22"/>
                <w:szCs w:val="22"/>
              </w:rPr>
              <w:t>NR</w:t>
            </w:r>
          </w:p>
        </w:tc>
        <w:tc>
          <w:tcPr>
            <w:tcW w:w="1149" w:type="pct"/>
            <w:vAlign w:val="center"/>
          </w:tcPr>
          <w:p w14:paraId="1E707DD8" w14:textId="77777777" w:rsidR="00400398" w:rsidRPr="00215594" w:rsidRDefault="00400398" w:rsidP="00FE7BEC">
            <w:pPr>
              <w:pStyle w:val="TableCellCenter"/>
              <w:spacing w:before="40" w:after="40" w:line="240" w:lineRule="auto"/>
              <w:rPr>
                <w:sz w:val="22"/>
                <w:szCs w:val="22"/>
              </w:rPr>
            </w:pPr>
            <w:r w:rsidRPr="00215594">
              <w:rPr>
                <w:sz w:val="22"/>
                <w:szCs w:val="22"/>
              </w:rPr>
              <w:t>9,3</w:t>
            </w:r>
          </w:p>
        </w:tc>
        <w:tc>
          <w:tcPr>
            <w:tcW w:w="1157" w:type="pct"/>
            <w:vAlign w:val="center"/>
          </w:tcPr>
          <w:p w14:paraId="5C9890F9" w14:textId="77777777" w:rsidR="00400398" w:rsidRPr="00215594" w:rsidRDefault="00400398" w:rsidP="00FE7BEC">
            <w:pPr>
              <w:pStyle w:val="TableCellCenter"/>
              <w:spacing w:before="40" w:after="40" w:line="240" w:lineRule="auto"/>
              <w:rPr>
                <w:sz w:val="22"/>
                <w:szCs w:val="22"/>
              </w:rPr>
            </w:pPr>
            <w:r w:rsidRPr="00215594">
              <w:rPr>
                <w:sz w:val="22"/>
                <w:szCs w:val="22"/>
              </w:rPr>
              <w:t>5,0</w:t>
            </w:r>
          </w:p>
        </w:tc>
        <w:tc>
          <w:tcPr>
            <w:tcW w:w="691" w:type="pct"/>
            <w:vAlign w:val="center"/>
          </w:tcPr>
          <w:p w14:paraId="63FE8190" w14:textId="77777777" w:rsidR="00400398" w:rsidRPr="00215594" w:rsidRDefault="00400398" w:rsidP="00FE7BEC">
            <w:pPr>
              <w:keepNext/>
              <w:keepLines/>
              <w:jc w:val="center"/>
              <w:rPr>
                <w:szCs w:val="22"/>
              </w:rPr>
            </w:pPr>
            <w:r w:rsidRPr="00215594">
              <w:rPr>
                <w:szCs w:val="22"/>
              </w:rPr>
              <w:t>6,8</w:t>
            </w:r>
          </w:p>
        </w:tc>
        <w:tc>
          <w:tcPr>
            <w:tcW w:w="625" w:type="pct"/>
            <w:vAlign w:val="center"/>
          </w:tcPr>
          <w:p w14:paraId="35BD5ABD" w14:textId="77777777" w:rsidR="00400398" w:rsidRPr="00215594" w:rsidRDefault="00400398" w:rsidP="00FE7BEC">
            <w:pPr>
              <w:keepNext/>
              <w:keepLines/>
              <w:jc w:val="center"/>
              <w:rPr>
                <w:szCs w:val="22"/>
              </w:rPr>
            </w:pPr>
            <w:r w:rsidRPr="00215594">
              <w:rPr>
                <w:szCs w:val="22"/>
              </w:rPr>
              <w:t>9,2</w:t>
            </w:r>
          </w:p>
        </w:tc>
      </w:tr>
      <w:tr w:rsidR="00400398" w:rsidRPr="00215594" w14:paraId="168C85C6" w14:textId="77777777" w:rsidTr="00D91337">
        <w:tc>
          <w:tcPr>
            <w:tcW w:w="857" w:type="pct"/>
            <w:vAlign w:val="center"/>
          </w:tcPr>
          <w:p w14:paraId="363F62C1" w14:textId="77777777" w:rsidR="00400398" w:rsidRPr="00215594" w:rsidRDefault="00400398" w:rsidP="00FE7BEC">
            <w:pPr>
              <w:pStyle w:val="TableCellCenter"/>
              <w:spacing w:before="40" w:after="40" w:line="240" w:lineRule="auto"/>
              <w:ind w:left="240"/>
              <w:jc w:val="left"/>
              <w:rPr>
                <w:sz w:val="22"/>
                <w:szCs w:val="22"/>
              </w:rPr>
            </w:pPr>
            <w:r w:rsidRPr="00215594">
              <w:rPr>
                <w:sz w:val="22"/>
                <w:szCs w:val="22"/>
              </w:rPr>
              <w:t>Percentil 25–75 (meses)</w:t>
            </w:r>
          </w:p>
        </w:tc>
        <w:tc>
          <w:tcPr>
            <w:tcW w:w="521" w:type="pct"/>
            <w:vAlign w:val="center"/>
          </w:tcPr>
          <w:p w14:paraId="38BC558A" w14:textId="77777777" w:rsidR="00400398" w:rsidRPr="00215594" w:rsidRDefault="00400398" w:rsidP="00FE7BEC">
            <w:pPr>
              <w:pStyle w:val="TableCellCenter"/>
              <w:spacing w:before="40" w:after="40" w:line="240" w:lineRule="auto"/>
              <w:rPr>
                <w:sz w:val="22"/>
                <w:szCs w:val="22"/>
              </w:rPr>
            </w:pPr>
            <w:r w:rsidRPr="00215594">
              <w:rPr>
                <w:sz w:val="22"/>
                <w:szCs w:val="22"/>
              </w:rPr>
              <w:t>5,5 </w:t>
            </w:r>
            <w:r w:rsidRPr="00215594">
              <w:rPr>
                <w:sz w:val="22"/>
                <w:szCs w:val="22"/>
              </w:rPr>
              <w:noBreakHyphen/>
              <w:t> NR</w:t>
            </w:r>
          </w:p>
        </w:tc>
        <w:tc>
          <w:tcPr>
            <w:tcW w:w="1149" w:type="pct"/>
            <w:vAlign w:val="center"/>
          </w:tcPr>
          <w:p w14:paraId="2C2A574A" w14:textId="77777777" w:rsidR="00400398" w:rsidRPr="00215594" w:rsidRDefault="00400398" w:rsidP="00FE7BEC">
            <w:pPr>
              <w:pStyle w:val="TableCellCenter"/>
              <w:spacing w:before="40" w:after="40" w:line="240" w:lineRule="auto"/>
              <w:rPr>
                <w:sz w:val="22"/>
                <w:szCs w:val="22"/>
              </w:rPr>
            </w:pPr>
            <w:r w:rsidRPr="00215594">
              <w:rPr>
                <w:sz w:val="22"/>
                <w:szCs w:val="22"/>
              </w:rPr>
              <w:t>6,1 </w:t>
            </w:r>
            <w:r w:rsidRPr="00215594">
              <w:rPr>
                <w:sz w:val="22"/>
                <w:szCs w:val="22"/>
              </w:rPr>
              <w:noBreakHyphen/>
              <w:t> NR</w:t>
            </w:r>
          </w:p>
        </w:tc>
        <w:tc>
          <w:tcPr>
            <w:tcW w:w="1157" w:type="pct"/>
            <w:vAlign w:val="center"/>
          </w:tcPr>
          <w:p w14:paraId="6F6388A6" w14:textId="77777777" w:rsidR="00400398" w:rsidRPr="00215594" w:rsidRDefault="00400398" w:rsidP="00FE7BEC">
            <w:pPr>
              <w:pStyle w:val="TableCellCenter"/>
              <w:spacing w:before="40" w:after="40" w:line="240" w:lineRule="auto"/>
              <w:rPr>
                <w:sz w:val="22"/>
                <w:szCs w:val="22"/>
              </w:rPr>
            </w:pPr>
            <w:r w:rsidRPr="00215594">
              <w:rPr>
                <w:sz w:val="22"/>
                <w:szCs w:val="22"/>
              </w:rPr>
              <w:t>3,8 </w:t>
            </w:r>
            <w:r w:rsidRPr="00215594">
              <w:rPr>
                <w:sz w:val="22"/>
                <w:szCs w:val="22"/>
              </w:rPr>
              <w:noBreakHyphen/>
              <w:t> 7,8</w:t>
            </w:r>
          </w:p>
        </w:tc>
        <w:tc>
          <w:tcPr>
            <w:tcW w:w="691" w:type="pct"/>
            <w:vAlign w:val="center"/>
          </w:tcPr>
          <w:p w14:paraId="587E2F2E" w14:textId="77777777" w:rsidR="00400398" w:rsidRPr="00215594" w:rsidRDefault="00400398" w:rsidP="00FE7BEC">
            <w:pPr>
              <w:keepNext/>
              <w:keepLines/>
              <w:jc w:val="center"/>
              <w:rPr>
                <w:szCs w:val="22"/>
              </w:rPr>
            </w:pPr>
            <w:r w:rsidRPr="00215594">
              <w:rPr>
                <w:szCs w:val="22"/>
              </w:rPr>
              <w:t>5,59 </w:t>
            </w:r>
            <w:r w:rsidRPr="00215594">
              <w:rPr>
                <w:szCs w:val="22"/>
              </w:rPr>
              <w:noBreakHyphen/>
              <w:t> 9,17</w:t>
            </w:r>
          </w:p>
        </w:tc>
        <w:tc>
          <w:tcPr>
            <w:tcW w:w="625" w:type="pct"/>
            <w:vAlign w:val="center"/>
          </w:tcPr>
          <w:p w14:paraId="7BE4E0AF" w14:textId="77777777" w:rsidR="00400398" w:rsidRPr="00215594" w:rsidRDefault="00400398" w:rsidP="00FE7BEC">
            <w:pPr>
              <w:keepNext/>
              <w:keepLines/>
              <w:jc w:val="center"/>
              <w:rPr>
                <w:szCs w:val="22"/>
              </w:rPr>
            </w:pPr>
            <w:r w:rsidRPr="00215594">
              <w:rPr>
                <w:szCs w:val="22"/>
              </w:rPr>
              <w:t>5,88 </w:t>
            </w:r>
            <w:r w:rsidRPr="00215594">
              <w:rPr>
                <w:szCs w:val="22"/>
              </w:rPr>
              <w:noBreakHyphen/>
              <w:t> 13,01</w:t>
            </w:r>
          </w:p>
        </w:tc>
      </w:tr>
      <w:tr w:rsidR="00400398" w:rsidRPr="00215594" w14:paraId="08118E17" w14:textId="77777777" w:rsidTr="00D91337">
        <w:trPr>
          <w:trHeight w:val="783"/>
        </w:trPr>
        <w:tc>
          <w:tcPr>
            <w:tcW w:w="5000" w:type="pct"/>
            <w:gridSpan w:val="6"/>
            <w:tcBorders>
              <w:left w:val="nil"/>
              <w:bottom w:val="nil"/>
              <w:right w:val="nil"/>
            </w:tcBorders>
            <w:vAlign w:val="center"/>
          </w:tcPr>
          <w:p w14:paraId="27F4BB7F" w14:textId="77777777" w:rsidR="00400398" w:rsidRPr="001E05C2" w:rsidRDefault="00400398" w:rsidP="00FE7BEC">
            <w:pPr>
              <w:keepNext/>
              <w:keepLines/>
              <w:ind w:left="170" w:hanging="170"/>
              <w:rPr>
                <w:sz w:val="18"/>
                <w:szCs w:val="18"/>
              </w:rPr>
            </w:pPr>
            <w:r w:rsidRPr="001E05C2">
              <w:rPr>
                <w:sz w:val="18"/>
                <w:szCs w:val="18"/>
                <w:vertAlign w:val="superscript"/>
              </w:rPr>
              <w:t>a</w:t>
            </w:r>
            <w:r w:rsidRPr="001E05C2">
              <w:rPr>
                <w:sz w:val="18"/>
                <w:szCs w:val="18"/>
              </w:rPr>
              <w:t xml:space="preserve"> 5 mg/kg de 2 em 2 semanas</w:t>
            </w:r>
          </w:p>
          <w:p w14:paraId="72C9C44F" w14:textId="77777777" w:rsidR="00400398" w:rsidRPr="001E05C2" w:rsidRDefault="00400398" w:rsidP="00FE7BEC">
            <w:pPr>
              <w:keepNext/>
              <w:keepLines/>
              <w:rPr>
                <w:sz w:val="18"/>
                <w:szCs w:val="18"/>
              </w:rPr>
            </w:pPr>
            <w:r w:rsidRPr="001E05C2">
              <w:rPr>
                <w:sz w:val="18"/>
                <w:szCs w:val="18"/>
                <w:vertAlign w:val="superscript"/>
              </w:rPr>
              <w:t>b</w:t>
            </w:r>
            <w:r w:rsidRPr="001E05C2">
              <w:rPr>
                <w:sz w:val="18"/>
                <w:szCs w:val="18"/>
              </w:rPr>
              <w:t xml:space="preserve"> 10 mg/kg de 2 em 2 semanas</w:t>
            </w:r>
          </w:p>
          <w:p w14:paraId="417D0E59" w14:textId="77777777" w:rsidR="00400398" w:rsidRPr="001E05C2" w:rsidRDefault="00400398" w:rsidP="00FE7BEC">
            <w:pPr>
              <w:keepNext/>
              <w:keepLines/>
              <w:rPr>
                <w:sz w:val="18"/>
                <w:szCs w:val="18"/>
              </w:rPr>
            </w:pPr>
            <w:r w:rsidRPr="001E05C2">
              <w:rPr>
                <w:sz w:val="18"/>
                <w:szCs w:val="18"/>
                <w:vertAlign w:val="superscript"/>
              </w:rPr>
              <w:t>c</w:t>
            </w:r>
            <w:r w:rsidRPr="001E05C2">
              <w:rPr>
                <w:sz w:val="18"/>
                <w:szCs w:val="18"/>
              </w:rPr>
              <w:t xml:space="preserve"> Relativamente ao braço de controlo</w:t>
            </w:r>
          </w:p>
          <w:p w14:paraId="759C4BB6" w14:textId="77777777" w:rsidR="00400398" w:rsidRPr="00215594" w:rsidRDefault="00400398" w:rsidP="00FE7BEC">
            <w:pPr>
              <w:keepNext/>
              <w:keepLines/>
              <w:ind w:left="142"/>
              <w:rPr>
                <w:sz w:val="18"/>
                <w:szCs w:val="18"/>
              </w:rPr>
            </w:pPr>
            <w:r w:rsidRPr="001E05C2">
              <w:rPr>
                <w:sz w:val="18"/>
                <w:szCs w:val="18"/>
              </w:rPr>
              <w:t>NR </w:t>
            </w:r>
            <w:r w:rsidRPr="001E05C2">
              <w:rPr>
                <w:rFonts w:ascii="Symbol" w:hAnsi="Symbol"/>
                <w:sz w:val="18"/>
                <w:szCs w:val="18"/>
              </w:rPr>
              <w:t></w:t>
            </w:r>
            <w:r w:rsidRPr="001E05C2">
              <w:rPr>
                <w:sz w:val="18"/>
                <w:szCs w:val="18"/>
              </w:rPr>
              <w:t> não atingida</w:t>
            </w:r>
          </w:p>
        </w:tc>
      </w:tr>
    </w:tbl>
    <w:p w14:paraId="2484BD55" w14:textId="77777777" w:rsidR="00400398" w:rsidRPr="007232E4" w:rsidRDefault="00400398">
      <w:pPr>
        <w:rPr>
          <w:b/>
        </w:rPr>
      </w:pPr>
    </w:p>
    <w:p w14:paraId="13602978" w14:textId="77777777" w:rsidR="00400398" w:rsidRPr="007232E4" w:rsidRDefault="00400398" w:rsidP="00AC23F0">
      <w:pPr>
        <w:keepNext/>
        <w:rPr>
          <w:i/>
        </w:rPr>
      </w:pPr>
      <w:r w:rsidRPr="007232E4">
        <w:rPr>
          <w:i/>
        </w:rPr>
        <w:t xml:space="preserve">NO16966 </w:t>
      </w:r>
    </w:p>
    <w:p w14:paraId="6B238DEC" w14:textId="77777777" w:rsidR="00400398" w:rsidRPr="007232E4" w:rsidRDefault="00400398" w:rsidP="001E05C2">
      <w:pPr>
        <w:keepNext/>
      </w:pPr>
      <w:r w:rsidRPr="007232E4">
        <w:t xml:space="preserve">Este foi um ensaio clínico de fase III, aleatorizado, em dupla ocultação (para bevacizumab), para investigação de </w:t>
      </w:r>
      <w:r w:rsidR="009D13B0">
        <w:t>bevacizumab</w:t>
      </w:r>
      <w:r w:rsidR="009D13B0" w:rsidRPr="007232E4">
        <w:t xml:space="preserve"> </w:t>
      </w:r>
      <w:r w:rsidRPr="007232E4">
        <w:t xml:space="preserve">7,5 mg/kg em associação com capecitabina por via oral e oxaliplatina por via intravenosa (XELOX), administrado de 3 em 3 semanas; ou </w:t>
      </w:r>
      <w:r w:rsidR="009D13B0">
        <w:t>bevacizumab</w:t>
      </w:r>
      <w:r w:rsidR="009D13B0" w:rsidRPr="007232E4">
        <w:t xml:space="preserve"> </w:t>
      </w:r>
      <w:r w:rsidRPr="007232E4">
        <w:t>5 mg/kg em associação com folinato de cálcio e 5</w:t>
      </w:r>
      <w:r w:rsidRPr="007232E4">
        <w:noBreakHyphen/>
        <w:t>fluorouracilo em bólus, seguido de perfusão de 5</w:t>
      </w:r>
      <w:r w:rsidRPr="007232E4">
        <w:noBreakHyphen/>
        <w:t xml:space="preserve">fluorouracilo com oxaliplatina por via intravenosa (FOLFOX-4) administrado de 2 em 2 semanas. O ensaio conteve duas partes: uma parte inicial, sem ocultação, com 2 braços (Parte I), em que os doentes foram aleatorizados para dois grupos de tratamento diferentes (XELOX e FOLFOX-4) e uma parte subsequente com 4 braços (Parte II) fatorial 2 x 2, em que os doentes foram aleatorizados para quatro </w:t>
      </w:r>
      <w:r w:rsidRPr="007232E4">
        <w:lastRenderedPageBreak/>
        <w:t>grupos de tratamento (XELOX + placebo, FOLFOX</w:t>
      </w:r>
      <w:r w:rsidRPr="007232E4">
        <w:noBreakHyphen/>
        <w:t>4 + placebo, XELOX + </w:t>
      </w:r>
      <w:r w:rsidR="009D13B0">
        <w:t>bevacizumab</w:t>
      </w:r>
      <w:r w:rsidRPr="007232E4">
        <w:t>, FOLFOX</w:t>
      </w:r>
      <w:r w:rsidRPr="007232E4">
        <w:noBreakHyphen/>
        <w:t>4 + </w:t>
      </w:r>
      <w:r w:rsidR="009D13B0">
        <w:t>bevacizumab</w:t>
      </w:r>
      <w:r w:rsidRPr="007232E4">
        <w:t>). Na parte II, a determinação do tratamento foi em dupla ocultação relativamente a</w:t>
      </w:r>
      <w:r w:rsidR="009D13B0">
        <w:t>o</w:t>
      </w:r>
      <w:r w:rsidRPr="007232E4">
        <w:t xml:space="preserve"> </w:t>
      </w:r>
      <w:r w:rsidR="009D13B0">
        <w:t>bevacizumab</w:t>
      </w:r>
      <w:r w:rsidRPr="007232E4">
        <w:t>.</w:t>
      </w:r>
    </w:p>
    <w:p w14:paraId="4E0892D1" w14:textId="77777777" w:rsidR="00400398" w:rsidRPr="007232E4" w:rsidRDefault="00400398"/>
    <w:p w14:paraId="39F52DF9" w14:textId="77777777" w:rsidR="00400398" w:rsidRPr="007232E4" w:rsidRDefault="00400398">
      <w:r w:rsidRPr="007232E4">
        <w:t xml:space="preserve">Foram aleatorizados aproximadamente 350 doentes para cada um dos 4 braços do ensaio na Parte II do ensaio. </w:t>
      </w:r>
    </w:p>
    <w:p w14:paraId="0DF17F54" w14:textId="77777777" w:rsidR="00400398" w:rsidRPr="007232E4" w:rsidRDefault="00400398"/>
    <w:p w14:paraId="04AE7324" w14:textId="77777777" w:rsidR="00400398" w:rsidRPr="007232E4" w:rsidRDefault="00400398" w:rsidP="001E05C2">
      <w:pPr>
        <w:keepNext/>
        <w:keepLines/>
        <w:ind w:left="1418" w:hanging="1418"/>
        <w:rPr>
          <w:b/>
        </w:rPr>
      </w:pPr>
      <w:r w:rsidRPr="007232E4">
        <w:rPr>
          <w:b/>
        </w:rPr>
        <w:t>Tabela </w:t>
      </w:r>
      <w:r>
        <w:rPr>
          <w:b/>
        </w:rPr>
        <w:t>6</w:t>
      </w:r>
      <w:r w:rsidRPr="007232E4">
        <w:rPr>
          <w:b/>
        </w:rPr>
        <w:tab/>
        <w:t>Regimes de tratamento no ensaio N016966 (</w:t>
      </w:r>
      <w:r w:rsidRPr="007232E4">
        <w:rPr>
          <w:b/>
          <w:bCs/>
        </w:rPr>
        <w:t>Carcinoma metastizado do cólon ou do reto</w:t>
      </w:r>
      <w:r w:rsidRPr="007232E4">
        <w:rPr>
          <w:b/>
        </w:rPr>
        <w:t>)</w:t>
      </w:r>
    </w:p>
    <w:tbl>
      <w:tblPr>
        <w:tblW w:w="5000" w:type="pct"/>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962"/>
        <w:gridCol w:w="1597"/>
        <w:gridCol w:w="2113"/>
        <w:gridCol w:w="3379"/>
      </w:tblGrid>
      <w:tr w:rsidR="00400398" w:rsidRPr="00215594" w14:paraId="0E46D28F" w14:textId="77777777" w:rsidTr="00D91337">
        <w:trPr>
          <w:jc w:val="center"/>
        </w:trPr>
        <w:tc>
          <w:tcPr>
            <w:tcW w:w="1100" w:type="pct"/>
            <w:tcBorders>
              <w:top w:val="single" w:sz="8" w:space="0" w:color="auto"/>
              <w:bottom w:val="single" w:sz="8" w:space="0" w:color="auto"/>
              <w:right w:val="single" w:sz="8" w:space="0" w:color="auto"/>
            </w:tcBorders>
            <w:vAlign w:val="bottom"/>
          </w:tcPr>
          <w:p w14:paraId="3383D357" w14:textId="77777777" w:rsidR="00400398" w:rsidRPr="00215594" w:rsidRDefault="00400398">
            <w:pPr>
              <w:pStyle w:val="TableCellCenter"/>
              <w:keepLines w:val="0"/>
              <w:rPr>
                <w:sz w:val="22"/>
                <w:szCs w:val="22"/>
              </w:rPr>
            </w:pPr>
          </w:p>
        </w:tc>
        <w:tc>
          <w:tcPr>
            <w:tcW w:w="835" w:type="pct"/>
            <w:tcBorders>
              <w:top w:val="single" w:sz="8" w:space="0" w:color="auto"/>
              <w:left w:val="single" w:sz="8" w:space="0" w:color="auto"/>
              <w:bottom w:val="single" w:sz="8" w:space="0" w:color="auto"/>
              <w:right w:val="single" w:sz="8" w:space="0" w:color="auto"/>
            </w:tcBorders>
            <w:vAlign w:val="bottom"/>
          </w:tcPr>
          <w:p w14:paraId="634F9156" w14:textId="77777777" w:rsidR="00400398" w:rsidRPr="00215594" w:rsidRDefault="00400398">
            <w:pPr>
              <w:pStyle w:val="TableCellCenter"/>
              <w:keepLines w:val="0"/>
              <w:rPr>
                <w:sz w:val="22"/>
                <w:szCs w:val="22"/>
              </w:rPr>
            </w:pPr>
            <w:r w:rsidRPr="00215594">
              <w:rPr>
                <w:sz w:val="22"/>
                <w:szCs w:val="22"/>
              </w:rPr>
              <w:t>Tratamento</w:t>
            </w:r>
          </w:p>
        </w:tc>
        <w:tc>
          <w:tcPr>
            <w:tcW w:w="1183" w:type="pct"/>
            <w:tcBorders>
              <w:top w:val="single" w:sz="8" w:space="0" w:color="auto"/>
              <w:left w:val="single" w:sz="8" w:space="0" w:color="auto"/>
              <w:bottom w:val="single" w:sz="8" w:space="0" w:color="auto"/>
              <w:right w:val="single" w:sz="8" w:space="0" w:color="auto"/>
            </w:tcBorders>
            <w:vAlign w:val="bottom"/>
          </w:tcPr>
          <w:p w14:paraId="7E877D2F" w14:textId="77777777" w:rsidR="00400398" w:rsidRPr="00215594" w:rsidRDefault="00400398">
            <w:pPr>
              <w:pStyle w:val="TableCellCenter"/>
              <w:keepLines w:val="0"/>
              <w:rPr>
                <w:sz w:val="22"/>
                <w:szCs w:val="22"/>
              </w:rPr>
            </w:pPr>
            <w:r w:rsidRPr="00215594">
              <w:rPr>
                <w:sz w:val="22"/>
                <w:szCs w:val="22"/>
              </w:rPr>
              <w:t>Dose inicial</w:t>
            </w:r>
          </w:p>
        </w:tc>
        <w:tc>
          <w:tcPr>
            <w:tcW w:w="1882" w:type="pct"/>
            <w:tcBorders>
              <w:top w:val="single" w:sz="8" w:space="0" w:color="auto"/>
              <w:left w:val="single" w:sz="8" w:space="0" w:color="auto"/>
              <w:bottom w:val="single" w:sz="8" w:space="0" w:color="auto"/>
            </w:tcBorders>
            <w:vAlign w:val="bottom"/>
          </w:tcPr>
          <w:p w14:paraId="2EDA7853" w14:textId="77777777" w:rsidR="00400398" w:rsidRPr="00215594" w:rsidRDefault="00400398">
            <w:pPr>
              <w:pStyle w:val="TableCellCenter"/>
              <w:keepLines w:val="0"/>
              <w:rPr>
                <w:sz w:val="22"/>
                <w:szCs w:val="22"/>
              </w:rPr>
            </w:pPr>
            <w:r w:rsidRPr="00215594">
              <w:rPr>
                <w:sz w:val="22"/>
                <w:szCs w:val="22"/>
              </w:rPr>
              <w:t>Regime posológico</w:t>
            </w:r>
          </w:p>
        </w:tc>
      </w:tr>
      <w:tr w:rsidR="00400398" w:rsidRPr="00215594" w14:paraId="7BC4E3EE" w14:textId="77777777" w:rsidTr="00D91337">
        <w:trPr>
          <w:cantSplit/>
          <w:jc w:val="center"/>
        </w:trPr>
        <w:tc>
          <w:tcPr>
            <w:tcW w:w="1100" w:type="pct"/>
            <w:vMerge w:val="restart"/>
            <w:tcBorders>
              <w:top w:val="single" w:sz="8" w:space="0" w:color="auto"/>
              <w:bottom w:val="single" w:sz="8" w:space="0" w:color="auto"/>
              <w:right w:val="single" w:sz="8" w:space="0" w:color="auto"/>
            </w:tcBorders>
          </w:tcPr>
          <w:p w14:paraId="4E087996" w14:textId="77777777" w:rsidR="00400398" w:rsidRPr="00215594" w:rsidRDefault="00400398">
            <w:pPr>
              <w:pStyle w:val="TableCellCenter"/>
              <w:keepLines w:val="0"/>
              <w:rPr>
                <w:sz w:val="22"/>
                <w:szCs w:val="22"/>
              </w:rPr>
            </w:pPr>
            <w:r w:rsidRPr="00215594">
              <w:rPr>
                <w:sz w:val="22"/>
                <w:szCs w:val="22"/>
              </w:rPr>
              <w:t xml:space="preserve">FOLFOX-4 </w:t>
            </w:r>
          </w:p>
          <w:p w14:paraId="362D4DD4" w14:textId="77777777" w:rsidR="00400398" w:rsidRPr="00215594" w:rsidRDefault="00400398">
            <w:pPr>
              <w:pStyle w:val="TableCellCenter"/>
              <w:keepLines w:val="0"/>
              <w:rPr>
                <w:sz w:val="22"/>
                <w:szCs w:val="22"/>
              </w:rPr>
            </w:pPr>
            <w:r w:rsidRPr="00215594">
              <w:rPr>
                <w:sz w:val="22"/>
                <w:szCs w:val="22"/>
              </w:rPr>
              <w:t xml:space="preserve">ou </w:t>
            </w:r>
          </w:p>
          <w:p w14:paraId="030F8BCC" w14:textId="77777777" w:rsidR="00400398" w:rsidRPr="00215594" w:rsidRDefault="00400398" w:rsidP="00216910">
            <w:pPr>
              <w:pStyle w:val="TableCellCenter"/>
              <w:keepLines w:val="0"/>
              <w:rPr>
                <w:sz w:val="22"/>
                <w:szCs w:val="22"/>
              </w:rPr>
            </w:pPr>
            <w:r w:rsidRPr="00215594">
              <w:rPr>
                <w:sz w:val="22"/>
                <w:szCs w:val="22"/>
              </w:rPr>
              <w:t xml:space="preserve">FOLFOX-4 + </w:t>
            </w:r>
            <w:r w:rsidR="009A7EFA" w:rsidRPr="00215594">
              <w:rPr>
                <w:sz w:val="22"/>
                <w:szCs w:val="22"/>
              </w:rPr>
              <w:t>b</w:t>
            </w:r>
            <w:r w:rsidR="00216910" w:rsidRPr="00215594">
              <w:rPr>
                <w:sz w:val="22"/>
                <w:szCs w:val="22"/>
              </w:rPr>
              <w:t>evacizumab</w:t>
            </w:r>
          </w:p>
        </w:tc>
        <w:tc>
          <w:tcPr>
            <w:tcW w:w="835" w:type="pct"/>
            <w:tcBorders>
              <w:top w:val="single" w:sz="8" w:space="0" w:color="auto"/>
              <w:left w:val="single" w:sz="8" w:space="0" w:color="auto"/>
              <w:bottom w:val="nil"/>
              <w:right w:val="single" w:sz="8" w:space="0" w:color="auto"/>
            </w:tcBorders>
          </w:tcPr>
          <w:p w14:paraId="0672B30E" w14:textId="77777777" w:rsidR="00400398" w:rsidRPr="00215594" w:rsidRDefault="00400398" w:rsidP="00F62068">
            <w:pPr>
              <w:pStyle w:val="TableCellLeft"/>
              <w:keepLines w:val="0"/>
              <w:spacing w:line="240" w:lineRule="auto"/>
              <w:rPr>
                <w:sz w:val="22"/>
                <w:szCs w:val="22"/>
              </w:rPr>
            </w:pPr>
            <w:r w:rsidRPr="00215594">
              <w:rPr>
                <w:sz w:val="22"/>
                <w:szCs w:val="22"/>
              </w:rPr>
              <w:t>Oxaliplatina</w:t>
            </w:r>
          </w:p>
        </w:tc>
        <w:tc>
          <w:tcPr>
            <w:tcW w:w="1183" w:type="pct"/>
            <w:tcBorders>
              <w:top w:val="single" w:sz="8" w:space="0" w:color="auto"/>
              <w:left w:val="single" w:sz="8" w:space="0" w:color="auto"/>
              <w:bottom w:val="nil"/>
              <w:right w:val="single" w:sz="8" w:space="0" w:color="auto"/>
            </w:tcBorders>
          </w:tcPr>
          <w:p w14:paraId="794BDE6D" w14:textId="77777777" w:rsidR="00400398" w:rsidRPr="00215594" w:rsidRDefault="00400398" w:rsidP="00F62068">
            <w:pPr>
              <w:pStyle w:val="TableCellLeft"/>
              <w:keepLines w:val="0"/>
              <w:spacing w:line="240" w:lineRule="auto"/>
              <w:rPr>
                <w:sz w:val="22"/>
                <w:szCs w:val="22"/>
              </w:rPr>
            </w:pPr>
            <w:r w:rsidRPr="00215594">
              <w:rPr>
                <w:sz w:val="22"/>
                <w:szCs w:val="22"/>
              </w:rPr>
              <w:t>85  mg/m</w:t>
            </w:r>
            <w:r w:rsidRPr="00215594">
              <w:rPr>
                <w:sz w:val="22"/>
                <w:szCs w:val="22"/>
                <w:vertAlign w:val="superscript"/>
              </w:rPr>
              <w:t>2</w:t>
            </w:r>
            <w:r w:rsidRPr="00215594">
              <w:rPr>
                <w:sz w:val="22"/>
                <w:szCs w:val="22"/>
              </w:rPr>
              <w:t xml:space="preserve"> </w:t>
            </w:r>
            <w:r w:rsidR="00066027">
              <w:rPr>
                <w:szCs w:val="22"/>
              </w:rPr>
              <w:t xml:space="preserve">intravenoso </w:t>
            </w:r>
            <w:r w:rsidRPr="00215594">
              <w:rPr>
                <w:sz w:val="22"/>
                <w:szCs w:val="22"/>
              </w:rPr>
              <w:t xml:space="preserve"> 2 h</w:t>
            </w:r>
          </w:p>
        </w:tc>
        <w:tc>
          <w:tcPr>
            <w:tcW w:w="1882" w:type="pct"/>
            <w:vMerge w:val="restart"/>
            <w:tcBorders>
              <w:top w:val="single" w:sz="8" w:space="0" w:color="auto"/>
              <w:left w:val="single" w:sz="8" w:space="0" w:color="auto"/>
            </w:tcBorders>
          </w:tcPr>
          <w:p w14:paraId="6EA0F139" w14:textId="77777777" w:rsidR="00400398" w:rsidRPr="00215594" w:rsidRDefault="00400398" w:rsidP="00F62068">
            <w:pPr>
              <w:pStyle w:val="TableCellLeft"/>
              <w:keepLines w:val="0"/>
              <w:spacing w:line="240" w:lineRule="auto"/>
              <w:rPr>
                <w:sz w:val="22"/>
                <w:szCs w:val="22"/>
              </w:rPr>
            </w:pPr>
            <w:r w:rsidRPr="00215594">
              <w:rPr>
                <w:sz w:val="22"/>
                <w:szCs w:val="22"/>
              </w:rPr>
              <w:t>Oxaliplatina no dia 1</w:t>
            </w:r>
          </w:p>
          <w:p w14:paraId="2F530F85" w14:textId="77777777" w:rsidR="00400398" w:rsidRPr="00215594" w:rsidRDefault="00400398" w:rsidP="00F62068">
            <w:pPr>
              <w:pStyle w:val="TableCellLeft"/>
              <w:keepLines w:val="0"/>
              <w:spacing w:line="240" w:lineRule="auto"/>
              <w:rPr>
                <w:sz w:val="22"/>
                <w:szCs w:val="22"/>
              </w:rPr>
            </w:pPr>
            <w:r w:rsidRPr="00215594">
              <w:rPr>
                <w:sz w:val="22"/>
                <w:szCs w:val="22"/>
              </w:rPr>
              <w:t>Folinato de cálcio no dia 1 e 2</w:t>
            </w:r>
          </w:p>
          <w:p w14:paraId="208725E1" w14:textId="77777777" w:rsidR="00400398" w:rsidRPr="00215594" w:rsidRDefault="00400398" w:rsidP="00F62068">
            <w:pPr>
              <w:pStyle w:val="TableCellLeft"/>
              <w:keepLines w:val="0"/>
              <w:spacing w:line="240" w:lineRule="auto"/>
              <w:rPr>
                <w:sz w:val="22"/>
                <w:szCs w:val="22"/>
              </w:rPr>
            </w:pPr>
            <w:r w:rsidRPr="00215594">
              <w:rPr>
                <w:sz w:val="22"/>
                <w:szCs w:val="22"/>
              </w:rPr>
              <w:t xml:space="preserve">5-fluorouracilo </w:t>
            </w:r>
            <w:r w:rsidR="00066027">
              <w:rPr>
                <w:szCs w:val="22"/>
              </w:rPr>
              <w:t xml:space="preserve">intravenoso </w:t>
            </w:r>
            <w:r w:rsidRPr="00215594">
              <w:rPr>
                <w:sz w:val="22"/>
                <w:szCs w:val="22"/>
              </w:rPr>
              <w:t xml:space="preserve">bólus/perfusão, cada nos dias 1 e 2 </w:t>
            </w:r>
          </w:p>
        </w:tc>
      </w:tr>
      <w:tr w:rsidR="00400398" w:rsidRPr="00215594" w14:paraId="4D277390" w14:textId="77777777" w:rsidTr="00D91337">
        <w:trPr>
          <w:cantSplit/>
          <w:jc w:val="center"/>
        </w:trPr>
        <w:tc>
          <w:tcPr>
            <w:tcW w:w="1100" w:type="pct"/>
            <w:vMerge/>
            <w:tcBorders>
              <w:top w:val="nil"/>
              <w:bottom w:val="single" w:sz="8" w:space="0" w:color="auto"/>
              <w:right w:val="single" w:sz="8" w:space="0" w:color="auto"/>
            </w:tcBorders>
          </w:tcPr>
          <w:p w14:paraId="4B690E55" w14:textId="77777777" w:rsidR="00400398" w:rsidRPr="00215594" w:rsidRDefault="00400398">
            <w:pPr>
              <w:pStyle w:val="TableCellCenter"/>
              <w:keepLines w:val="0"/>
              <w:rPr>
                <w:sz w:val="22"/>
                <w:szCs w:val="22"/>
              </w:rPr>
            </w:pPr>
          </w:p>
        </w:tc>
        <w:tc>
          <w:tcPr>
            <w:tcW w:w="835" w:type="pct"/>
            <w:tcBorders>
              <w:top w:val="nil"/>
              <w:left w:val="single" w:sz="8" w:space="0" w:color="auto"/>
              <w:bottom w:val="nil"/>
              <w:right w:val="single" w:sz="8" w:space="0" w:color="auto"/>
            </w:tcBorders>
          </w:tcPr>
          <w:p w14:paraId="1857A9E0" w14:textId="77777777" w:rsidR="00400398" w:rsidRPr="00215594" w:rsidRDefault="00400398" w:rsidP="00F62068">
            <w:pPr>
              <w:pStyle w:val="TableCellLeft"/>
              <w:keepLines w:val="0"/>
              <w:spacing w:line="240" w:lineRule="auto"/>
              <w:rPr>
                <w:sz w:val="22"/>
                <w:szCs w:val="22"/>
              </w:rPr>
            </w:pPr>
            <w:r w:rsidRPr="00215594">
              <w:rPr>
                <w:sz w:val="22"/>
                <w:szCs w:val="22"/>
              </w:rPr>
              <w:t>Folinato de cálcio</w:t>
            </w:r>
          </w:p>
        </w:tc>
        <w:tc>
          <w:tcPr>
            <w:tcW w:w="1183" w:type="pct"/>
            <w:tcBorders>
              <w:top w:val="nil"/>
              <w:left w:val="single" w:sz="8" w:space="0" w:color="auto"/>
              <w:bottom w:val="nil"/>
              <w:right w:val="single" w:sz="8" w:space="0" w:color="auto"/>
            </w:tcBorders>
          </w:tcPr>
          <w:p w14:paraId="761CA56D" w14:textId="77777777" w:rsidR="00400398" w:rsidRPr="00215594" w:rsidRDefault="00400398" w:rsidP="00F62068">
            <w:pPr>
              <w:pStyle w:val="TableCellLeft"/>
              <w:keepLines w:val="0"/>
              <w:spacing w:line="240" w:lineRule="auto"/>
              <w:rPr>
                <w:sz w:val="22"/>
                <w:szCs w:val="22"/>
              </w:rPr>
            </w:pPr>
            <w:r w:rsidRPr="00215594">
              <w:rPr>
                <w:sz w:val="22"/>
                <w:szCs w:val="22"/>
              </w:rPr>
              <w:t>200 mg/m</w:t>
            </w:r>
            <w:r w:rsidRPr="00215594">
              <w:rPr>
                <w:sz w:val="22"/>
                <w:szCs w:val="22"/>
                <w:vertAlign w:val="superscript"/>
              </w:rPr>
              <w:t>2</w:t>
            </w:r>
            <w:r w:rsidRPr="00215594">
              <w:rPr>
                <w:sz w:val="22"/>
                <w:szCs w:val="22"/>
              </w:rPr>
              <w:t xml:space="preserve"> </w:t>
            </w:r>
            <w:r w:rsidR="00066027">
              <w:rPr>
                <w:szCs w:val="22"/>
              </w:rPr>
              <w:t xml:space="preserve">intravenoso </w:t>
            </w:r>
            <w:r w:rsidRPr="00215594">
              <w:rPr>
                <w:sz w:val="22"/>
                <w:szCs w:val="22"/>
              </w:rPr>
              <w:t xml:space="preserve"> 2 h</w:t>
            </w:r>
          </w:p>
        </w:tc>
        <w:tc>
          <w:tcPr>
            <w:tcW w:w="1882" w:type="pct"/>
            <w:vMerge/>
            <w:tcBorders>
              <w:left w:val="single" w:sz="8" w:space="0" w:color="auto"/>
            </w:tcBorders>
          </w:tcPr>
          <w:p w14:paraId="4403497F" w14:textId="77777777" w:rsidR="00400398" w:rsidRPr="00215594" w:rsidRDefault="00400398" w:rsidP="00F62068">
            <w:pPr>
              <w:pStyle w:val="TableCellLeft"/>
              <w:keepLines w:val="0"/>
              <w:spacing w:line="240" w:lineRule="auto"/>
              <w:rPr>
                <w:sz w:val="22"/>
                <w:szCs w:val="22"/>
              </w:rPr>
            </w:pPr>
          </w:p>
        </w:tc>
      </w:tr>
      <w:tr w:rsidR="00400398" w:rsidRPr="00215594" w14:paraId="23C434A0" w14:textId="77777777" w:rsidTr="00D91337">
        <w:trPr>
          <w:cantSplit/>
          <w:jc w:val="center"/>
        </w:trPr>
        <w:tc>
          <w:tcPr>
            <w:tcW w:w="1100" w:type="pct"/>
            <w:vMerge/>
            <w:tcBorders>
              <w:top w:val="nil"/>
              <w:bottom w:val="single" w:sz="8" w:space="0" w:color="auto"/>
              <w:right w:val="single" w:sz="8" w:space="0" w:color="auto"/>
            </w:tcBorders>
          </w:tcPr>
          <w:p w14:paraId="7D8940C3" w14:textId="77777777" w:rsidR="00400398" w:rsidRPr="00215594" w:rsidRDefault="00400398">
            <w:pPr>
              <w:pStyle w:val="TableCellCenter"/>
              <w:keepNext w:val="0"/>
              <w:keepLines w:val="0"/>
              <w:rPr>
                <w:sz w:val="22"/>
                <w:szCs w:val="22"/>
              </w:rPr>
            </w:pPr>
          </w:p>
        </w:tc>
        <w:tc>
          <w:tcPr>
            <w:tcW w:w="835" w:type="pct"/>
            <w:tcBorders>
              <w:top w:val="nil"/>
              <w:left w:val="single" w:sz="8" w:space="0" w:color="auto"/>
              <w:bottom w:val="single" w:sz="8" w:space="0" w:color="auto"/>
              <w:right w:val="single" w:sz="8" w:space="0" w:color="auto"/>
            </w:tcBorders>
          </w:tcPr>
          <w:p w14:paraId="158676CC" w14:textId="77777777" w:rsidR="00400398" w:rsidRPr="00215594" w:rsidRDefault="00400398" w:rsidP="00F62068">
            <w:pPr>
              <w:pStyle w:val="TableCellLeft"/>
              <w:keepNext w:val="0"/>
              <w:keepLines w:val="0"/>
              <w:spacing w:line="240" w:lineRule="auto"/>
              <w:rPr>
                <w:sz w:val="22"/>
                <w:szCs w:val="22"/>
              </w:rPr>
            </w:pPr>
            <w:r w:rsidRPr="00215594">
              <w:rPr>
                <w:sz w:val="22"/>
                <w:szCs w:val="22"/>
              </w:rPr>
              <w:t>5</w:t>
            </w:r>
            <w:r w:rsidRPr="00215594">
              <w:rPr>
                <w:sz w:val="22"/>
                <w:szCs w:val="22"/>
              </w:rPr>
              <w:noBreakHyphen/>
              <w:t>Fluorouracilo</w:t>
            </w:r>
          </w:p>
        </w:tc>
        <w:tc>
          <w:tcPr>
            <w:tcW w:w="1183" w:type="pct"/>
            <w:tcBorders>
              <w:top w:val="nil"/>
              <w:left w:val="single" w:sz="8" w:space="0" w:color="auto"/>
              <w:bottom w:val="single" w:sz="8" w:space="0" w:color="auto"/>
              <w:right w:val="single" w:sz="8" w:space="0" w:color="auto"/>
            </w:tcBorders>
          </w:tcPr>
          <w:p w14:paraId="6288309F" w14:textId="77777777" w:rsidR="00400398" w:rsidRPr="00215594" w:rsidRDefault="00400398" w:rsidP="00F62068">
            <w:pPr>
              <w:pStyle w:val="TableCellLeft"/>
              <w:keepNext w:val="0"/>
              <w:keepLines w:val="0"/>
              <w:spacing w:line="240" w:lineRule="auto"/>
              <w:rPr>
                <w:sz w:val="22"/>
                <w:szCs w:val="22"/>
              </w:rPr>
            </w:pPr>
            <w:r w:rsidRPr="00215594">
              <w:rPr>
                <w:sz w:val="22"/>
                <w:szCs w:val="22"/>
              </w:rPr>
              <w:t>400 mg/m</w:t>
            </w:r>
            <w:r w:rsidRPr="00215594">
              <w:rPr>
                <w:sz w:val="22"/>
                <w:szCs w:val="22"/>
                <w:vertAlign w:val="superscript"/>
              </w:rPr>
              <w:t>2</w:t>
            </w:r>
            <w:r w:rsidRPr="00215594">
              <w:rPr>
                <w:sz w:val="22"/>
                <w:szCs w:val="22"/>
              </w:rPr>
              <w:t xml:space="preserve"> </w:t>
            </w:r>
            <w:r w:rsidR="00066027">
              <w:rPr>
                <w:szCs w:val="22"/>
              </w:rPr>
              <w:t xml:space="preserve">intravenoso </w:t>
            </w:r>
            <w:r w:rsidRPr="00215594">
              <w:rPr>
                <w:sz w:val="22"/>
                <w:szCs w:val="22"/>
              </w:rPr>
              <w:t xml:space="preserve"> bólus, 600 mg/m</w:t>
            </w:r>
            <w:r w:rsidRPr="00215594">
              <w:rPr>
                <w:sz w:val="22"/>
                <w:szCs w:val="22"/>
                <w:vertAlign w:val="superscript"/>
              </w:rPr>
              <w:t>2</w:t>
            </w:r>
            <w:r w:rsidRPr="00215594">
              <w:rPr>
                <w:sz w:val="22"/>
                <w:szCs w:val="22"/>
              </w:rPr>
              <w:t xml:space="preserve"> </w:t>
            </w:r>
            <w:r w:rsidR="00066027">
              <w:rPr>
                <w:szCs w:val="22"/>
              </w:rPr>
              <w:t xml:space="preserve">intravenoso </w:t>
            </w:r>
            <w:r w:rsidRPr="00215594">
              <w:rPr>
                <w:sz w:val="22"/>
                <w:szCs w:val="22"/>
              </w:rPr>
              <w:t>22 h</w:t>
            </w:r>
          </w:p>
        </w:tc>
        <w:tc>
          <w:tcPr>
            <w:tcW w:w="1882" w:type="pct"/>
            <w:vMerge/>
            <w:tcBorders>
              <w:left w:val="single" w:sz="8" w:space="0" w:color="auto"/>
              <w:bottom w:val="single" w:sz="8" w:space="0" w:color="auto"/>
            </w:tcBorders>
          </w:tcPr>
          <w:p w14:paraId="1DBE2CAA" w14:textId="77777777" w:rsidR="00400398" w:rsidRPr="00215594" w:rsidRDefault="00400398" w:rsidP="00F62068">
            <w:pPr>
              <w:pStyle w:val="TableCellLeft"/>
              <w:keepNext w:val="0"/>
              <w:keepLines w:val="0"/>
              <w:spacing w:line="240" w:lineRule="auto"/>
              <w:rPr>
                <w:sz w:val="22"/>
                <w:szCs w:val="22"/>
              </w:rPr>
            </w:pPr>
          </w:p>
        </w:tc>
      </w:tr>
      <w:tr w:rsidR="00400398" w:rsidRPr="00215594" w14:paraId="47BDEB55" w14:textId="77777777" w:rsidTr="00D91337">
        <w:trPr>
          <w:cantSplit/>
          <w:jc w:val="center"/>
        </w:trPr>
        <w:tc>
          <w:tcPr>
            <w:tcW w:w="1100" w:type="pct"/>
            <w:vMerge/>
            <w:tcBorders>
              <w:top w:val="nil"/>
              <w:bottom w:val="single" w:sz="8" w:space="0" w:color="auto"/>
              <w:right w:val="single" w:sz="8" w:space="0" w:color="auto"/>
            </w:tcBorders>
          </w:tcPr>
          <w:p w14:paraId="3923A0D0" w14:textId="77777777" w:rsidR="00400398" w:rsidRPr="00215594" w:rsidRDefault="00400398">
            <w:pPr>
              <w:pStyle w:val="TableCellCenter"/>
              <w:keepNext w:val="0"/>
              <w:keepLines w:val="0"/>
              <w:rPr>
                <w:sz w:val="22"/>
                <w:szCs w:val="22"/>
              </w:rPr>
            </w:pPr>
          </w:p>
        </w:tc>
        <w:tc>
          <w:tcPr>
            <w:tcW w:w="835" w:type="pct"/>
            <w:tcBorders>
              <w:top w:val="single" w:sz="8" w:space="0" w:color="auto"/>
              <w:left w:val="single" w:sz="8" w:space="0" w:color="auto"/>
              <w:bottom w:val="single" w:sz="8" w:space="0" w:color="auto"/>
              <w:right w:val="single" w:sz="8" w:space="0" w:color="auto"/>
            </w:tcBorders>
          </w:tcPr>
          <w:p w14:paraId="26DD185E" w14:textId="77777777" w:rsidR="00400398" w:rsidRPr="00215594" w:rsidRDefault="00400398" w:rsidP="00216910">
            <w:pPr>
              <w:pStyle w:val="TableCellLeft"/>
              <w:keepNext w:val="0"/>
              <w:keepLines w:val="0"/>
              <w:spacing w:line="240" w:lineRule="auto"/>
              <w:rPr>
                <w:sz w:val="22"/>
                <w:szCs w:val="22"/>
              </w:rPr>
            </w:pPr>
            <w:r w:rsidRPr="00215594">
              <w:rPr>
                <w:sz w:val="22"/>
                <w:szCs w:val="22"/>
              </w:rPr>
              <w:t xml:space="preserve">Placebo ou </w:t>
            </w:r>
            <w:r w:rsidR="00216910" w:rsidRPr="00215594">
              <w:rPr>
                <w:sz w:val="22"/>
                <w:szCs w:val="22"/>
              </w:rPr>
              <w:t>bevacizumab</w:t>
            </w:r>
          </w:p>
        </w:tc>
        <w:tc>
          <w:tcPr>
            <w:tcW w:w="1183" w:type="pct"/>
            <w:tcBorders>
              <w:top w:val="single" w:sz="8" w:space="0" w:color="auto"/>
              <w:left w:val="single" w:sz="8" w:space="0" w:color="auto"/>
              <w:bottom w:val="single" w:sz="8" w:space="0" w:color="auto"/>
              <w:right w:val="single" w:sz="8" w:space="0" w:color="auto"/>
            </w:tcBorders>
          </w:tcPr>
          <w:p w14:paraId="0AFC8899" w14:textId="77777777" w:rsidR="00400398" w:rsidRPr="00215594" w:rsidRDefault="00400398" w:rsidP="00F62068">
            <w:pPr>
              <w:pStyle w:val="TableCellLeft"/>
              <w:keepNext w:val="0"/>
              <w:keepLines w:val="0"/>
              <w:spacing w:line="240" w:lineRule="auto"/>
              <w:rPr>
                <w:sz w:val="22"/>
                <w:szCs w:val="22"/>
              </w:rPr>
            </w:pPr>
            <w:r w:rsidRPr="00215594">
              <w:rPr>
                <w:sz w:val="22"/>
                <w:szCs w:val="22"/>
              </w:rPr>
              <w:t xml:space="preserve">5 mg/kg </w:t>
            </w:r>
            <w:r w:rsidR="00066027">
              <w:rPr>
                <w:szCs w:val="22"/>
              </w:rPr>
              <w:t xml:space="preserve">intravenoso </w:t>
            </w:r>
            <w:r w:rsidRPr="00215594">
              <w:rPr>
                <w:sz w:val="22"/>
                <w:szCs w:val="22"/>
              </w:rPr>
              <w:t>30-90 min</w:t>
            </w:r>
          </w:p>
        </w:tc>
        <w:tc>
          <w:tcPr>
            <w:tcW w:w="1882" w:type="pct"/>
            <w:tcBorders>
              <w:top w:val="single" w:sz="8" w:space="0" w:color="auto"/>
              <w:left w:val="single" w:sz="8" w:space="0" w:color="auto"/>
              <w:bottom w:val="single" w:sz="8" w:space="0" w:color="auto"/>
            </w:tcBorders>
          </w:tcPr>
          <w:p w14:paraId="1510FCC6" w14:textId="77777777" w:rsidR="00400398" w:rsidRPr="00215594" w:rsidRDefault="00400398" w:rsidP="00F62068">
            <w:pPr>
              <w:pStyle w:val="TableCellLeft"/>
              <w:keepNext w:val="0"/>
              <w:keepLines w:val="0"/>
              <w:spacing w:line="240" w:lineRule="auto"/>
              <w:rPr>
                <w:sz w:val="22"/>
                <w:szCs w:val="22"/>
              </w:rPr>
            </w:pPr>
            <w:r w:rsidRPr="00215594">
              <w:rPr>
                <w:sz w:val="22"/>
                <w:szCs w:val="22"/>
              </w:rPr>
              <w:t>Dia 1, antes de FOLFOX-4, de 2 em 2 semanas</w:t>
            </w:r>
          </w:p>
        </w:tc>
      </w:tr>
      <w:tr w:rsidR="00400398" w:rsidRPr="00215594" w14:paraId="44FC7FEE" w14:textId="77777777" w:rsidTr="00D91337">
        <w:trPr>
          <w:cantSplit/>
          <w:jc w:val="center"/>
        </w:trPr>
        <w:tc>
          <w:tcPr>
            <w:tcW w:w="1100" w:type="pct"/>
            <w:vMerge w:val="restart"/>
            <w:tcBorders>
              <w:top w:val="single" w:sz="8" w:space="0" w:color="auto"/>
              <w:bottom w:val="single" w:sz="8" w:space="0" w:color="auto"/>
              <w:right w:val="single" w:sz="8" w:space="0" w:color="auto"/>
            </w:tcBorders>
          </w:tcPr>
          <w:p w14:paraId="5BF9E695" w14:textId="77777777" w:rsidR="00400398" w:rsidRPr="00215594" w:rsidRDefault="00400398">
            <w:pPr>
              <w:pStyle w:val="TableCellCenter"/>
              <w:keepNext w:val="0"/>
              <w:keepLines w:val="0"/>
              <w:rPr>
                <w:sz w:val="22"/>
                <w:szCs w:val="22"/>
              </w:rPr>
            </w:pPr>
            <w:r w:rsidRPr="00215594">
              <w:rPr>
                <w:sz w:val="22"/>
                <w:szCs w:val="22"/>
              </w:rPr>
              <w:t xml:space="preserve">XELOX </w:t>
            </w:r>
          </w:p>
          <w:p w14:paraId="1D0FBFA4" w14:textId="77777777" w:rsidR="00400398" w:rsidRPr="00215594" w:rsidRDefault="00400398">
            <w:pPr>
              <w:pStyle w:val="TableCellCenter"/>
              <w:keepNext w:val="0"/>
              <w:keepLines w:val="0"/>
              <w:rPr>
                <w:sz w:val="22"/>
                <w:szCs w:val="22"/>
              </w:rPr>
            </w:pPr>
            <w:r w:rsidRPr="00215594">
              <w:rPr>
                <w:sz w:val="22"/>
                <w:szCs w:val="22"/>
              </w:rPr>
              <w:t>ou</w:t>
            </w:r>
          </w:p>
          <w:p w14:paraId="0037C46F" w14:textId="77777777" w:rsidR="00400398" w:rsidRPr="00215594" w:rsidRDefault="00400398" w:rsidP="00216910">
            <w:pPr>
              <w:pStyle w:val="TableCellCenter"/>
              <w:keepNext w:val="0"/>
              <w:keepLines w:val="0"/>
              <w:rPr>
                <w:sz w:val="22"/>
                <w:szCs w:val="22"/>
              </w:rPr>
            </w:pPr>
            <w:r w:rsidRPr="00215594">
              <w:rPr>
                <w:sz w:val="22"/>
                <w:szCs w:val="22"/>
              </w:rPr>
              <w:t xml:space="preserve">XELOX + </w:t>
            </w:r>
            <w:r w:rsidR="009A7EFA" w:rsidRPr="00215594">
              <w:rPr>
                <w:sz w:val="22"/>
                <w:szCs w:val="22"/>
              </w:rPr>
              <w:t>b</w:t>
            </w:r>
            <w:r w:rsidR="00216910" w:rsidRPr="00215594">
              <w:rPr>
                <w:sz w:val="22"/>
                <w:szCs w:val="22"/>
              </w:rPr>
              <w:t>evacizumab</w:t>
            </w:r>
          </w:p>
        </w:tc>
        <w:tc>
          <w:tcPr>
            <w:tcW w:w="835" w:type="pct"/>
            <w:tcBorders>
              <w:top w:val="single" w:sz="8" w:space="0" w:color="auto"/>
              <w:left w:val="single" w:sz="8" w:space="0" w:color="auto"/>
              <w:bottom w:val="nil"/>
              <w:right w:val="single" w:sz="8" w:space="0" w:color="auto"/>
            </w:tcBorders>
          </w:tcPr>
          <w:p w14:paraId="76777F3B" w14:textId="77777777" w:rsidR="00400398" w:rsidRPr="00215594" w:rsidRDefault="00400398" w:rsidP="00F62068">
            <w:pPr>
              <w:pStyle w:val="TableCellLeft"/>
              <w:keepNext w:val="0"/>
              <w:keepLines w:val="0"/>
              <w:spacing w:line="240" w:lineRule="auto"/>
              <w:rPr>
                <w:sz w:val="22"/>
                <w:szCs w:val="22"/>
              </w:rPr>
            </w:pPr>
            <w:r w:rsidRPr="00215594">
              <w:rPr>
                <w:sz w:val="22"/>
                <w:szCs w:val="22"/>
              </w:rPr>
              <w:t>Oxaliplatina</w:t>
            </w:r>
          </w:p>
        </w:tc>
        <w:tc>
          <w:tcPr>
            <w:tcW w:w="1183" w:type="pct"/>
            <w:tcBorders>
              <w:top w:val="single" w:sz="8" w:space="0" w:color="auto"/>
              <w:left w:val="single" w:sz="8" w:space="0" w:color="auto"/>
              <w:bottom w:val="nil"/>
              <w:right w:val="single" w:sz="8" w:space="0" w:color="auto"/>
            </w:tcBorders>
          </w:tcPr>
          <w:p w14:paraId="61590161" w14:textId="77777777" w:rsidR="00400398" w:rsidRPr="00215594" w:rsidRDefault="00400398" w:rsidP="00F62068">
            <w:pPr>
              <w:pStyle w:val="TableCellLeft"/>
              <w:keepNext w:val="0"/>
              <w:keepLines w:val="0"/>
              <w:spacing w:line="240" w:lineRule="auto"/>
              <w:rPr>
                <w:sz w:val="22"/>
                <w:szCs w:val="22"/>
              </w:rPr>
            </w:pPr>
            <w:r w:rsidRPr="00215594">
              <w:rPr>
                <w:sz w:val="22"/>
                <w:szCs w:val="22"/>
              </w:rPr>
              <w:t>130 mg/m</w:t>
            </w:r>
            <w:r w:rsidRPr="00215594">
              <w:rPr>
                <w:sz w:val="22"/>
                <w:szCs w:val="22"/>
                <w:vertAlign w:val="superscript"/>
              </w:rPr>
              <w:t>2</w:t>
            </w:r>
            <w:r w:rsidRPr="00215594">
              <w:rPr>
                <w:sz w:val="22"/>
                <w:szCs w:val="22"/>
              </w:rPr>
              <w:t xml:space="preserve"> </w:t>
            </w:r>
            <w:r w:rsidR="00066027">
              <w:rPr>
                <w:szCs w:val="22"/>
              </w:rPr>
              <w:t xml:space="preserve">intravenoso </w:t>
            </w:r>
            <w:r w:rsidRPr="00215594">
              <w:rPr>
                <w:sz w:val="22"/>
                <w:szCs w:val="22"/>
              </w:rPr>
              <w:t xml:space="preserve"> 2 h</w:t>
            </w:r>
          </w:p>
        </w:tc>
        <w:tc>
          <w:tcPr>
            <w:tcW w:w="1882" w:type="pct"/>
            <w:vMerge w:val="restart"/>
            <w:tcBorders>
              <w:top w:val="single" w:sz="8" w:space="0" w:color="auto"/>
              <w:left w:val="single" w:sz="8" w:space="0" w:color="auto"/>
            </w:tcBorders>
          </w:tcPr>
          <w:p w14:paraId="2E96D3B6" w14:textId="77777777" w:rsidR="00400398" w:rsidRPr="00215594" w:rsidRDefault="00400398" w:rsidP="00F62068">
            <w:pPr>
              <w:pStyle w:val="TableCellLeft"/>
              <w:keepNext w:val="0"/>
              <w:keepLines w:val="0"/>
              <w:spacing w:line="240" w:lineRule="auto"/>
              <w:rPr>
                <w:sz w:val="22"/>
                <w:szCs w:val="22"/>
              </w:rPr>
            </w:pPr>
            <w:r w:rsidRPr="00215594">
              <w:rPr>
                <w:sz w:val="22"/>
                <w:szCs w:val="22"/>
              </w:rPr>
              <w:t>Oxaliplatina no Dia 1</w:t>
            </w:r>
          </w:p>
          <w:p w14:paraId="6B44AF0D" w14:textId="77777777" w:rsidR="00400398" w:rsidRPr="00215594" w:rsidRDefault="00400398" w:rsidP="00F62068">
            <w:pPr>
              <w:pStyle w:val="TableCellLeft"/>
              <w:keepNext w:val="0"/>
              <w:keepLines w:val="0"/>
              <w:spacing w:line="240" w:lineRule="auto"/>
              <w:rPr>
                <w:sz w:val="22"/>
                <w:szCs w:val="22"/>
              </w:rPr>
            </w:pPr>
            <w:r w:rsidRPr="00215594">
              <w:rPr>
                <w:sz w:val="22"/>
                <w:szCs w:val="22"/>
              </w:rPr>
              <w:t>Capecitabina oral duas vezes/dia durante 2 semanas (seguido de 1 semana sem tratamento)</w:t>
            </w:r>
          </w:p>
        </w:tc>
      </w:tr>
      <w:tr w:rsidR="00400398" w:rsidRPr="00215594" w14:paraId="483FEC45" w14:textId="77777777" w:rsidTr="00D91337">
        <w:trPr>
          <w:cantSplit/>
          <w:jc w:val="center"/>
        </w:trPr>
        <w:tc>
          <w:tcPr>
            <w:tcW w:w="1100" w:type="pct"/>
            <w:vMerge/>
            <w:tcBorders>
              <w:top w:val="nil"/>
              <w:bottom w:val="single" w:sz="8" w:space="0" w:color="auto"/>
              <w:right w:val="single" w:sz="8" w:space="0" w:color="auto"/>
            </w:tcBorders>
          </w:tcPr>
          <w:p w14:paraId="25C4B131" w14:textId="77777777" w:rsidR="00400398" w:rsidRPr="00215594" w:rsidRDefault="00400398">
            <w:pPr>
              <w:pStyle w:val="TableCellCenter"/>
              <w:keepNext w:val="0"/>
              <w:keepLines w:val="0"/>
              <w:rPr>
                <w:sz w:val="22"/>
                <w:szCs w:val="22"/>
              </w:rPr>
            </w:pPr>
          </w:p>
        </w:tc>
        <w:tc>
          <w:tcPr>
            <w:tcW w:w="835" w:type="pct"/>
            <w:tcBorders>
              <w:top w:val="nil"/>
              <w:left w:val="single" w:sz="8" w:space="0" w:color="auto"/>
              <w:bottom w:val="nil"/>
              <w:right w:val="single" w:sz="8" w:space="0" w:color="auto"/>
            </w:tcBorders>
          </w:tcPr>
          <w:p w14:paraId="05CE7594" w14:textId="77777777" w:rsidR="00400398" w:rsidRPr="00215594" w:rsidRDefault="00400398" w:rsidP="00F62068">
            <w:pPr>
              <w:pStyle w:val="TableCellLeft"/>
              <w:keepNext w:val="0"/>
              <w:keepLines w:val="0"/>
              <w:spacing w:line="240" w:lineRule="auto"/>
              <w:rPr>
                <w:sz w:val="22"/>
                <w:szCs w:val="22"/>
              </w:rPr>
            </w:pPr>
            <w:r w:rsidRPr="00215594">
              <w:rPr>
                <w:sz w:val="22"/>
                <w:szCs w:val="22"/>
              </w:rPr>
              <w:t>Capecitabina</w:t>
            </w:r>
          </w:p>
        </w:tc>
        <w:tc>
          <w:tcPr>
            <w:tcW w:w="1183" w:type="pct"/>
            <w:tcBorders>
              <w:top w:val="nil"/>
              <w:left w:val="single" w:sz="8" w:space="0" w:color="auto"/>
              <w:bottom w:val="nil"/>
              <w:right w:val="single" w:sz="8" w:space="0" w:color="auto"/>
            </w:tcBorders>
          </w:tcPr>
          <w:p w14:paraId="5C815AE6" w14:textId="77777777" w:rsidR="00400398" w:rsidRPr="00215594" w:rsidRDefault="00400398" w:rsidP="00F62068">
            <w:pPr>
              <w:pStyle w:val="TableCellLeft"/>
              <w:keepNext w:val="0"/>
              <w:keepLines w:val="0"/>
              <w:spacing w:line="240" w:lineRule="auto"/>
              <w:rPr>
                <w:sz w:val="22"/>
                <w:szCs w:val="22"/>
              </w:rPr>
            </w:pPr>
            <w:r w:rsidRPr="00215594">
              <w:rPr>
                <w:sz w:val="22"/>
                <w:szCs w:val="22"/>
              </w:rPr>
              <w:t>1000 mg/m</w:t>
            </w:r>
            <w:r w:rsidRPr="00215594">
              <w:rPr>
                <w:sz w:val="22"/>
                <w:szCs w:val="22"/>
                <w:vertAlign w:val="superscript"/>
              </w:rPr>
              <w:t>2</w:t>
            </w:r>
            <w:r w:rsidRPr="00215594">
              <w:rPr>
                <w:sz w:val="22"/>
                <w:szCs w:val="22"/>
              </w:rPr>
              <w:t xml:space="preserve"> oral duas vezes/dia</w:t>
            </w:r>
          </w:p>
        </w:tc>
        <w:tc>
          <w:tcPr>
            <w:tcW w:w="1882" w:type="pct"/>
            <w:vMerge/>
            <w:tcBorders>
              <w:left w:val="single" w:sz="8" w:space="0" w:color="auto"/>
            </w:tcBorders>
          </w:tcPr>
          <w:p w14:paraId="698902DE" w14:textId="77777777" w:rsidR="00400398" w:rsidRPr="00215594" w:rsidRDefault="00400398" w:rsidP="00F62068">
            <w:pPr>
              <w:pStyle w:val="TableCellLeft"/>
              <w:keepNext w:val="0"/>
              <w:keepLines w:val="0"/>
              <w:spacing w:line="240" w:lineRule="auto"/>
              <w:rPr>
                <w:sz w:val="22"/>
                <w:szCs w:val="22"/>
              </w:rPr>
            </w:pPr>
          </w:p>
        </w:tc>
      </w:tr>
      <w:tr w:rsidR="00400398" w:rsidRPr="00215594" w14:paraId="2EDE2C07" w14:textId="77777777" w:rsidTr="00D91337">
        <w:trPr>
          <w:cantSplit/>
          <w:jc w:val="center"/>
        </w:trPr>
        <w:tc>
          <w:tcPr>
            <w:tcW w:w="1100" w:type="pct"/>
            <w:vMerge/>
            <w:tcBorders>
              <w:top w:val="nil"/>
              <w:bottom w:val="single" w:sz="8" w:space="0" w:color="auto"/>
              <w:right w:val="single" w:sz="8" w:space="0" w:color="auto"/>
            </w:tcBorders>
          </w:tcPr>
          <w:p w14:paraId="5757E2F0" w14:textId="77777777" w:rsidR="00400398" w:rsidRPr="00215594" w:rsidRDefault="00400398">
            <w:pPr>
              <w:pStyle w:val="TableCellCenter"/>
              <w:keepNext w:val="0"/>
              <w:keepLines w:val="0"/>
              <w:rPr>
                <w:sz w:val="22"/>
                <w:szCs w:val="22"/>
              </w:rPr>
            </w:pPr>
          </w:p>
        </w:tc>
        <w:tc>
          <w:tcPr>
            <w:tcW w:w="835" w:type="pct"/>
            <w:tcBorders>
              <w:top w:val="single" w:sz="8" w:space="0" w:color="auto"/>
              <w:left w:val="single" w:sz="8" w:space="0" w:color="auto"/>
              <w:bottom w:val="single" w:sz="8" w:space="0" w:color="auto"/>
              <w:right w:val="single" w:sz="8" w:space="0" w:color="auto"/>
            </w:tcBorders>
          </w:tcPr>
          <w:p w14:paraId="61AA0327" w14:textId="77777777" w:rsidR="00400398" w:rsidRPr="00215594" w:rsidRDefault="00400398" w:rsidP="00216910">
            <w:pPr>
              <w:pStyle w:val="TableCellLeft"/>
              <w:keepNext w:val="0"/>
              <w:keepLines w:val="0"/>
              <w:spacing w:line="240" w:lineRule="auto"/>
              <w:rPr>
                <w:sz w:val="22"/>
                <w:szCs w:val="22"/>
              </w:rPr>
            </w:pPr>
            <w:r w:rsidRPr="00215594">
              <w:rPr>
                <w:sz w:val="22"/>
                <w:szCs w:val="22"/>
              </w:rPr>
              <w:t xml:space="preserve">Placebo ou </w:t>
            </w:r>
            <w:r w:rsidR="009A7EFA" w:rsidRPr="00215594">
              <w:rPr>
                <w:sz w:val="22"/>
                <w:szCs w:val="22"/>
              </w:rPr>
              <w:t>b</w:t>
            </w:r>
            <w:r w:rsidR="00216910" w:rsidRPr="00215594">
              <w:rPr>
                <w:sz w:val="22"/>
                <w:szCs w:val="22"/>
              </w:rPr>
              <w:t>evacizumab</w:t>
            </w:r>
          </w:p>
        </w:tc>
        <w:tc>
          <w:tcPr>
            <w:tcW w:w="1183" w:type="pct"/>
            <w:tcBorders>
              <w:top w:val="single" w:sz="8" w:space="0" w:color="auto"/>
              <w:left w:val="single" w:sz="8" w:space="0" w:color="auto"/>
              <w:bottom w:val="single" w:sz="8" w:space="0" w:color="auto"/>
              <w:right w:val="single" w:sz="8" w:space="0" w:color="auto"/>
            </w:tcBorders>
          </w:tcPr>
          <w:p w14:paraId="5247D392" w14:textId="77777777" w:rsidR="00400398" w:rsidRPr="00215594" w:rsidRDefault="00400398" w:rsidP="00F62068">
            <w:pPr>
              <w:pStyle w:val="TableCellLeft"/>
              <w:keepNext w:val="0"/>
              <w:keepLines w:val="0"/>
              <w:spacing w:line="240" w:lineRule="auto"/>
              <w:rPr>
                <w:sz w:val="22"/>
                <w:szCs w:val="22"/>
              </w:rPr>
            </w:pPr>
            <w:r w:rsidRPr="00215594">
              <w:rPr>
                <w:sz w:val="22"/>
                <w:szCs w:val="22"/>
              </w:rPr>
              <w:t xml:space="preserve">7,5 mg/kg </w:t>
            </w:r>
            <w:r w:rsidR="00066027">
              <w:rPr>
                <w:szCs w:val="22"/>
              </w:rPr>
              <w:t xml:space="preserve">intravenoso </w:t>
            </w:r>
            <w:r w:rsidRPr="00215594">
              <w:rPr>
                <w:sz w:val="22"/>
                <w:szCs w:val="22"/>
              </w:rPr>
              <w:t xml:space="preserve"> 30-90 min</w:t>
            </w:r>
          </w:p>
        </w:tc>
        <w:tc>
          <w:tcPr>
            <w:tcW w:w="1882" w:type="pct"/>
            <w:tcBorders>
              <w:top w:val="single" w:sz="8" w:space="0" w:color="auto"/>
              <w:left w:val="single" w:sz="8" w:space="0" w:color="auto"/>
              <w:bottom w:val="single" w:sz="8" w:space="0" w:color="auto"/>
            </w:tcBorders>
          </w:tcPr>
          <w:p w14:paraId="288C712A" w14:textId="77777777" w:rsidR="00400398" w:rsidRPr="00215594" w:rsidRDefault="00400398" w:rsidP="00F62068">
            <w:pPr>
              <w:pStyle w:val="TableCellLeft"/>
              <w:keepNext w:val="0"/>
              <w:keepLines w:val="0"/>
              <w:spacing w:line="240" w:lineRule="auto"/>
              <w:rPr>
                <w:sz w:val="22"/>
                <w:szCs w:val="22"/>
              </w:rPr>
            </w:pPr>
            <w:r w:rsidRPr="00215594">
              <w:rPr>
                <w:sz w:val="22"/>
                <w:szCs w:val="22"/>
              </w:rPr>
              <w:t>Dia 1, antes de XELOX, de 3 em 3 semanas</w:t>
            </w:r>
          </w:p>
        </w:tc>
      </w:tr>
      <w:tr w:rsidR="00400398" w:rsidRPr="00215594" w14:paraId="26A5D65C" w14:textId="77777777" w:rsidTr="00D91337">
        <w:trPr>
          <w:cantSplit/>
          <w:jc w:val="center"/>
        </w:trPr>
        <w:tc>
          <w:tcPr>
            <w:tcW w:w="5000" w:type="pct"/>
            <w:gridSpan w:val="4"/>
            <w:tcBorders>
              <w:top w:val="single" w:sz="8" w:space="0" w:color="auto"/>
              <w:bottom w:val="single" w:sz="8" w:space="0" w:color="auto"/>
            </w:tcBorders>
          </w:tcPr>
          <w:p w14:paraId="1C4BE53B" w14:textId="77777777" w:rsidR="00400398" w:rsidRPr="00215594" w:rsidRDefault="00400398" w:rsidP="00BC154B">
            <w:pPr>
              <w:pStyle w:val="TableFooter"/>
              <w:keepNext w:val="0"/>
              <w:keepLines w:val="0"/>
              <w:tabs>
                <w:tab w:val="clear" w:pos="144"/>
                <w:tab w:val="left" w:pos="1294"/>
              </w:tabs>
              <w:spacing w:before="40" w:after="40" w:line="240" w:lineRule="auto"/>
              <w:ind w:left="1294" w:hanging="1294"/>
              <w:rPr>
                <w:i/>
                <w:sz w:val="22"/>
                <w:szCs w:val="22"/>
              </w:rPr>
            </w:pPr>
            <w:r w:rsidRPr="00215594">
              <w:rPr>
                <w:sz w:val="22"/>
                <w:szCs w:val="22"/>
              </w:rPr>
              <w:t xml:space="preserve">5-Fluorouracilo: </w:t>
            </w:r>
            <w:r w:rsidRPr="00215594">
              <w:rPr>
                <w:sz w:val="22"/>
                <w:szCs w:val="22"/>
              </w:rPr>
              <w:tab/>
              <w:t>Injeção em bólus intravenoso imediatamente após o</w:t>
            </w:r>
            <w:r w:rsidRPr="00215594">
              <w:rPr>
                <w:sz w:val="22"/>
                <w:szCs w:val="22"/>
                <w:lang w:eastAsia="ja-JP"/>
              </w:rPr>
              <w:t xml:space="preserve"> folinato de cálcio</w:t>
            </w:r>
          </w:p>
        </w:tc>
      </w:tr>
    </w:tbl>
    <w:p w14:paraId="431D5DAA" w14:textId="77777777" w:rsidR="00400398" w:rsidRPr="007232E4" w:rsidRDefault="00400398"/>
    <w:p w14:paraId="589F1F38" w14:textId="77777777" w:rsidR="00400398" w:rsidRPr="007232E4" w:rsidRDefault="00400398">
      <w:r w:rsidRPr="007232E4">
        <w:t xml:space="preserve">O parâmetro primário de eficácia do ensaio foi a duração da </w:t>
      </w:r>
      <w:r w:rsidR="00066027">
        <w:t>PFS</w:t>
      </w:r>
      <w:r w:rsidRPr="007232E4">
        <w:t xml:space="preserve">. Neste ensaio houve dois objetivos primários: demonstrar que XELOX não era inferior a FOLFOX-4 e demonstrar também que </w:t>
      </w:r>
      <w:r w:rsidR="009D13B0">
        <w:t>bevacizumab</w:t>
      </w:r>
      <w:r w:rsidR="009D13B0" w:rsidRPr="007232E4">
        <w:t xml:space="preserve"> </w:t>
      </w:r>
      <w:r w:rsidRPr="007232E4">
        <w:t xml:space="preserve">em associação com quimioterapia, FOLFOX-4 ou XELOX, era superior à quimioterapia isolada. Ambos os objetivos primários foram atingidos: </w:t>
      </w:r>
    </w:p>
    <w:p w14:paraId="6B7D86BA" w14:textId="77777777" w:rsidR="00400398" w:rsidRPr="007232E4" w:rsidRDefault="00400398"/>
    <w:p w14:paraId="49A6702D" w14:textId="77777777" w:rsidR="00400398" w:rsidRPr="007232E4" w:rsidRDefault="00400398">
      <w:pPr>
        <w:ind w:left="567" w:hanging="567"/>
      </w:pPr>
      <w:r w:rsidRPr="007232E4">
        <w:t>•</w:t>
      </w:r>
      <w:r w:rsidRPr="007232E4">
        <w:tab/>
        <w:t xml:space="preserve">Globalmente foi demonstrada não inferioridade nos braços com XELOX comparativamente aos braços com FOLFOX-4, em termos de </w:t>
      </w:r>
      <w:r w:rsidR="00066027">
        <w:t>PFS</w:t>
      </w:r>
      <w:r w:rsidRPr="007232E4">
        <w:t xml:space="preserve"> e </w:t>
      </w:r>
      <w:r w:rsidR="00066027">
        <w:t>OS</w:t>
      </w:r>
      <w:r w:rsidRPr="007232E4">
        <w:t xml:space="preserve"> na população eligível de acordo com o protocolo.</w:t>
      </w:r>
    </w:p>
    <w:p w14:paraId="112A49B0" w14:textId="77777777" w:rsidR="00400398" w:rsidRPr="007232E4" w:rsidRDefault="00400398">
      <w:pPr>
        <w:tabs>
          <w:tab w:val="num" w:pos="0"/>
        </w:tabs>
        <w:ind w:left="480" w:hanging="480"/>
      </w:pPr>
    </w:p>
    <w:p w14:paraId="1E59A886" w14:textId="77777777" w:rsidR="00400398" w:rsidRPr="007232E4" w:rsidRDefault="00400398">
      <w:pPr>
        <w:ind w:left="567" w:hanging="567"/>
      </w:pPr>
      <w:r w:rsidRPr="007232E4">
        <w:t>•</w:t>
      </w:r>
      <w:r w:rsidRPr="007232E4">
        <w:tab/>
        <w:t xml:space="preserve">A superioridade nos braços contendo </w:t>
      </w:r>
      <w:r w:rsidR="009D13B0">
        <w:t>bevacizumab</w:t>
      </w:r>
      <w:r w:rsidR="009D13B0" w:rsidRPr="007232E4">
        <w:t xml:space="preserve"> </w:t>
      </w:r>
      <w:r w:rsidRPr="007232E4">
        <w:rPr>
          <w:i/>
        </w:rPr>
        <w:t>versus</w:t>
      </w:r>
      <w:r w:rsidRPr="007232E4">
        <w:t xml:space="preserve"> os braços apenas com quimioterapia foi demonstrada na comparação global em termos de </w:t>
      </w:r>
      <w:r w:rsidR="00066027">
        <w:t>PFS</w:t>
      </w:r>
      <w:r w:rsidRPr="007232E4">
        <w:t xml:space="preserve"> na população ITT (Tabela </w:t>
      </w:r>
      <w:r>
        <w:t>7</w:t>
      </w:r>
      <w:r w:rsidRPr="007232E4">
        <w:t>).</w:t>
      </w:r>
    </w:p>
    <w:p w14:paraId="70A2F05F" w14:textId="77777777" w:rsidR="00400398" w:rsidRPr="007232E4" w:rsidRDefault="00400398"/>
    <w:p w14:paraId="35EC6898" w14:textId="77777777" w:rsidR="00400398" w:rsidRPr="007232E4" w:rsidRDefault="00400398">
      <w:r w:rsidRPr="007232E4">
        <w:t xml:space="preserve">A análise secundária da PFS, baseadas nas avaliações de resposta durante o tratamento, confirmou o benefício clínico significativamente superior nos doentes tratados com </w:t>
      </w:r>
      <w:r w:rsidR="009D13B0">
        <w:t>bevacizumab</w:t>
      </w:r>
      <w:r w:rsidR="009D13B0" w:rsidRPr="007232E4">
        <w:t xml:space="preserve"> </w:t>
      </w:r>
      <w:r w:rsidRPr="007232E4">
        <w:t>(análise demonstrada na Tabela </w:t>
      </w:r>
      <w:r>
        <w:t>7</w:t>
      </w:r>
      <w:r w:rsidRPr="007232E4">
        <w:t>), consistente com o benefício estatisticamente significativo observado no grupo de análises efetuadas.</w:t>
      </w:r>
    </w:p>
    <w:p w14:paraId="49756144" w14:textId="77777777" w:rsidR="00400398" w:rsidRPr="007232E4" w:rsidRDefault="00400398">
      <w:pPr>
        <w:rPr>
          <w:b/>
        </w:rPr>
      </w:pPr>
    </w:p>
    <w:p w14:paraId="37214392" w14:textId="77777777" w:rsidR="00400398" w:rsidRPr="007232E4" w:rsidRDefault="00400398" w:rsidP="001E05C2">
      <w:pPr>
        <w:keepNext/>
        <w:keepLines/>
        <w:ind w:left="1411" w:hanging="1411"/>
      </w:pPr>
      <w:r w:rsidRPr="007232E4">
        <w:rPr>
          <w:b/>
        </w:rPr>
        <w:lastRenderedPageBreak/>
        <w:t>Tabela </w:t>
      </w:r>
      <w:r>
        <w:rPr>
          <w:b/>
        </w:rPr>
        <w:t>7</w:t>
      </w:r>
      <w:r w:rsidRPr="007232E4">
        <w:rPr>
          <w:b/>
        </w:rPr>
        <w:t xml:space="preserve"> </w:t>
      </w:r>
      <w:r w:rsidRPr="007232E4">
        <w:rPr>
          <w:b/>
        </w:rPr>
        <w:tab/>
        <w:t>Principais resultados de eficácia na análise de superioridade (população ITT, ensaio NO16966)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2219"/>
        <w:gridCol w:w="2120"/>
        <w:gridCol w:w="1574"/>
      </w:tblGrid>
      <w:tr w:rsidR="00400398" w:rsidRPr="00215594" w14:paraId="65F6B941" w14:textId="77777777">
        <w:tc>
          <w:tcPr>
            <w:tcW w:w="3228" w:type="dxa"/>
          </w:tcPr>
          <w:p w14:paraId="122A1806" w14:textId="77777777" w:rsidR="00400398" w:rsidRPr="001E05C2" w:rsidRDefault="00400398">
            <w:pPr>
              <w:keepNext/>
              <w:rPr>
                <w:b/>
                <w:bCs/>
                <w:szCs w:val="22"/>
                <w:lang w:eastAsia="da-DK"/>
              </w:rPr>
            </w:pPr>
            <w:r w:rsidRPr="001E05C2">
              <w:rPr>
                <w:b/>
                <w:bCs/>
                <w:szCs w:val="22"/>
                <w:lang w:eastAsia="da-DK"/>
              </w:rPr>
              <w:t>Objetivo (meses)</w:t>
            </w:r>
          </w:p>
        </w:tc>
        <w:tc>
          <w:tcPr>
            <w:tcW w:w="2280" w:type="dxa"/>
          </w:tcPr>
          <w:p w14:paraId="73E86BCD" w14:textId="77777777" w:rsidR="00400398" w:rsidRPr="001E05C2" w:rsidRDefault="00400398">
            <w:pPr>
              <w:keepNext/>
              <w:jc w:val="center"/>
              <w:rPr>
                <w:b/>
                <w:bCs/>
                <w:szCs w:val="22"/>
                <w:lang w:eastAsia="da-DK"/>
              </w:rPr>
            </w:pPr>
            <w:r w:rsidRPr="001E05C2">
              <w:rPr>
                <w:b/>
                <w:bCs/>
                <w:szCs w:val="22"/>
                <w:lang w:eastAsia="da-DK"/>
              </w:rPr>
              <w:t xml:space="preserve">FOLFOX-4 </w:t>
            </w:r>
            <w:r w:rsidRPr="001E05C2">
              <w:rPr>
                <w:b/>
                <w:bCs/>
                <w:szCs w:val="22"/>
                <w:lang w:eastAsia="da-DK"/>
              </w:rPr>
              <w:br/>
              <w:t>ou XELOX</w:t>
            </w:r>
          </w:p>
          <w:p w14:paraId="367C9E92" w14:textId="77777777" w:rsidR="00400398" w:rsidRPr="001E05C2" w:rsidRDefault="00400398">
            <w:pPr>
              <w:keepNext/>
              <w:jc w:val="center"/>
              <w:rPr>
                <w:b/>
                <w:bCs/>
                <w:szCs w:val="22"/>
                <w:lang w:eastAsia="da-DK"/>
              </w:rPr>
            </w:pPr>
            <w:r w:rsidRPr="001E05C2">
              <w:rPr>
                <w:b/>
                <w:bCs/>
                <w:szCs w:val="22"/>
                <w:lang w:eastAsia="da-DK"/>
              </w:rPr>
              <w:t>+ placebo</w:t>
            </w:r>
          </w:p>
          <w:p w14:paraId="65DC0DB2" w14:textId="77777777" w:rsidR="00400398" w:rsidRPr="001E05C2" w:rsidRDefault="00400398">
            <w:pPr>
              <w:keepNext/>
              <w:jc w:val="center"/>
              <w:rPr>
                <w:b/>
                <w:bCs/>
                <w:szCs w:val="22"/>
                <w:lang w:eastAsia="da-DK"/>
              </w:rPr>
            </w:pPr>
            <w:r w:rsidRPr="001E05C2">
              <w:rPr>
                <w:b/>
                <w:bCs/>
                <w:szCs w:val="22"/>
                <w:lang w:eastAsia="da-DK"/>
              </w:rPr>
              <w:t>(n = 701)</w:t>
            </w:r>
          </w:p>
        </w:tc>
        <w:tc>
          <w:tcPr>
            <w:tcW w:w="2160" w:type="dxa"/>
          </w:tcPr>
          <w:p w14:paraId="46064A84" w14:textId="77777777" w:rsidR="00400398" w:rsidRPr="001E05C2" w:rsidRDefault="00400398">
            <w:pPr>
              <w:keepNext/>
              <w:jc w:val="center"/>
              <w:rPr>
                <w:b/>
                <w:bCs/>
                <w:szCs w:val="22"/>
                <w:lang w:eastAsia="da-DK"/>
              </w:rPr>
            </w:pPr>
            <w:r w:rsidRPr="001E05C2">
              <w:rPr>
                <w:b/>
                <w:bCs/>
                <w:szCs w:val="22"/>
                <w:lang w:eastAsia="da-DK"/>
              </w:rPr>
              <w:t xml:space="preserve">FOLFOX-4 </w:t>
            </w:r>
            <w:r w:rsidRPr="001E05C2">
              <w:rPr>
                <w:b/>
                <w:bCs/>
                <w:szCs w:val="22"/>
                <w:lang w:eastAsia="da-DK"/>
              </w:rPr>
              <w:br/>
              <w:t>ou XELOX</w:t>
            </w:r>
          </w:p>
          <w:p w14:paraId="7A659685" w14:textId="77777777" w:rsidR="00400398" w:rsidRPr="001E05C2" w:rsidRDefault="00400398">
            <w:pPr>
              <w:keepNext/>
              <w:jc w:val="center"/>
              <w:rPr>
                <w:b/>
                <w:bCs/>
                <w:szCs w:val="22"/>
                <w:lang w:eastAsia="da-DK"/>
              </w:rPr>
            </w:pPr>
            <w:r w:rsidRPr="001E05C2">
              <w:rPr>
                <w:b/>
                <w:bCs/>
                <w:szCs w:val="22"/>
                <w:lang w:eastAsia="da-DK"/>
              </w:rPr>
              <w:t xml:space="preserve">+ bevacizumab </w:t>
            </w:r>
          </w:p>
          <w:p w14:paraId="264C7417" w14:textId="77777777" w:rsidR="00400398" w:rsidRPr="001E05C2" w:rsidRDefault="00400398">
            <w:pPr>
              <w:keepNext/>
              <w:jc w:val="center"/>
              <w:rPr>
                <w:b/>
                <w:bCs/>
                <w:szCs w:val="22"/>
                <w:lang w:eastAsia="da-DK"/>
              </w:rPr>
            </w:pPr>
            <w:r w:rsidRPr="001E05C2">
              <w:rPr>
                <w:b/>
                <w:bCs/>
                <w:szCs w:val="22"/>
                <w:lang w:eastAsia="da-DK"/>
              </w:rPr>
              <w:t>(n = 699)</w:t>
            </w:r>
          </w:p>
        </w:tc>
        <w:tc>
          <w:tcPr>
            <w:tcW w:w="1619" w:type="dxa"/>
          </w:tcPr>
          <w:p w14:paraId="5E0E4EED" w14:textId="77777777" w:rsidR="00400398" w:rsidRPr="001E05C2" w:rsidRDefault="00400398">
            <w:pPr>
              <w:keepNext/>
              <w:jc w:val="center"/>
              <w:rPr>
                <w:b/>
                <w:bCs/>
                <w:szCs w:val="22"/>
                <w:lang w:eastAsia="da-DK"/>
              </w:rPr>
            </w:pPr>
            <w:r w:rsidRPr="001E05C2">
              <w:rPr>
                <w:b/>
                <w:bCs/>
                <w:szCs w:val="22"/>
                <w:lang w:eastAsia="da-DK"/>
              </w:rPr>
              <w:t>Valor de p</w:t>
            </w:r>
          </w:p>
        </w:tc>
      </w:tr>
      <w:tr w:rsidR="00400398" w:rsidRPr="00215594" w14:paraId="4061588D" w14:textId="77777777">
        <w:tc>
          <w:tcPr>
            <w:tcW w:w="3228" w:type="dxa"/>
            <w:tcBorders>
              <w:right w:val="nil"/>
            </w:tcBorders>
          </w:tcPr>
          <w:p w14:paraId="452DE6AD" w14:textId="77777777" w:rsidR="00400398" w:rsidRPr="00215594" w:rsidRDefault="00400398">
            <w:pPr>
              <w:keepNext/>
              <w:spacing w:line="480" w:lineRule="auto"/>
              <w:rPr>
                <w:szCs w:val="22"/>
                <w:lang w:eastAsia="da-DK"/>
              </w:rPr>
            </w:pPr>
            <w:r w:rsidRPr="00215594">
              <w:rPr>
                <w:szCs w:val="22"/>
                <w:lang w:eastAsia="da-DK"/>
              </w:rPr>
              <w:t>Objetivo primário</w:t>
            </w:r>
          </w:p>
        </w:tc>
        <w:tc>
          <w:tcPr>
            <w:tcW w:w="2280" w:type="dxa"/>
            <w:tcBorders>
              <w:left w:val="nil"/>
              <w:right w:val="nil"/>
            </w:tcBorders>
          </w:tcPr>
          <w:p w14:paraId="0CF7628D" w14:textId="77777777" w:rsidR="00400398" w:rsidRPr="00215594" w:rsidRDefault="00400398">
            <w:pPr>
              <w:keepNext/>
              <w:spacing w:line="480" w:lineRule="auto"/>
              <w:rPr>
                <w:szCs w:val="22"/>
                <w:lang w:eastAsia="da-DK"/>
              </w:rPr>
            </w:pPr>
          </w:p>
        </w:tc>
        <w:tc>
          <w:tcPr>
            <w:tcW w:w="2160" w:type="dxa"/>
            <w:tcBorders>
              <w:left w:val="nil"/>
              <w:right w:val="nil"/>
            </w:tcBorders>
          </w:tcPr>
          <w:p w14:paraId="098C7DB0" w14:textId="77777777" w:rsidR="00400398" w:rsidRPr="00215594" w:rsidRDefault="00400398">
            <w:pPr>
              <w:keepNext/>
              <w:spacing w:line="480" w:lineRule="auto"/>
              <w:rPr>
                <w:szCs w:val="22"/>
                <w:lang w:eastAsia="da-DK"/>
              </w:rPr>
            </w:pPr>
          </w:p>
        </w:tc>
        <w:tc>
          <w:tcPr>
            <w:tcW w:w="1619" w:type="dxa"/>
            <w:tcBorders>
              <w:left w:val="nil"/>
            </w:tcBorders>
          </w:tcPr>
          <w:p w14:paraId="6DBE80D5" w14:textId="77777777" w:rsidR="00400398" w:rsidRPr="00215594" w:rsidRDefault="00400398">
            <w:pPr>
              <w:keepNext/>
              <w:spacing w:line="480" w:lineRule="auto"/>
              <w:rPr>
                <w:szCs w:val="22"/>
                <w:lang w:eastAsia="da-DK"/>
              </w:rPr>
            </w:pPr>
          </w:p>
        </w:tc>
      </w:tr>
      <w:tr w:rsidR="00400398" w:rsidRPr="00215594" w14:paraId="27FE6F15" w14:textId="77777777">
        <w:tc>
          <w:tcPr>
            <w:tcW w:w="3228" w:type="dxa"/>
          </w:tcPr>
          <w:p w14:paraId="718EE5B9" w14:textId="77777777" w:rsidR="00400398" w:rsidRPr="00215594" w:rsidRDefault="00400398">
            <w:pPr>
              <w:keepNext/>
              <w:spacing w:line="480" w:lineRule="auto"/>
              <w:ind w:left="360"/>
              <w:rPr>
                <w:szCs w:val="22"/>
                <w:lang w:eastAsia="da-DK"/>
              </w:rPr>
            </w:pPr>
            <w:r w:rsidRPr="00215594">
              <w:rPr>
                <w:szCs w:val="22"/>
                <w:lang w:eastAsia="da-DK"/>
              </w:rPr>
              <w:t>PFS mediana**</w:t>
            </w:r>
          </w:p>
        </w:tc>
        <w:tc>
          <w:tcPr>
            <w:tcW w:w="2280" w:type="dxa"/>
          </w:tcPr>
          <w:p w14:paraId="120FD582" w14:textId="77777777" w:rsidR="00400398" w:rsidRPr="00215594" w:rsidRDefault="00400398">
            <w:pPr>
              <w:keepNext/>
              <w:spacing w:line="480" w:lineRule="auto"/>
              <w:jc w:val="center"/>
              <w:rPr>
                <w:szCs w:val="22"/>
                <w:lang w:eastAsia="da-DK"/>
              </w:rPr>
            </w:pPr>
            <w:r w:rsidRPr="00215594">
              <w:rPr>
                <w:szCs w:val="22"/>
                <w:lang w:eastAsia="da-DK"/>
              </w:rPr>
              <w:t>8,0</w:t>
            </w:r>
          </w:p>
        </w:tc>
        <w:tc>
          <w:tcPr>
            <w:tcW w:w="2160" w:type="dxa"/>
          </w:tcPr>
          <w:p w14:paraId="047E93E7" w14:textId="77777777" w:rsidR="00400398" w:rsidRPr="00215594" w:rsidRDefault="00400398">
            <w:pPr>
              <w:keepNext/>
              <w:spacing w:line="480" w:lineRule="auto"/>
              <w:jc w:val="center"/>
              <w:rPr>
                <w:szCs w:val="22"/>
                <w:lang w:eastAsia="da-DK"/>
              </w:rPr>
            </w:pPr>
            <w:r w:rsidRPr="00215594">
              <w:rPr>
                <w:szCs w:val="22"/>
                <w:lang w:eastAsia="da-DK"/>
              </w:rPr>
              <w:t>9,4</w:t>
            </w:r>
          </w:p>
        </w:tc>
        <w:tc>
          <w:tcPr>
            <w:tcW w:w="1619" w:type="dxa"/>
          </w:tcPr>
          <w:p w14:paraId="06FCB6D3" w14:textId="77777777" w:rsidR="00400398" w:rsidRPr="00215594" w:rsidRDefault="00400398">
            <w:pPr>
              <w:keepNext/>
              <w:spacing w:line="480" w:lineRule="auto"/>
              <w:jc w:val="center"/>
              <w:rPr>
                <w:szCs w:val="22"/>
                <w:lang w:eastAsia="da-DK"/>
              </w:rPr>
            </w:pPr>
            <w:r w:rsidRPr="00215594">
              <w:rPr>
                <w:szCs w:val="22"/>
                <w:lang w:eastAsia="da-DK"/>
              </w:rPr>
              <w:t>0,0023</w:t>
            </w:r>
          </w:p>
        </w:tc>
      </w:tr>
      <w:tr w:rsidR="00400398" w:rsidRPr="00215594" w14:paraId="75FF5978" w14:textId="77777777" w:rsidTr="00F84709">
        <w:trPr>
          <w:trHeight w:val="722"/>
        </w:trPr>
        <w:tc>
          <w:tcPr>
            <w:tcW w:w="3228" w:type="dxa"/>
          </w:tcPr>
          <w:p w14:paraId="66F83578" w14:textId="77777777" w:rsidR="00400398" w:rsidRPr="00215594" w:rsidRDefault="00400398" w:rsidP="00F84709">
            <w:pPr>
              <w:keepNext/>
              <w:ind w:left="720"/>
              <w:rPr>
                <w:szCs w:val="22"/>
                <w:lang w:eastAsia="da-DK"/>
              </w:rPr>
            </w:pPr>
            <w:r w:rsidRPr="00215594">
              <w:rPr>
                <w:i/>
                <w:szCs w:val="22"/>
                <w:lang w:eastAsia="da-DK"/>
              </w:rPr>
              <w:t xml:space="preserve">Hazard </w:t>
            </w:r>
            <w:r w:rsidR="00387CBF">
              <w:rPr>
                <w:i/>
                <w:szCs w:val="22"/>
                <w:lang w:eastAsia="da-DK"/>
              </w:rPr>
              <w:t>r</w:t>
            </w:r>
            <w:r w:rsidRPr="00215594">
              <w:rPr>
                <w:i/>
                <w:szCs w:val="22"/>
                <w:lang w:eastAsia="da-DK"/>
              </w:rPr>
              <w:t xml:space="preserve">atio </w:t>
            </w:r>
            <w:r w:rsidRPr="00215594">
              <w:rPr>
                <w:szCs w:val="22"/>
              </w:rPr>
              <w:t>(taxa de risco)</w:t>
            </w:r>
            <w:r w:rsidRPr="00215594">
              <w:rPr>
                <w:szCs w:val="22"/>
                <w:vertAlign w:val="superscript"/>
              </w:rPr>
              <w:t xml:space="preserve"> </w:t>
            </w:r>
            <w:r w:rsidRPr="00215594">
              <w:rPr>
                <w:szCs w:val="22"/>
                <w:lang w:eastAsia="da-DK"/>
              </w:rPr>
              <w:t>(IC 97,5%)</w:t>
            </w:r>
            <w:r w:rsidRPr="00215594">
              <w:rPr>
                <w:szCs w:val="22"/>
                <w:vertAlign w:val="superscript"/>
              </w:rPr>
              <w:t xml:space="preserve"> a</w:t>
            </w:r>
          </w:p>
        </w:tc>
        <w:tc>
          <w:tcPr>
            <w:tcW w:w="4440" w:type="dxa"/>
            <w:gridSpan w:val="2"/>
          </w:tcPr>
          <w:p w14:paraId="5B282950" w14:textId="77777777" w:rsidR="00400398" w:rsidRPr="00215594" w:rsidRDefault="00400398">
            <w:pPr>
              <w:keepNext/>
              <w:spacing w:line="480" w:lineRule="auto"/>
              <w:jc w:val="center"/>
              <w:rPr>
                <w:szCs w:val="22"/>
                <w:lang w:eastAsia="da-DK"/>
              </w:rPr>
            </w:pPr>
            <w:r w:rsidRPr="00215594">
              <w:rPr>
                <w:szCs w:val="22"/>
                <w:lang w:eastAsia="da-DK"/>
              </w:rPr>
              <w:t>0,83 (0,72 - 0,95)</w:t>
            </w:r>
          </w:p>
        </w:tc>
        <w:tc>
          <w:tcPr>
            <w:tcW w:w="1619" w:type="dxa"/>
          </w:tcPr>
          <w:p w14:paraId="2EC5D168" w14:textId="77777777" w:rsidR="00400398" w:rsidRPr="00215594" w:rsidRDefault="00400398">
            <w:pPr>
              <w:keepNext/>
              <w:spacing w:line="480" w:lineRule="auto"/>
              <w:rPr>
                <w:szCs w:val="22"/>
                <w:lang w:eastAsia="da-DK"/>
              </w:rPr>
            </w:pPr>
          </w:p>
        </w:tc>
      </w:tr>
      <w:tr w:rsidR="00400398" w:rsidRPr="00215594" w14:paraId="15147E23" w14:textId="77777777">
        <w:tc>
          <w:tcPr>
            <w:tcW w:w="3228" w:type="dxa"/>
            <w:tcBorders>
              <w:right w:val="nil"/>
            </w:tcBorders>
          </w:tcPr>
          <w:p w14:paraId="601856DD" w14:textId="77777777" w:rsidR="00400398" w:rsidRPr="00215594" w:rsidRDefault="00400398">
            <w:pPr>
              <w:spacing w:line="480" w:lineRule="auto"/>
              <w:rPr>
                <w:szCs w:val="22"/>
                <w:lang w:eastAsia="da-DK"/>
              </w:rPr>
            </w:pPr>
            <w:r w:rsidRPr="00215594">
              <w:rPr>
                <w:szCs w:val="22"/>
                <w:lang w:eastAsia="da-DK"/>
              </w:rPr>
              <w:t>Objetivos secundários</w:t>
            </w:r>
          </w:p>
        </w:tc>
        <w:tc>
          <w:tcPr>
            <w:tcW w:w="2280" w:type="dxa"/>
            <w:tcBorders>
              <w:left w:val="nil"/>
              <w:right w:val="nil"/>
            </w:tcBorders>
          </w:tcPr>
          <w:p w14:paraId="20C9494F" w14:textId="77777777" w:rsidR="00400398" w:rsidRPr="00215594" w:rsidRDefault="00400398">
            <w:pPr>
              <w:spacing w:line="480" w:lineRule="auto"/>
              <w:rPr>
                <w:szCs w:val="22"/>
                <w:lang w:eastAsia="da-DK"/>
              </w:rPr>
            </w:pPr>
          </w:p>
        </w:tc>
        <w:tc>
          <w:tcPr>
            <w:tcW w:w="2160" w:type="dxa"/>
            <w:tcBorders>
              <w:left w:val="nil"/>
              <w:right w:val="nil"/>
            </w:tcBorders>
          </w:tcPr>
          <w:p w14:paraId="650E1A30" w14:textId="77777777" w:rsidR="00400398" w:rsidRPr="00215594" w:rsidRDefault="00400398">
            <w:pPr>
              <w:spacing w:line="480" w:lineRule="auto"/>
              <w:rPr>
                <w:szCs w:val="22"/>
                <w:lang w:eastAsia="da-DK"/>
              </w:rPr>
            </w:pPr>
          </w:p>
        </w:tc>
        <w:tc>
          <w:tcPr>
            <w:tcW w:w="1619" w:type="dxa"/>
            <w:tcBorders>
              <w:left w:val="nil"/>
            </w:tcBorders>
          </w:tcPr>
          <w:p w14:paraId="690F9002" w14:textId="77777777" w:rsidR="00400398" w:rsidRPr="00215594" w:rsidRDefault="00400398">
            <w:pPr>
              <w:spacing w:line="480" w:lineRule="auto"/>
              <w:rPr>
                <w:szCs w:val="22"/>
                <w:lang w:eastAsia="da-DK"/>
              </w:rPr>
            </w:pPr>
          </w:p>
        </w:tc>
      </w:tr>
      <w:tr w:rsidR="00400398" w:rsidRPr="00215594" w14:paraId="60469ACB" w14:textId="77777777" w:rsidTr="00F84709">
        <w:trPr>
          <w:trHeight w:val="741"/>
        </w:trPr>
        <w:tc>
          <w:tcPr>
            <w:tcW w:w="3228" w:type="dxa"/>
          </w:tcPr>
          <w:p w14:paraId="4E37BD49" w14:textId="77777777" w:rsidR="00400398" w:rsidRPr="00215594" w:rsidRDefault="00400398" w:rsidP="00F84709">
            <w:pPr>
              <w:ind w:left="360"/>
              <w:rPr>
                <w:szCs w:val="22"/>
                <w:lang w:eastAsia="da-DK"/>
              </w:rPr>
            </w:pPr>
            <w:r w:rsidRPr="00215594">
              <w:rPr>
                <w:szCs w:val="22"/>
                <w:lang w:eastAsia="da-DK"/>
              </w:rPr>
              <w:t>PFS mediana (em tratamento)**</w:t>
            </w:r>
          </w:p>
        </w:tc>
        <w:tc>
          <w:tcPr>
            <w:tcW w:w="2280" w:type="dxa"/>
          </w:tcPr>
          <w:p w14:paraId="4B6578AE" w14:textId="77777777" w:rsidR="00400398" w:rsidRPr="00215594" w:rsidRDefault="00400398">
            <w:pPr>
              <w:spacing w:line="480" w:lineRule="auto"/>
              <w:jc w:val="center"/>
              <w:rPr>
                <w:szCs w:val="22"/>
                <w:lang w:eastAsia="da-DK"/>
              </w:rPr>
            </w:pPr>
            <w:r w:rsidRPr="00215594">
              <w:rPr>
                <w:szCs w:val="22"/>
                <w:lang w:eastAsia="da-DK"/>
              </w:rPr>
              <w:t>7,9</w:t>
            </w:r>
          </w:p>
        </w:tc>
        <w:tc>
          <w:tcPr>
            <w:tcW w:w="2160" w:type="dxa"/>
          </w:tcPr>
          <w:p w14:paraId="0ED378EA" w14:textId="77777777" w:rsidR="00400398" w:rsidRPr="00215594" w:rsidRDefault="00400398">
            <w:pPr>
              <w:spacing w:line="480" w:lineRule="auto"/>
              <w:jc w:val="center"/>
              <w:rPr>
                <w:szCs w:val="22"/>
                <w:lang w:eastAsia="da-DK"/>
              </w:rPr>
            </w:pPr>
            <w:r w:rsidRPr="00215594">
              <w:rPr>
                <w:szCs w:val="22"/>
                <w:lang w:eastAsia="da-DK"/>
              </w:rPr>
              <w:t>10,4</w:t>
            </w:r>
          </w:p>
        </w:tc>
        <w:tc>
          <w:tcPr>
            <w:tcW w:w="1619" w:type="dxa"/>
          </w:tcPr>
          <w:p w14:paraId="61D26A58" w14:textId="77777777" w:rsidR="00400398" w:rsidRPr="00215594" w:rsidRDefault="00400398">
            <w:pPr>
              <w:spacing w:line="480" w:lineRule="auto"/>
              <w:jc w:val="center"/>
              <w:rPr>
                <w:szCs w:val="22"/>
                <w:lang w:eastAsia="da-DK"/>
              </w:rPr>
            </w:pPr>
            <w:r w:rsidRPr="00215594">
              <w:rPr>
                <w:szCs w:val="22"/>
                <w:lang w:eastAsia="da-DK"/>
              </w:rPr>
              <w:t>&lt; 0,0001</w:t>
            </w:r>
          </w:p>
        </w:tc>
      </w:tr>
      <w:tr w:rsidR="00400398" w:rsidRPr="00215594" w14:paraId="1334FD7F" w14:textId="77777777" w:rsidTr="00F84709">
        <w:trPr>
          <w:trHeight w:val="709"/>
        </w:trPr>
        <w:tc>
          <w:tcPr>
            <w:tcW w:w="3228" w:type="dxa"/>
          </w:tcPr>
          <w:p w14:paraId="0FAD3C02" w14:textId="77777777" w:rsidR="00400398" w:rsidRPr="00215594" w:rsidRDefault="00400398" w:rsidP="00F84709">
            <w:pPr>
              <w:ind w:left="720"/>
              <w:rPr>
                <w:szCs w:val="22"/>
                <w:lang w:eastAsia="da-DK"/>
              </w:rPr>
            </w:pPr>
            <w:r w:rsidRPr="00215594">
              <w:rPr>
                <w:i/>
                <w:szCs w:val="22"/>
                <w:lang w:eastAsia="da-DK"/>
              </w:rPr>
              <w:t xml:space="preserve">Hazard </w:t>
            </w:r>
            <w:r w:rsidR="00387CBF">
              <w:rPr>
                <w:i/>
                <w:szCs w:val="22"/>
                <w:lang w:eastAsia="da-DK"/>
              </w:rPr>
              <w:t>r</w:t>
            </w:r>
            <w:r w:rsidRPr="00215594">
              <w:rPr>
                <w:i/>
                <w:szCs w:val="22"/>
                <w:lang w:eastAsia="da-DK"/>
              </w:rPr>
              <w:t xml:space="preserve">atio </w:t>
            </w:r>
            <w:r w:rsidRPr="00215594">
              <w:rPr>
                <w:szCs w:val="22"/>
              </w:rPr>
              <w:t>(taxa de risco)</w:t>
            </w:r>
            <w:r w:rsidRPr="00215594">
              <w:rPr>
                <w:szCs w:val="22"/>
                <w:vertAlign w:val="superscript"/>
              </w:rPr>
              <w:t xml:space="preserve"> </w:t>
            </w:r>
            <w:r w:rsidRPr="00215594">
              <w:rPr>
                <w:szCs w:val="22"/>
                <w:lang w:eastAsia="da-DK"/>
              </w:rPr>
              <w:t>(IC 97,5%)</w:t>
            </w:r>
          </w:p>
        </w:tc>
        <w:tc>
          <w:tcPr>
            <w:tcW w:w="4440" w:type="dxa"/>
            <w:gridSpan w:val="2"/>
          </w:tcPr>
          <w:p w14:paraId="03E3DF8A" w14:textId="77777777" w:rsidR="00400398" w:rsidRPr="00215594" w:rsidRDefault="00400398">
            <w:pPr>
              <w:spacing w:line="480" w:lineRule="auto"/>
              <w:jc w:val="center"/>
              <w:rPr>
                <w:szCs w:val="22"/>
                <w:lang w:eastAsia="da-DK"/>
              </w:rPr>
            </w:pPr>
            <w:r w:rsidRPr="00215594">
              <w:rPr>
                <w:szCs w:val="22"/>
                <w:lang w:eastAsia="da-DK"/>
              </w:rPr>
              <w:t>0,63 (0,52 - 0,75)</w:t>
            </w:r>
          </w:p>
        </w:tc>
        <w:tc>
          <w:tcPr>
            <w:tcW w:w="1619" w:type="dxa"/>
          </w:tcPr>
          <w:p w14:paraId="58035732" w14:textId="77777777" w:rsidR="00400398" w:rsidRPr="00215594" w:rsidRDefault="00400398">
            <w:pPr>
              <w:spacing w:line="480" w:lineRule="auto"/>
              <w:rPr>
                <w:szCs w:val="22"/>
                <w:lang w:eastAsia="da-DK"/>
              </w:rPr>
            </w:pPr>
          </w:p>
        </w:tc>
      </w:tr>
      <w:tr w:rsidR="00400398" w:rsidRPr="00215594" w14:paraId="6F99F92B" w14:textId="77777777">
        <w:tc>
          <w:tcPr>
            <w:tcW w:w="3228" w:type="dxa"/>
          </w:tcPr>
          <w:p w14:paraId="72EDACED" w14:textId="77777777" w:rsidR="00400398" w:rsidRPr="00215594" w:rsidRDefault="00400398">
            <w:pPr>
              <w:ind w:left="357"/>
              <w:rPr>
                <w:szCs w:val="22"/>
                <w:lang w:eastAsia="da-DK"/>
              </w:rPr>
            </w:pPr>
            <w:r w:rsidRPr="00215594">
              <w:rPr>
                <w:szCs w:val="22"/>
                <w:lang w:eastAsia="da-DK"/>
              </w:rPr>
              <w:t xml:space="preserve">Taxa de resposta global </w:t>
            </w:r>
            <w:r w:rsidRPr="00215594">
              <w:rPr>
                <w:szCs w:val="22"/>
                <w:lang w:eastAsia="da-DK"/>
              </w:rPr>
              <w:br/>
              <w:t>(avaliação do invest.)**</w:t>
            </w:r>
          </w:p>
          <w:p w14:paraId="230FFE5B" w14:textId="77777777" w:rsidR="00400398" w:rsidRPr="00215594" w:rsidRDefault="00400398">
            <w:pPr>
              <w:ind w:left="357"/>
              <w:rPr>
                <w:szCs w:val="22"/>
                <w:lang w:eastAsia="da-DK"/>
              </w:rPr>
            </w:pPr>
          </w:p>
        </w:tc>
        <w:tc>
          <w:tcPr>
            <w:tcW w:w="2280" w:type="dxa"/>
          </w:tcPr>
          <w:p w14:paraId="379D9F15" w14:textId="77777777" w:rsidR="00400398" w:rsidRPr="00215594" w:rsidRDefault="00400398">
            <w:pPr>
              <w:spacing w:line="480" w:lineRule="auto"/>
              <w:jc w:val="center"/>
              <w:rPr>
                <w:szCs w:val="22"/>
                <w:lang w:eastAsia="da-DK"/>
              </w:rPr>
            </w:pPr>
            <w:r w:rsidRPr="00215594">
              <w:rPr>
                <w:szCs w:val="22"/>
                <w:lang w:eastAsia="da-DK"/>
              </w:rPr>
              <w:t>49,2 %</w:t>
            </w:r>
          </w:p>
        </w:tc>
        <w:tc>
          <w:tcPr>
            <w:tcW w:w="2160" w:type="dxa"/>
          </w:tcPr>
          <w:p w14:paraId="34ECC10C" w14:textId="77777777" w:rsidR="00400398" w:rsidRPr="00215594" w:rsidRDefault="00400398">
            <w:pPr>
              <w:spacing w:line="480" w:lineRule="auto"/>
              <w:jc w:val="center"/>
              <w:rPr>
                <w:szCs w:val="22"/>
                <w:lang w:eastAsia="da-DK"/>
              </w:rPr>
            </w:pPr>
            <w:r w:rsidRPr="00215594">
              <w:rPr>
                <w:szCs w:val="22"/>
                <w:lang w:eastAsia="da-DK"/>
              </w:rPr>
              <w:t>46,5 %</w:t>
            </w:r>
          </w:p>
        </w:tc>
        <w:tc>
          <w:tcPr>
            <w:tcW w:w="1619" w:type="dxa"/>
          </w:tcPr>
          <w:p w14:paraId="79B6A9B8" w14:textId="77777777" w:rsidR="00400398" w:rsidRPr="00215594" w:rsidRDefault="00400398">
            <w:pPr>
              <w:spacing w:line="480" w:lineRule="auto"/>
              <w:jc w:val="center"/>
              <w:rPr>
                <w:szCs w:val="22"/>
                <w:lang w:eastAsia="da-DK"/>
              </w:rPr>
            </w:pPr>
          </w:p>
        </w:tc>
      </w:tr>
      <w:tr w:rsidR="00400398" w:rsidRPr="00215594" w14:paraId="357B1EDE" w14:textId="77777777" w:rsidTr="00F84709">
        <w:trPr>
          <w:trHeight w:val="773"/>
        </w:trPr>
        <w:tc>
          <w:tcPr>
            <w:tcW w:w="3228" w:type="dxa"/>
          </w:tcPr>
          <w:p w14:paraId="00F8D43F" w14:textId="77777777" w:rsidR="00400398" w:rsidRPr="00215594" w:rsidRDefault="00400398" w:rsidP="00F84709">
            <w:pPr>
              <w:ind w:left="360"/>
              <w:rPr>
                <w:szCs w:val="22"/>
                <w:lang w:eastAsia="da-DK"/>
              </w:rPr>
            </w:pPr>
            <w:r w:rsidRPr="00215594">
              <w:rPr>
                <w:szCs w:val="22"/>
                <w:lang w:eastAsia="da-DK"/>
              </w:rPr>
              <w:t>Sobrevivência global mediana*</w:t>
            </w:r>
          </w:p>
        </w:tc>
        <w:tc>
          <w:tcPr>
            <w:tcW w:w="2280" w:type="dxa"/>
          </w:tcPr>
          <w:p w14:paraId="64F31E78" w14:textId="77777777" w:rsidR="00400398" w:rsidRPr="00215594" w:rsidRDefault="00400398">
            <w:pPr>
              <w:spacing w:line="480" w:lineRule="auto"/>
              <w:jc w:val="center"/>
              <w:rPr>
                <w:szCs w:val="22"/>
                <w:lang w:eastAsia="da-DK"/>
              </w:rPr>
            </w:pPr>
            <w:r w:rsidRPr="00215594">
              <w:rPr>
                <w:szCs w:val="22"/>
                <w:lang w:eastAsia="da-DK"/>
              </w:rPr>
              <w:t>19,9</w:t>
            </w:r>
          </w:p>
        </w:tc>
        <w:tc>
          <w:tcPr>
            <w:tcW w:w="2160" w:type="dxa"/>
          </w:tcPr>
          <w:p w14:paraId="5DE4DA87" w14:textId="77777777" w:rsidR="00400398" w:rsidRPr="00215594" w:rsidRDefault="00400398">
            <w:pPr>
              <w:spacing w:line="480" w:lineRule="auto"/>
              <w:jc w:val="center"/>
              <w:rPr>
                <w:szCs w:val="22"/>
                <w:lang w:eastAsia="da-DK"/>
              </w:rPr>
            </w:pPr>
            <w:r w:rsidRPr="00215594">
              <w:rPr>
                <w:szCs w:val="22"/>
                <w:lang w:eastAsia="da-DK"/>
              </w:rPr>
              <w:t>21,2</w:t>
            </w:r>
          </w:p>
        </w:tc>
        <w:tc>
          <w:tcPr>
            <w:tcW w:w="1619" w:type="dxa"/>
          </w:tcPr>
          <w:p w14:paraId="2FA058CB" w14:textId="77777777" w:rsidR="00400398" w:rsidRPr="00215594" w:rsidRDefault="00400398">
            <w:pPr>
              <w:spacing w:line="480" w:lineRule="auto"/>
              <w:jc w:val="center"/>
              <w:rPr>
                <w:szCs w:val="22"/>
                <w:lang w:eastAsia="da-DK"/>
              </w:rPr>
            </w:pPr>
            <w:r w:rsidRPr="00215594">
              <w:rPr>
                <w:szCs w:val="22"/>
                <w:lang w:eastAsia="da-DK"/>
              </w:rPr>
              <w:t>0,0769</w:t>
            </w:r>
          </w:p>
        </w:tc>
      </w:tr>
      <w:tr w:rsidR="00400398" w:rsidRPr="00215594" w14:paraId="4FE002DF" w14:textId="77777777" w:rsidTr="00F84709">
        <w:trPr>
          <w:trHeight w:val="713"/>
        </w:trPr>
        <w:tc>
          <w:tcPr>
            <w:tcW w:w="3228" w:type="dxa"/>
          </w:tcPr>
          <w:p w14:paraId="4F5BEA30" w14:textId="77777777" w:rsidR="00400398" w:rsidRPr="00215594" w:rsidRDefault="00400398" w:rsidP="00F84709">
            <w:pPr>
              <w:ind w:left="720"/>
              <w:rPr>
                <w:szCs w:val="22"/>
                <w:lang w:eastAsia="da-DK"/>
              </w:rPr>
            </w:pPr>
            <w:r w:rsidRPr="00215594">
              <w:rPr>
                <w:i/>
                <w:szCs w:val="22"/>
                <w:lang w:eastAsia="da-DK"/>
              </w:rPr>
              <w:t xml:space="preserve">Hazard </w:t>
            </w:r>
            <w:r w:rsidR="00387CBF">
              <w:rPr>
                <w:i/>
                <w:szCs w:val="22"/>
                <w:lang w:eastAsia="da-DK"/>
              </w:rPr>
              <w:t>r</w:t>
            </w:r>
            <w:r w:rsidRPr="00215594">
              <w:rPr>
                <w:i/>
                <w:szCs w:val="22"/>
                <w:lang w:eastAsia="da-DK"/>
              </w:rPr>
              <w:t xml:space="preserve">atio </w:t>
            </w:r>
            <w:r w:rsidRPr="00215594">
              <w:rPr>
                <w:szCs w:val="22"/>
              </w:rPr>
              <w:t>(taxa de risco)</w:t>
            </w:r>
            <w:r w:rsidRPr="00215594">
              <w:rPr>
                <w:szCs w:val="22"/>
                <w:vertAlign w:val="superscript"/>
              </w:rPr>
              <w:t xml:space="preserve"> </w:t>
            </w:r>
            <w:r w:rsidRPr="00215594">
              <w:rPr>
                <w:szCs w:val="22"/>
                <w:lang w:eastAsia="da-DK"/>
              </w:rPr>
              <w:t>(IC 97,5%)</w:t>
            </w:r>
          </w:p>
        </w:tc>
        <w:tc>
          <w:tcPr>
            <w:tcW w:w="4440" w:type="dxa"/>
            <w:gridSpan w:val="2"/>
          </w:tcPr>
          <w:p w14:paraId="14340E7A" w14:textId="77777777" w:rsidR="00400398" w:rsidRPr="00215594" w:rsidRDefault="00400398">
            <w:pPr>
              <w:spacing w:line="480" w:lineRule="auto"/>
              <w:jc w:val="center"/>
              <w:rPr>
                <w:szCs w:val="22"/>
                <w:lang w:eastAsia="da-DK"/>
              </w:rPr>
            </w:pPr>
            <w:r w:rsidRPr="00215594">
              <w:rPr>
                <w:szCs w:val="22"/>
                <w:lang w:eastAsia="da-DK"/>
              </w:rPr>
              <w:t>0,89 (0,76 - 1,03)</w:t>
            </w:r>
          </w:p>
        </w:tc>
        <w:tc>
          <w:tcPr>
            <w:tcW w:w="1619" w:type="dxa"/>
          </w:tcPr>
          <w:p w14:paraId="2C1C2C66" w14:textId="77777777" w:rsidR="00400398" w:rsidRPr="00215594" w:rsidRDefault="00400398">
            <w:pPr>
              <w:spacing w:line="480" w:lineRule="auto"/>
              <w:rPr>
                <w:szCs w:val="22"/>
                <w:lang w:eastAsia="da-DK"/>
              </w:rPr>
            </w:pPr>
          </w:p>
        </w:tc>
      </w:tr>
    </w:tbl>
    <w:p w14:paraId="5FDAF93B" w14:textId="77777777" w:rsidR="00400398" w:rsidRPr="007232E4" w:rsidRDefault="00400398">
      <w:pPr>
        <w:rPr>
          <w:sz w:val="20"/>
        </w:rPr>
      </w:pPr>
      <w:r w:rsidRPr="007232E4">
        <w:rPr>
          <w:sz w:val="20"/>
        </w:rPr>
        <w:t xml:space="preserve">* Análise de </w:t>
      </w:r>
      <w:r w:rsidR="00387CBF">
        <w:rPr>
          <w:sz w:val="20"/>
        </w:rPr>
        <w:t>OS</w:t>
      </w:r>
      <w:r w:rsidRPr="007232E4">
        <w:rPr>
          <w:sz w:val="20"/>
          <w:lang w:eastAsia="da-DK"/>
        </w:rPr>
        <w:t xml:space="preserve"> </w:t>
      </w:r>
      <w:r w:rsidRPr="007232E4">
        <w:rPr>
          <w:sz w:val="20"/>
        </w:rPr>
        <w:t xml:space="preserve">ao </w:t>
      </w:r>
      <w:r w:rsidRPr="007232E4">
        <w:rPr>
          <w:i/>
          <w:sz w:val="20"/>
        </w:rPr>
        <w:t>cut-off</w:t>
      </w:r>
      <w:r w:rsidRPr="007232E4">
        <w:rPr>
          <w:sz w:val="20"/>
        </w:rPr>
        <w:t xml:space="preserve"> clínico de 31 janeiro 2007</w:t>
      </w:r>
    </w:p>
    <w:p w14:paraId="6E982C90" w14:textId="77777777" w:rsidR="00400398" w:rsidRPr="007232E4" w:rsidRDefault="00400398">
      <w:pPr>
        <w:rPr>
          <w:sz w:val="20"/>
        </w:rPr>
      </w:pPr>
      <w:r w:rsidRPr="007232E4">
        <w:rPr>
          <w:sz w:val="20"/>
        </w:rPr>
        <w:t xml:space="preserve">** Análise primária ao </w:t>
      </w:r>
      <w:r w:rsidRPr="007232E4">
        <w:rPr>
          <w:i/>
          <w:sz w:val="20"/>
        </w:rPr>
        <w:t>cut-off</w:t>
      </w:r>
      <w:r w:rsidRPr="007232E4">
        <w:rPr>
          <w:sz w:val="20"/>
        </w:rPr>
        <w:t xml:space="preserve"> clínico de 31 janeiro 2006</w:t>
      </w:r>
    </w:p>
    <w:p w14:paraId="5EF2923D" w14:textId="77777777" w:rsidR="00400398" w:rsidRPr="007232E4" w:rsidRDefault="00400398">
      <w:r w:rsidRPr="007232E4">
        <w:rPr>
          <w:sz w:val="20"/>
          <w:vertAlign w:val="superscript"/>
        </w:rPr>
        <w:t>a</w:t>
      </w:r>
      <w:r w:rsidRPr="007232E4">
        <w:rPr>
          <w:sz w:val="20"/>
        </w:rPr>
        <w:t xml:space="preserve"> Relativamente ao braço de controlo</w:t>
      </w:r>
    </w:p>
    <w:p w14:paraId="1AE106CE" w14:textId="77777777" w:rsidR="00400398" w:rsidRPr="007232E4" w:rsidRDefault="00400398">
      <w:pPr>
        <w:rPr>
          <w:szCs w:val="22"/>
        </w:rPr>
      </w:pPr>
    </w:p>
    <w:p w14:paraId="45CEBBBE" w14:textId="77777777" w:rsidR="00400398" w:rsidRPr="007232E4" w:rsidRDefault="00400398">
      <w:pPr>
        <w:rPr>
          <w:rFonts w:eastAsia="SimSun"/>
          <w:lang w:eastAsia="zh-CN" w:bidi="th-TH"/>
        </w:rPr>
      </w:pPr>
      <w:r w:rsidRPr="007232E4">
        <w:rPr>
          <w:rFonts w:eastAsia="SimSun"/>
          <w:lang w:eastAsia="zh-CN" w:bidi="th-TH"/>
        </w:rPr>
        <w:t xml:space="preserve">No subgrupo de tratamento com FOLFOX, a PFS mediana foi de 8,6 meses nos doentes a receber placebo e de 9,4 meses nos doentes tratados com bevacizumab, </w:t>
      </w:r>
      <w:r w:rsidRPr="007232E4">
        <w:rPr>
          <w:i/>
          <w:lang w:eastAsia="da-DK"/>
        </w:rPr>
        <w:t xml:space="preserve">Hazard </w:t>
      </w:r>
      <w:r w:rsidR="00387CBF">
        <w:rPr>
          <w:i/>
          <w:lang w:eastAsia="da-DK"/>
        </w:rPr>
        <w:t>r</w:t>
      </w:r>
      <w:r w:rsidRPr="007232E4">
        <w:rPr>
          <w:i/>
          <w:lang w:eastAsia="da-DK"/>
        </w:rPr>
        <w:t>atio</w:t>
      </w:r>
      <w:r w:rsidRPr="007232E4">
        <w:rPr>
          <w:rFonts w:eastAsia="SimSun"/>
          <w:lang w:eastAsia="zh-CN" w:bidi="th-TH"/>
        </w:rPr>
        <w:t xml:space="preserve"> (HR) = 0,89, IC 97,5% = [0,73 ; 1,08]; valor de p = 0,1871; os resultados correspondentes no subgrupo de tratamento com XELOX foram de 7,4 vs. 9,3 meses, HR = 0,77, IC 97,5% = </w:t>
      </w:r>
      <w:r w:rsidRPr="007232E4">
        <w:rPr>
          <w:rFonts w:ascii="Arial" w:eastAsia="SimSun" w:hAnsi="Arial" w:cs="Arial"/>
          <w:lang w:eastAsia="zh-CN" w:bidi="th-TH"/>
        </w:rPr>
        <w:t>[</w:t>
      </w:r>
      <w:r w:rsidRPr="007232E4">
        <w:rPr>
          <w:rFonts w:eastAsia="SimSun"/>
          <w:lang w:eastAsia="zh-CN" w:bidi="th-TH"/>
        </w:rPr>
        <w:t xml:space="preserve">0,63 </w:t>
      </w:r>
      <w:r w:rsidRPr="007232E4">
        <w:rPr>
          <w:rFonts w:ascii="Arial" w:eastAsia="SimSun" w:hAnsi="Arial" w:cs="Arial"/>
          <w:lang w:eastAsia="zh-CN" w:bidi="th-TH"/>
        </w:rPr>
        <w:t>;</w:t>
      </w:r>
      <w:r w:rsidRPr="007232E4">
        <w:rPr>
          <w:rFonts w:eastAsia="SimSun"/>
          <w:lang w:eastAsia="zh-CN" w:bidi="th-TH"/>
        </w:rPr>
        <w:t xml:space="preserve"> 0,94</w:t>
      </w:r>
      <w:r w:rsidRPr="007232E4">
        <w:rPr>
          <w:rFonts w:ascii="Arial" w:eastAsia="SimSun" w:hAnsi="Arial" w:cs="Arial"/>
          <w:lang w:eastAsia="zh-CN" w:bidi="th-TH"/>
        </w:rPr>
        <w:t>]</w:t>
      </w:r>
      <w:r w:rsidRPr="007232E4">
        <w:rPr>
          <w:rFonts w:eastAsia="SimSun"/>
          <w:lang w:eastAsia="zh-CN" w:bidi="th-TH"/>
        </w:rPr>
        <w:t>; valor de</w:t>
      </w:r>
      <w:r w:rsidRPr="007232E4">
        <w:rPr>
          <w:rFonts w:eastAsia="SimSun"/>
          <w:b/>
          <w:bCs/>
          <w:i/>
          <w:iCs/>
          <w:lang w:eastAsia="zh-CN" w:bidi="th-TH"/>
        </w:rPr>
        <w:t xml:space="preserve"> </w:t>
      </w:r>
      <w:r w:rsidRPr="007232E4">
        <w:rPr>
          <w:rFonts w:eastAsia="SimSun"/>
          <w:bCs/>
          <w:iCs/>
          <w:lang w:eastAsia="zh-CN" w:bidi="th-TH"/>
        </w:rPr>
        <w:t>p</w:t>
      </w:r>
      <w:r w:rsidRPr="007232E4">
        <w:rPr>
          <w:rFonts w:eastAsia="SimSun"/>
          <w:lang w:eastAsia="zh-CN" w:bidi="th-TH"/>
        </w:rPr>
        <w:t xml:space="preserve"> = 0,0026.</w:t>
      </w:r>
    </w:p>
    <w:p w14:paraId="270536A0" w14:textId="77777777" w:rsidR="00400398" w:rsidRPr="007232E4" w:rsidRDefault="00400398">
      <w:pPr>
        <w:rPr>
          <w:rFonts w:eastAsia="SimSun"/>
          <w:lang w:eastAsia="zh-CN" w:bidi="th-TH"/>
        </w:rPr>
      </w:pPr>
    </w:p>
    <w:p w14:paraId="0E0D605C" w14:textId="77777777" w:rsidR="00400398" w:rsidRPr="007232E4" w:rsidRDefault="00400398">
      <w:pPr>
        <w:rPr>
          <w:rFonts w:eastAsia="SimSun"/>
          <w:lang w:eastAsia="zh-CN" w:bidi="th-TH"/>
        </w:rPr>
      </w:pPr>
      <w:r w:rsidRPr="007232E4">
        <w:rPr>
          <w:rFonts w:eastAsia="SimSun"/>
          <w:lang w:eastAsia="zh-CN" w:bidi="th-TH"/>
        </w:rPr>
        <w:t xml:space="preserve">No subgrupo de tratamento com FOLFOX, a mediana da </w:t>
      </w:r>
      <w:r w:rsidR="00387CBF">
        <w:rPr>
          <w:rFonts w:eastAsia="SimSun"/>
          <w:lang w:eastAsia="zh-CN" w:bidi="th-TH"/>
        </w:rPr>
        <w:t>OS</w:t>
      </w:r>
      <w:r w:rsidRPr="007232E4">
        <w:rPr>
          <w:rFonts w:eastAsia="SimSun"/>
          <w:lang w:eastAsia="zh-CN" w:bidi="th-TH"/>
        </w:rPr>
        <w:t xml:space="preserve"> foi de 20,3 meses nos doentes a receber placebo e de 21,2 meses nos doentes tratados com bevacizumab, HR = 0,94, IC 97,5% </w:t>
      </w:r>
      <w:r w:rsidRPr="007232E4">
        <w:rPr>
          <w:rFonts w:ascii="Arial" w:eastAsia="SimSun" w:hAnsi="Arial" w:cs="Arial"/>
          <w:bCs/>
          <w:iCs/>
          <w:lang w:eastAsia="zh-CN" w:bidi="th-TH"/>
        </w:rPr>
        <w:t>=</w:t>
      </w:r>
      <w:r w:rsidRPr="007232E4">
        <w:rPr>
          <w:rFonts w:ascii="Arial" w:eastAsia="SimSun" w:hAnsi="Arial" w:cs="Arial"/>
          <w:lang w:eastAsia="zh-CN" w:bidi="th-TH"/>
        </w:rPr>
        <w:t xml:space="preserve"> [</w:t>
      </w:r>
      <w:r w:rsidRPr="007232E4">
        <w:rPr>
          <w:rFonts w:eastAsia="SimSun"/>
          <w:lang w:eastAsia="zh-CN" w:bidi="th-TH"/>
        </w:rPr>
        <w:t xml:space="preserve">0,75 </w:t>
      </w:r>
      <w:r w:rsidRPr="007232E4">
        <w:rPr>
          <w:rFonts w:ascii="Arial" w:eastAsia="SimSun" w:hAnsi="Arial" w:cs="Arial"/>
          <w:lang w:eastAsia="zh-CN" w:bidi="th-TH"/>
        </w:rPr>
        <w:t>;</w:t>
      </w:r>
      <w:r w:rsidRPr="007232E4">
        <w:rPr>
          <w:rFonts w:eastAsia="SimSun"/>
          <w:lang w:eastAsia="zh-CN" w:bidi="th-TH"/>
        </w:rPr>
        <w:t xml:space="preserve"> 1,16</w:t>
      </w:r>
      <w:r w:rsidRPr="007232E4">
        <w:rPr>
          <w:rFonts w:ascii="Arial" w:eastAsia="SimSun" w:hAnsi="Arial" w:cs="Arial"/>
          <w:lang w:eastAsia="zh-CN" w:bidi="th-TH"/>
        </w:rPr>
        <w:t>]</w:t>
      </w:r>
      <w:r w:rsidRPr="007232E4">
        <w:rPr>
          <w:rFonts w:eastAsia="SimSun"/>
          <w:lang w:eastAsia="zh-CN" w:bidi="th-TH"/>
        </w:rPr>
        <w:t xml:space="preserve">; valor de p </w:t>
      </w:r>
      <w:r w:rsidRPr="007232E4">
        <w:rPr>
          <w:rFonts w:ascii="Arial" w:eastAsia="SimSun" w:hAnsi="Arial" w:cs="Arial"/>
          <w:lang w:eastAsia="zh-CN" w:bidi="th-TH"/>
        </w:rPr>
        <w:t>=</w:t>
      </w:r>
      <w:r w:rsidRPr="007232E4">
        <w:rPr>
          <w:rFonts w:eastAsia="SimSun"/>
          <w:lang w:eastAsia="zh-CN" w:bidi="th-TH"/>
        </w:rPr>
        <w:t xml:space="preserve"> 0,4937; os resultados correspondentes no subgrupo de tratamento com XELOX foram de 19,2 vs. 21,4 meses, HR = 0,84, IC 97,5% </w:t>
      </w:r>
      <w:r w:rsidRPr="007232E4">
        <w:rPr>
          <w:rFonts w:ascii="Arial" w:eastAsia="SimSun" w:hAnsi="Arial" w:cs="Arial"/>
          <w:lang w:eastAsia="zh-CN" w:bidi="th-TH"/>
        </w:rPr>
        <w:t>= [</w:t>
      </w:r>
      <w:r w:rsidRPr="007232E4">
        <w:rPr>
          <w:rFonts w:eastAsia="SimSun"/>
          <w:lang w:eastAsia="zh-CN" w:bidi="th-TH"/>
        </w:rPr>
        <w:t xml:space="preserve">0,68 </w:t>
      </w:r>
      <w:r w:rsidRPr="007232E4">
        <w:rPr>
          <w:rFonts w:ascii="Arial" w:eastAsia="SimSun" w:hAnsi="Arial" w:cs="Arial"/>
          <w:lang w:eastAsia="zh-CN" w:bidi="th-TH"/>
        </w:rPr>
        <w:t>;</w:t>
      </w:r>
      <w:r w:rsidRPr="007232E4">
        <w:rPr>
          <w:rFonts w:eastAsia="SimSun"/>
          <w:lang w:eastAsia="zh-CN" w:bidi="th-TH"/>
        </w:rPr>
        <w:t xml:space="preserve"> 1,04</w:t>
      </w:r>
      <w:r w:rsidRPr="007232E4">
        <w:rPr>
          <w:rFonts w:ascii="Arial" w:eastAsia="SimSun" w:hAnsi="Arial" w:cs="Arial"/>
          <w:lang w:eastAsia="zh-CN" w:bidi="th-TH"/>
        </w:rPr>
        <w:t>]</w:t>
      </w:r>
      <w:r w:rsidRPr="007232E4">
        <w:rPr>
          <w:rFonts w:eastAsia="SimSun"/>
          <w:lang w:eastAsia="zh-CN" w:bidi="th-TH"/>
        </w:rPr>
        <w:t xml:space="preserve">; valor de p </w:t>
      </w:r>
      <w:r w:rsidRPr="007232E4">
        <w:rPr>
          <w:rFonts w:ascii="Arial" w:eastAsia="SimSun" w:hAnsi="Arial" w:cs="Arial"/>
          <w:lang w:eastAsia="zh-CN" w:bidi="th-TH"/>
        </w:rPr>
        <w:t>=</w:t>
      </w:r>
      <w:r w:rsidRPr="007232E4">
        <w:rPr>
          <w:rFonts w:eastAsia="SimSun"/>
        </w:rPr>
        <w:t xml:space="preserve"> </w:t>
      </w:r>
      <w:r w:rsidRPr="007232E4">
        <w:rPr>
          <w:rFonts w:eastAsia="SimSun"/>
          <w:lang w:eastAsia="zh-CN" w:bidi="th-TH"/>
        </w:rPr>
        <w:t>0,0698.</w:t>
      </w:r>
    </w:p>
    <w:p w14:paraId="323660CC" w14:textId="77777777" w:rsidR="00400398" w:rsidRPr="007232E4" w:rsidRDefault="00400398">
      <w:pPr>
        <w:rPr>
          <w:b/>
          <w:i/>
        </w:rPr>
      </w:pPr>
    </w:p>
    <w:p w14:paraId="6B2C2E80" w14:textId="77777777" w:rsidR="00400398" w:rsidRPr="007232E4" w:rsidRDefault="00400398">
      <w:pPr>
        <w:rPr>
          <w:i/>
        </w:rPr>
      </w:pPr>
      <w:r w:rsidRPr="007232E4">
        <w:rPr>
          <w:i/>
        </w:rPr>
        <w:t xml:space="preserve">ECOG E3200 </w:t>
      </w:r>
    </w:p>
    <w:p w14:paraId="1900CDC7" w14:textId="77777777" w:rsidR="00400398" w:rsidRPr="007232E4" w:rsidRDefault="00400398">
      <w:r w:rsidRPr="007232E4">
        <w:t xml:space="preserve">Este foi um ensaio de fase III, aleatorizado, controlado por substância ativa, aberto, para investigação de </w:t>
      </w:r>
      <w:r w:rsidR="009D13B0">
        <w:t>bevacizumab</w:t>
      </w:r>
      <w:r w:rsidR="009D13B0" w:rsidRPr="007232E4">
        <w:t xml:space="preserve"> </w:t>
      </w:r>
      <w:r w:rsidRPr="007232E4">
        <w:t>10 mg/kg em associação com folinato de cálcio e 5</w:t>
      </w:r>
      <w:r w:rsidRPr="007232E4">
        <w:noBreakHyphen/>
        <w:t>fluorouracilo em bólus, seguido de perfusão de 5</w:t>
      </w:r>
      <w:r w:rsidRPr="007232E4">
        <w:noBreakHyphen/>
        <w:t>fluorouracilo com oxaliplatina por via intravenosa (FOLFOX-4), administrado cada 2 semanas em doentes previamente tratados (segunda linha) com cancro do cólon ou do reto avançado. Nos braços com quimioterapia, o regime de FOLFOX-4 utilizou as mesmas doses e posologia referidas na Tabela </w:t>
      </w:r>
      <w:r>
        <w:t>6</w:t>
      </w:r>
      <w:r w:rsidRPr="007232E4">
        <w:t xml:space="preserve"> para o ensaio NO16966. </w:t>
      </w:r>
    </w:p>
    <w:p w14:paraId="4EE306B6" w14:textId="77777777" w:rsidR="00400398" w:rsidRPr="007232E4" w:rsidRDefault="00400398"/>
    <w:p w14:paraId="76854F87" w14:textId="77777777" w:rsidR="00400398" w:rsidRPr="007232E4" w:rsidRDefault="00400398">
      <w:r w:rsidRPr="007232E4">
        <w:t xml:space="preserve">O parâmetro primário de eficácia do ensaio foi a </w:t>
      </w:r>
      <w:r w:rsidR="00387CBF">
        <w:t>OS</w:t>
      </w:r>
      <w:r w:rsidRPr="007232E4">
        <w:t>, definida como o tempo desde a aleatorização à morte por qualquer causa. Foram aleatorizados 829 doentes (292 FOLFOX-4, 293</w:t>
      </w:r>
      <w:r w:rsidR="009A7EFA">
        <w:t> </w:t>
      </w:r>
      <w:r w:rsidR="009D13B0">
        <w:t>bevacizumab</w:t>
      </w:r>
      <w:r w:rsidR="009D13B0" w:rsidRPr="007232E4">
        <w:t xml:space="preserve"> </w:t>
      </w:r>
      <w:r w:rsidRPr="007232E4">
        <w:t xml:space="preserve">+ FOLFOX-4 e 244 para </w:t>
      </w:r>
      <w:r w:rsidR="009D13B0">
        <w:t>bevacizumab</w:t>
      </w:r>
      <w:r w:rsidR="009D13B0" w:rsidRPr="007232E4">
        <w:t xml:space="preserve"> </w:t>
      </w:r>
      <w:r w:rsidRPr="007232E4">
        <w:t xml:space="preserve">em monoterapia). A adição de </w:t>
      </w:r>
      <w:r w:rsidR="00066BFF">
        <w:t>bevacizumab</w:t>
      </w:r>
      <w:r w:rsidR="00066BFF" w:rsidRPr="007232E4">
        <w:t xml:space="preserve"> </w:t>
      </w:r>
      <w:r w:rsidRPr="007232E4">
        <w:t xml:space="preserve">a FOLFOX-4 resultou num aumento estatisticamente significativo da sobrevivência. Observaram-se também melhorias estatisticamente significativas na </w:t>
      </w:r>
      <w:r w:rsidR="003F3D13">
        <w:t>PFS</w:t>
      </w:r>
      <w:r w:rsidRPr="007232E4">
        <w:t xml:space="preserve"> e na taxa de resposta objetiva (ver Tabela </w:t>
      </w:r>
      <w:r>
        <w:t>8</w:t>
      </w:r>
      <w:r w:rsidRPr="007232E4">
        <w:t xml:space="preserve">). </w:t>
      </w:r>
    </w:p>
    <w:p w14:paraId="7348DEF5" w14:textId="77777777" w:rsidR="00400398" w:rsidRPr="007232E4" w:rsidRDefault="00400398"/>
    <w:p w14:paraId="4D9E5304" w14:textId="77777777" w:rsidR="00400398" w:rsidRPr="007232E4" w:rsidRDefault="00400398" w:rsidP="001E05C2">
      <w:pPr>
        <w:ind w:left="1418" w:hanging="1418"/>
        <w:rPr>
          <w:b/>
        </w:rPr>
      </w:pPr>
      <w:r w:rsidRPr="007232E4">
        <w:rPr>
          <w:b/>
        </w:rPr>
        <w:t>Tabela </w:t>
      </w:r>
      <w:r>
        <w:rPr>
          <w:b/>
        </w:rPr>
        <w:t>8</w:t>
      </w:r>
      <w:r w:rsidRPr="007232E4">
        <w:rPr>
          <w:b/>
        </w:rPr>
        <w:tab/>
        <w:t>Resultados de eficácia obtidos no ensaio E3200</w:t>
      </w:r>
    </w:p>
    <w:tbl>
      <w:tblPr>
        <w:tblW w:w="5000" w:type="pct"/>
        <w:jc w:val="center"/>
        <w:tblLook w:val="0000" w:firstRow="0" w:lastRow="0" w:firstColumn="0" w:lastColumn="0" w:noHBand="0" w:noVBand="0"/>
      </w:tblPr>
      <w:tblGrid>
        <w:gridCol w:w="4146"/>
        <w:gridCol w:w="2465"/>
        <w:gridCol w:w="2440"/>
      </w:tblGrid>
      <w:tr w:rsidR="00400398" w:rsidRPr="00215594" w14:paraId="0F8143F4" w14:textId="77777777" w:rsidTr="00D91337">
        <w:trPr>
          <w:cantSplit/>
          <w:trHeight w:val="360"/>
          <w:jc w:val="center"/>
        </w:trPr>
        <w:tc>
          <w:tcPr>
            <w:tcW w:w="2290" w:type="pct"/>
            <w:tcBorders>
              <w:top w:val="single" w:sz="4" w:space="0" w:color="auto"/>
              <w:left w:val="single" w:sz="8" w:space="0" w:color="auto"/>
              <w:right w:val="single" w:sz="8" w:space="0" w:color="auto"/>
            </w:tcBorders>
            <w:vAlign w:val="bottom"/>
          </w:tcPr>
          <w:p w14:paraId="4DE39D97" w14:textId="77777777" w:rsidR="00400398" w:rsidRPr="00215594" w:rsidRDefault="00400398">
            <w:pPr>
              <w:pStyle w:val="TableCellCenter"/>
              <w:keepNext w:val="0"/>
              <w:keepLines w:val="0"/>
              <w:rPr>
                <w:sz w:val="22"/>
                <w:szCs w:val="22"/>
              </w:rPr>
            </w:pPr>
          </w:p>
        </w:tc>
        <w:tc>
          <w:tcPr>
            <w:tcW w:w="2710" w:type="pct"/>
            <w:gridSpan w:val="2"/>
            <w:tcBorders>
              <w:top w:val="single" w:sz="4" w:space="0" w:color="auto"/>
              <w:left w:val="single" w:sz="8" w:space="0" w:color="auto"/>
              <w:bottom w:val="single" w:sz="8" w:space="0" w:color="auto"/>
              <w:right w:val="single" w:sz="8" w:space="0" w:color="auto"/>
            </w:tcBorders>
            <w:vAlign w:val="bottom"/>
          </w:tcPr>
          <w:p w14:paraId="30217B3B" w14:textId="77777777" w:rsidR="00400398" w:rsidRPr="001E05C2" w:rsidRDefault="00400398">
            <w:pPr>
              <w:pStyle w:val="TableCellCenter"/>
              <w:keepNext w:val="0"/>
              <w:keepLines w:val="0"/>
              <w:rPr>
                <w:b/>
                <w:sz w:val="22"/>
                <w:szCs w:val="22"/>
              </w:rPr>
            </w:pPr>
            <w:r w:rsidRPr="001E05C2">
              <w:rPr>
                <w:b/>
                <w:sz w:val="22"/>
                <w:szCs w:val="22"/>
              </w:rPr>
              <w:t>E3200</w:t>
            </w:r>
          </w:p>
        </w:tc>
      </w:tr>
      <w:tr w:rsidR="00400398" w:rsidRPr="00215594" w14:paraId="48F4F03D" w14:textId="77777777" w:rsidTr="00D91337">
        <w:trPr>
          <w:cantSplit/>
          <w:trHeight w:val="457"/>
          <w:jc w:val="center"/>
        </w:trPr>
        <w:tc>
          <w:tcPr>
            <w:tcW w:w="2290" w:type="pct"/>
            <w:tcBorders>
              <w:left w:val="single" w:sz="8" w:space="0" w:color="auto"/>
              <w:bottom w:val="single" w:sz="8" w:space="0" w:color="auto"/>
              <w:right w:val="single" w:sz="8" w:space="0" w:color="auto"/>
            </w:tcBorders>
            <w:vAlign w:val="bottom"/>
          </w:tcPr>
          <w:p w14:paraId="6D189FFC" w14:textId="77777777" w:rsidR="00400398" w:rsidRPr="00215594" w:rsidRDefault="00400398">
            <w:pPr>
              <w:pStyle w:val="TableCellCenter"/>
              <w:keepNext w:val="0"/>
              <w:keepLines w:val="0"/>
              <w:rPr>
                <w:sz w:val="22"/>
                <w:szCs w:val="22"/>
              </w:rPr>
            </w:pPr>
          </w:p>
        </w:tc>
        <w:tc>
          <w:tcPr>
            <w:tcW w:w="1362" w:type="pct"/>
            <w:tcBorders>
              <w:top w:val="single" w:sz="4" w:space="0" w:color="auto"/>
              <w:left w:val="single" w:sz="8" w:space="0" w:color="auto"/>
              <w:bottom w:val="single" w:sz="8" w:space="0" w:color="auto"/>
              <w:right w:val="single" w:sz="4" w:space="0" w:color="auto"/>
            </w:tcBorders>
            <w:vAlign w:val="bottom"/>
          </w:tcPr>
          <w:p w14:paraId="64BE772A" w14:textId="77777777" w:rsidR="00400398" w:rsidRPr="001E05C2" w:rsidRDefault="00400398">
            <w:pPr>
              <w:pStyle w:val="TableCellCenter"/>
              <w:keepNext w:val="0"/>
              <w:keepLines w:val="0"/>
              <w:rPr>
                <w:b/>
                <w:sz w:val="22"/>
                <w:szCs w:val="22"/>
              </w:rPr>
            </w:pPr>
            <w:r w:rsidRPr="001E05C2">
              <w:rPr>
                <w:b/>
                <w:sz w:val="22"/>
                <w:szCs w:val="22"/>
              </w:rPr>
              <w:t>FOLFOX-4</w:t>
            </w:r>
          </w:p>
        </w:tc>
        <w:tc>
          <w:tcPr>
            <w:tcW w:w="1348" w:type="pct"/>
            <w:tcBorders>
              <w:top w:val="single" w:sz="4" w:space="0" w:color="auto"/>
              <w:left w:val="single" w:sz="4" w:space="0" w:color="auto"/>
              <w:bottom w:val="single" w:sz="8" w:space="0" w:color="auto"/>
              <w:right w:val="single" w:sz="8" w:space="0" w:color="auto"/>
            </w:tcBorders>
            <w:vAlign w:val="bottom"/>
          </w:tcPr>
          <w:p w14:paraId="79EE6065" w14:textId="77777777" w:rsidR="00400398" w:rsidRPr="001E05C2" w:rsidRDefault="00400398" w:rsidP="00066BFF">
            <w:pPr>
              <w:pStyle w:val="TableCellCenter"/>
              <w:keepNext w:val="0"/>
              <w:keepLines w:val="0"/>
              <w:rPr>
                <w:b/>
                <w:sz w:val="22"/>
                <w:szCs w:val="22"/>
              </w:rPr>
            </w:pPr>
            <w:r w:rsidRPr="001E05C2">
              <w:rPr>
                <w:b/>
                <w:sz w:val="22"/>
                <w:szCs w:val="22"/>
              </w:rPr>
              <w:t>FOLFOX-4 </w:t>
            </w:r>
            <w:r w:rsidRPr="001E05C2">
              <w:rPr>
                <w:rFonts w:ascii="Symbol" w:hAnsi="Symbol"/>
                <w:b/>
                <w:sz w:val="22"/>
                <w:szCs w:val="22"/>
              </w:rPr>
              <w:t></w:t>
            </w:r>
            <w:r w:rsidRPr="001E05C2">
              <w:rPr>
                <w:b/>
                <w:sz w:val="22"/>
                <w:szCs w:val="22"/>
              </w:rPr>
              <w:t> </w:t>
            </w:r>
            <w:r w:rsidR="00066BFF" w:rsidRPr="00215594">
              <w:rPr>
                <w:b/>
                <w:sz w:val="22"/>
                <w:szCs w:val="22"/>
              </w:rPr>
              <w:t>bevacizumab</w:t>
            </w:r>
            <w:r w:rsidR="00066BFF" w:rsidRPr="001E05C2">
              <w:rPr>
                <w:b/>
                <w:sz w:val="22"/>
                <w:szCs w:val="22"/>
                <w:vertAlign w:val="superscript"/>
              </w:rPr>
              <w:t>a</w:t>
            </w:r>
          </w:p>
        </w:tc>
      </w:tr>
      <w:tr w:rsidR="00400398" w:rsidRPr="00215594" w14:paraId="1FD2B3ED" w14:textId="77777777" w:rsidTr="00D91337">
        <w:trPr>
          <w:cantSplit/>
          <w:jc w:val="center"/>
        </w:trPr>
        <w:tc>
          <w:tcPr>
            <w:tcW w:w="2290" w:type="pct"/>
            <w:tcBorders>
              <w:top w:val="single" w:sz="8" w:space="0" w:color="auto"/>
              <w:left w:val="single" w:sz="8" w:space="0" w:color="auto"/>
              <w:bottom w:val="single" w:sz="4" w:space="0" w:color="auto"/>
              <w:right w:val="single" w:sz="8" w:space="0" w:color="auto"/>
            </w:tcBorders>
          </w:tcPr>
          <w:p w14:paraId="77B11D36" w14:textId="77777777" w:rsidR="00400398" w:rsidRPr="00215594" w:rsidRDefault="00400398">
            <w:pPr>
              <w:pStyle w:val="TableCellLeft"/>
              <w:keepNext w:val="0"/>
              <w:keepLines w:val="0"/>
              <w:rPr>
                <w:sz w:val="22"/>
                <w:szCs w:val="22"/>
              </w:rPr>
            </w:pPr>
            <w:r w:rsidRPr="00215594">
              <w:rPr>
                <w:sz w:val="22"/>
                <w:szCs w:val="22"/>
              </w:rPr>
              <w:t xml:space="preserve">Número de doentes </w:t>
            </w:r>
          </w:p>
        </w:tc>
        <w:tc>
          <w:tcPr>
            <w:tcW w:w="1362" w:type="pct"/>
            <w:tcBorders>
              <w:top w:val="single" w:sz="8" w:space="0" w:color="auto"/>
              <w:left w:val="single" w:sz="8" w:space="0" w:color="auto"/>
              <w:bottom w:val="single" w:sz="4" w:space="0" w:color="auto"/>
              <w:right w:val="single" w:sz="4" w:space="0" w:color="auto"/>
            </w:tcBorders>
          </w:tcPr>
          <w:p w14:paraId="60BAA4A4" w14:textId="77777777" w:rsidR="00400398" w:rsidRPr="00215594" w:rsidRDefault="00400398">
            <w:pPr>
              <w:pStyle w:val="TableCellCenter"/>
              <w:keepNext w:val="0"/>
              <w:keepLines w:val="0"/>
              <w:rPr>
                <w:sz w:val="22"/>
                <w:szCs w:val="22"/>
              </w:rPr>
            </w:pPr>
            <w:r w:rsidRPr="00215594">
              <w:rPr>
                <w:sz w:val="22"/>
                <w:szCs w:val="22"/>
              </w:rPr>
              <w:t>292</w:t>
            </w:r>
          </w:p>
        </w:tc>
        <w:tc>
          <w:tcPr>
            <w:tcW w:w="1348" w:type="pct"/>
            <w:tcBorders>
              <w:top w:val="single" w:sz="8" w:space="0" w:color="auto"/>
              <w:left w:val="single" w:sz="4" w:space="0" w:color="auto"/>
              <w:bottom w:val="single" w:sz="4" w:space="0" w:color="auto"/>
              <w:right w:val="single" w:sz="8" w:space="0" w:color="auto"/>
            </w:tcBorders>
          </w:tcPr>
          <w:p w14:paraId="734B0383" w14:textId="77777777" w:rsidR="00400398" w:rsidRPr="00215594" w:rsidRDefault="00400398">
            <w:pPr>
              <w:pStyle w:val="TableCellCenter"/>
              <w:keepNext w:val="0"/>
              <w:keepLines w:val="0"/>
              <w:rPr>
                <w:sz w:val="22"/>
                <w:szCs w:val="22"/>
              </w:rPr>
            </w:pPr>
            <w:r w:rsidRPr="00215594">
              <w:rPr>
                <w:sz w:val="22"/>
                <w:szCs w:val="22"/>
              </w:rPr>
              <w:t>293</w:t>
            </w:r>
          </w:p>
        </w:tc>
      </w:tr>
      <w:tr w:rsidR="00400398" w:rsidRPr="00215594" w14:paraId="425E8A97" w14:textId="77777777" w:rsidTr="00D91337">
        <w:trPr>
          <w:cantSplit/>
          <w:jc w:val="center"/>
        </w:trPr>
        <w:tc>
          <w:tcPr>
            <w:tcW w:w="2290" w:type="pct"/>
            <w:tcBorders>
              <w:top w:val="single" w:sz="4" w:space="0" w:color="auto"/>
              <w:left w:val="single" w:sz="8" w:space="0" w:color="auto"/>
              <w:bottom w:val="single" w:sz="4" w:space="0" w:color="auto"/>
            </w:tcBorders>
          </w:tcPr>
          <w:p w14:paraId="714D3DF9" w14:textId="77777777" w:rsidR="00400398" w:rsidRPr="00215594" w:rsidRDefault="00400398">
            <w:pPr>
              <w:pStyle w:val="TableCellHead"/>
              <w:keepNext w:val="0"/>
              <w:keepLines w:val="0"/>
              <w:rPr>
                <w:sz w:val="22"/>
                <w:szCs w:val="22"/>
                <w:u w:val="none"/>
              </w:rPr>
            </w:pPr>
            <w:r w:rsidRPr="00215594">
              <w:rPr>
                <w:sz w:val="22"/>
                <w:szCs w:val="22"/>
                <w:u w:val="none"/>
              </w:rPr>
              <w:t>Sobrevivência global</w:t>
            </w:r>
          </w:p>
        </w:tc>
        <w:tc>
          <w:tcPr>
            <w:tcW w:w="1362" w:type="pct"/>
            <w:tcBorders>
              <w:top w:val="single" w:sz="4" w:space="0" w:color="auto"/>
              <w:left w:val="nil"/>
              <w:bottom w:val="single" w:sz="4" w:space="0" w:color="auto"/>
            </w:tcBorders>
          </w:tcPr>
          <w:p w14:paraId="3B4F601C" w14:textId="77777777" w:rsidR="00400398" w:rsidRPr="00215594" w:rsidRDefault="00400398">
            <w:pPr>
              <w:pStyle w:val="TableCellCenter"/>
              <w:keepNext w:val="0"/>
              <w:keepLines w:val="0"/>
              <w:rPr>
                <w:sz w:val="22"/>
                <w:szCs w:val="22"/>
              </w:rPr>
            </w:pPr>
          </w:p>
        </w:tc>
        <w:tc>
          <w:tcPr>
            <w:tcW w:w="1348" w:type="pct"/>
            <w:tcBorders>
              <w:top w:val="single" w:sz="4" w:space="0" w:color="auto"/>
              <w:bottom w:val="single" w:sz="4" w:space="0" w:color="auto"/>
              <w:right w:val="single" w:sz="8" w:space="0" w:color="auto"/>
            </w:tcBorders>
          </w:tcPr>
          <w:p w14:paraId="6F26E650" w14:textId="77777777" w:rsidR="00400398" w:rsidRPr="00215594" w:rsidRDefault="00400398">
            <w:pPr>
              <w:pStyle w:val="TableCellCenter"/>
              <w:keepNext w:val="0"/>
              <w:keepLines w:val="0"/>
              <w:rPr>
                <w:sz w:val="22"/>
                <w:szCs w:val="22"/>
              </w:rPr>
            </w:pPr>
          </w:p>
        </w:tc>
      </w:tr>
      <w:tr w:rsidR="00400398" w:rsidRPr="00215594" w14:paraId="0EFD6B4D" w14:textId="77777777" w:rsidTr="00D91337">
        <w:trPr>
          <w:cantSplit/>
          <w:jc w:val="center"/>
        </w:trPr>
        <w:tc>
          <w:tcPr>
            <w:tcW w:w="2290" w:type="pct"/>
            <w:tcBorders>
              <w:top w:val="single" w:sz="4" w:space="0" w:color="auto"/>
              <w:left w:val="single" w:sz="8" w:space="0" w:color="auto"/>
              <w:bottom w:val="single" w:sz="4" w:space="0" w:color="auto"/>
              <w:right w:val="single" w:sz="8" w:space="0" w:color="auto"/>
            </w:tcBorders>
          </w:tcPr>
          <w:p w14:paraId="3FF7A2B0" w14:textId="77777777" w:rsidR="00400398" w:rsidRPr="00215594" w:rsidRDefault="00400398">
            <w:pPr>
              <w:pStyle w:val="TableCellLeft"/>
              <w:keepNext w:val="0"/>
              <w:keepLines w:val="0"/>
              <w:ind w:left="360"/>
              <w:rPr>
                <w:sz w:val="22"/>
                <w:szCs w:val="22"/>
              </w:rPr>
            </w:pPr>
            <w:r w:rsidRPr="00215594">
              <w:rPr>
                <w:sz w:val="22"/>
                <w:szCs w:val="22"/>
              </w:rPr>
              <w:t>Mediana (meses)</w:t>
            </w:r>
          </w:p>
        </w:tc>
        <w:tc>
          <w:tcPr>
            <w:tcW w:w="1362" w:type="pct"/>
            <w:tcBorders>
              <w:top w:val="single" w:sz="4" w:space="0" w:color="auto"/>
              <w:left w:val="single" w:sz="8" w:space="0" w:color="auto"/>
              <w:bottom w:val="single" w:sz="4" w:space="0" w:color="auto"/>
              <w:right w:val="single" w:sz="4" w:space="0" w:color="auto"/>
            </w:tcBorders>
          </w:tcPr>
          <w:p w14:paraId="1A291FFE" w14:textId="77777777" w:rsidR="00400398" w:rsidRPr="00215594" w:rsidRDefault="00400398">
            <w:pPr>
              <w:pStyle w:val="TableCellCenter"/>
              <w:keepNext w:val="0"/>
              <w:keepLines w:val="0"/>
              <w:rPr>
                <w:sz w:val="22"/>
                <w:szCs w:val="22"/>
              </w:rPr>
            </w:pPr>
            <w:r w:rsidRPr="00215594">
              <w:rPr>
                <w:sz w:val="22"/>
                <w:szCs w:val="22"/>
              </w:rPr>
              <w:t>10,8</w:t>
            </w:r>
          </w:p>
        </w:tc>
        <w:tc>
          <w:tcPr>
            <w:tcW w:w="1348" w:type="pct"/>
            <w:tcBorders>
              <w:top w:val="single" w:sz="4" w:space="0" w:color="auto"/>
              <w:left w:val="single" w:sz="4" w:space="0" w:color="auto"/>
              <w:bottom w:val="single" w:sz="4" w:space="0" w:color="auto"/>
              <w:right w:val="single" w:sz="8" w:space="0" w:color="auto"/>
            </w:tcBorders>
          </w:tcPr>
          <w:p w14:paraId="36BD15E3" w14:textId="77777777" w:rsidR="00400398" w:rsidRPr="00215594" w:rsidRDefault="00400398">
            <w:pPr>
              <w:pStyle w:val="TableCellCenter"/>
              <w:keepNext w:val="0"/>
              <w:keepLines w:val="0"/>
              <w:rPr>
                <w:sz w:val="22"/>
                <w:szCs w:val="22"/>
              </w:rPr>
            </w:pPr>
            <w:r w:rsidRPr="00215594">
              <w:rPr>
                <w:sz w:val="22"/>
                <w:szCs w:val="22"/>
              </w:rPr>
              <w:t>13,0</w:t>
            </w:r>
          </w:p>
        </w:tc>
      </w:tr>
      <w:tr w:rsidR="00400398" w:rsidRPr="00215594" w14:paraId="5280FFDB" w14:textId="77777777" w:rsidTr="00D91337">
        <w:trPr>
          <w:cantSplit/>
          <w:jc w:val="center"/>
        </w:trPr>
        <w:tc>
          <w:tcPr>
            <w:tcW w:w="2290" w:type="pct"/>
            <w:tcBorders>
              <w:top w:val="single" w:sz="4" w:space="0" w:color="auto"/>
              <w:left w:val="single" w:sz="8" w:space="0" w:color="auto"/>
              <w:bottom w:val="single" w:sz="4" w:space="0" w:color="auto"/>
              <w:right w:val="single" w:sz="8" w:space="0" w:color="auto"/>
            </w:tcBorders>
          </w:tcPr>
          <w:p w14:paraId="2B0A278A" w14:textId="77777777" w:rsidR="00400398" w:rsidRPr="00215594" w:rsidRDefault="00400398" w:rsidP="00540EAF">
            <w:pPr>
              <w:pStyle w:val="TableCellLeft"/>
              <w:keepNext w:val="0"/>
              <w:keepLines w:val="0"/>
              <w:ind w:left="360"/>
              <w:rPr>
                <w:sz w:val="22"/>
                <w:szCs w:val="22"/>
              </w:rPr>
            </w:pPr>
            <w:r w:rsidRPr="00215594">
              <w:rPr>
                <w:sz w:val="22"/>
                <w:szCs w:val="22"/>
              </w:rPr>
              <w:t xml:space="preserve">IC 95% </w:t>
            </w:r>
          </w:p>
        </w:tc>
        <w:tc>
          <w:tcPr>
            <w:tcW w:w="1362" w:type="pct"/>
            <w:tcBorders>
              <w:top w:val="single" w:sz="4" w:space="0" w:color="auto"/>
              <w:left w:val="single" w:sz="8" w:space="0" w:color="auto"/>
              <w:bottom w:val="single" w:sz="4" w:space="0" w:color="auto"/>
              <w:right w:val="single" w:sz="4" w:space="0" w:color="auto"/>
            </w:tcBorders>
          </w:tcPr>
          <w:p w14:paraId="3F9BA64F" w14:textId="77777777" w:rsidR="00400398" w:rsidRPr="00215594" w:rsidRDefault="00400398">
            <w:pPr>
              <w:pStyle w:val="TableCellCenter"/>
              <w:keepNext w:val="0"/>
              <w:keepLines w:val="0"/>
              <w:rPr>
                <w:sz w:val="22"/>
                <w:szCs w:val="22"/>
              </w:rPr>
            </w:pPr>
            <w:r w:rsidRPr="00215594">
              <w:rPr>
                <w:sz w:val="22"/>
                <w:szCs w:val="22"/>
              </w:rPr>
              <w:t>10,12 – 11,86</w:t>
            </w:r>
          </w:p>
        </w:tc>
        <w:tc>
          <w:tcPr>
            <w:tcW w:w="1348" w:type="pct"/>
            <w:tcBorders>
              <w:top w:val="single" w:sz="4" w:space="0" w:color="auto"/>
              <w:left w:val="single" w:sz="4" w:space="0" w:color="auto"/>
              <w:bottom w:val="single" w:sz="4" w:space="0" w:color="auto"/>
              <w:right w:val="single" w:sz="8" w:space="0" w:color="auto"/>
            </w:tcBorders>
          </w:tcPr>
          <w:p w14:paraId="514801FC" w14:textId="77777777" w:rsidR="00400398" w:rsidRPr="00215594" w:rsidRDefault="00400398">
            <w:pPr>
              <w:pStyle w:val="TableCellCenter"/>
              <w:keepNext w:val="0"/>
              <w:keepLines w:val="0"/>
              <w:rPr>
                <w:sz w:val="22"/>
                <w:szCs w:val="22"/>
              </w:rPr>
            </w:pPr>
            <w:r w:rsidRPr="00215594">
              <w:rPr>
                <w:sz w:val="22"/>
                <w:szCs w:val="22"/>
              </w:rPr>
              <w:t>12,09 – 14,03</w:t>
            </w:r>
          </w:p>
        </w:tc>
      </w:tr>
      <w:tr w:rsidR="00400398" w:rsidRPr="00215594" w14:paraId="0A1BF876" w14:textId="77777777" w:rsidTr="00D91337">
        <w:trPr>
          <w:cantSplit/>
          <w:jc w:val="center"/>
        </w:trPr>
        <w:tc>
          <w:tcPr>
            <w:tcW w:w="2290" w:type="pct"/>
            <w:tcBorders>
              <w:top w:val="single" w:sz="4" w:space="0" w:color="auto"/>
              <w:left w:val="single" w:sz="8" w:space="0" w:color="auto"/>
              <w:bottom w:val="single" w:sz="4" w:space="0" w:color="auto"/>
              <w:right w:val="single" w:sz="8" w:space="0" w:color="auto"/>
            </w:tcBorders>
          </w:tcPr>
          <w:p w14:paraId="39E45032" w14:textId="77777777" w:rsidR="00400398" w:rsidRPr="00215594" w:rsidRDefault="00400398">
            <w:pPr>
              <w:pStyle w:val="TableCellLeft"/>
              <w:keepNext w:val="0"/>
              <w:keepLines w:val="0"/>
              <w:ind w:left="360"/>
              <w:rPr>
                <w:sz w:val="22"/>
                <w:szCs w:val="22"/>
              </w:rPr>
            </w:pPr>
            <w:r w:rsidRPr="00215594">
              <w:rPr>
                <w:i/>
                <w:sz w:val="22"/>
                <w:szCs w:val="22"/>
              </w:rPr>
              <w:t xml:space="preserve">Hazard </w:t>
            </w:r>
            <w:r w:rsidR="003F3D13">
              <w:rPr>
                <w:i/>
                <w:sz w:val="22"/>
                <w:szCs w:val="22"/>
              </w:rPr>
              <w:t>r</w:t>
            </w:r>
            <w:r w:rsidRPr="00215594">
              <w:rPr>
                <w:i/>
                <w:sz w:val="22"/>
                <w:szCs w:val="22"/>
              </w:rPr>
              <w:t xml:space="preserve">atio </w:t>
            </w:r>
            <w:r w:rsidRPr="00215594">
              <w:rPr>
                <w:sz w:val="22"/>
                <w:szCs w:val="22"/>
              </w:rPr>
              <w:t>(taxa de risco)</w:t>
            </w:r>
            <w:r w:rsidRPr="00215594">
              <w:rPr>
                <w:sz w:val="22"/>
                <w:szCs w:val="22"/>
                <w:vertAlign w:val="superscript"/>
              </w:rPr>
              <w:t xml:space="preserve"> b</w:t>
            </w:r>
          </w:p>
        </w:tc>
        <w:tc>
          <w:tcPr>
            <w:tcW w:w="2710" w:type="pct"/>
            <w:gridSpan w:val="2"/>
            <w:tcBorders>
              <w:top w:val="single" w:sz="4" w:space="0" w:color="auto"/>
              <w:left w:val="single" w:sz="8" w:space="0" w:color="auto"/>
              <w:bottom w:val="single" w:sz="4" w:space="0" w:color="auto"/>
              <w:right w:val="single" w:sz="8" w:space="0" w:color="auto"/>
            </w:tcBorders>
          </w:tcPr>
          <w:p w14:paraId="06E56DA0" w14:textId="77777777" w:rsidR="00400398" w:rsidRPr="00215594" w:rsidRDefault="00400398">
            <w:pPr>
              <w:pStyle w:val="TableCellCenter"/>
              <w:keepNext w:val="0"/>
              <w:keepLines w:val="0"/>
              <w:rPr>
                <w:sz w:val="22"/>
                <w:szCs w:val="22"/>
              </w:rPr>
            </w:pPr>
            <w:r w:rsidRPr="00215594">
              <w:rPr>
                <w:sz w:val="22"/>
                <w:szCs w:val="22"/>
              </w:rPr>
              <w:t>0,751</w:t>
            </w:r>
          </w:p>
          <w:p w14:paraId="2AAB5656" w14:textId="77777777" w:rsidR="00400398" w:rsidRPr="00215594" w:rsidRDefault="00400398">
            <w:pPr>
              <w:pStyle w:val="TableCellCenter"/>
              <w:keepNext w:val="0"/>
              <w:keepLines w:val="0"/>
              <w:rPr>
                <w:sz w:val="22"/>
                <w:szCs w:val="22"/>
              </w:rPr>
            </w:pPr>
            <w:r w:rsidRPr="00215594">
              <w:rPr>
                <w:sz w:val="22"/>
                <w:szCs w:val="22"/>
              </w:rPr>
              <w:t>(valor de p = 0,0012)</w:t>
            </w:r>
          </w:p>
        </w:tc>
      </w:tr>
      <w:tr w:rsidR="00400398" w:rsidRPr="00215594" w14:paraId="205A0BAC" w14:textId="77777777" w:rsidTr="00D91337">
        <w:trPr>
          <w:cantSplit/>
          <w:jc w:val="center"/>
        </w:trPr>
        <w:tc>
          <w:tcPr>
            <w:tcW w:w="2290" w:type="pct"/>
            <w:tcBorders>
              <w:top w:val="single" w:sz="4" w:space="0" w:color="auto"/>
              <w:left w:val="single" w:sz="4" w:space="0" w:color="auto"/>
              <w:bottom w:val="single" w:sz="4" w:space="0" w:color="auto"/>
            </w:tcBorders>
          </w:tcPr>
          <w:p w14:paraId="6E178AD3" w14:textId="77777777" w:rsidR="00400398" w:rsidRPr="00215594" w:rsidRDefault="00400398">
            <w:pPr>
              <w:pStyle w:val="TableCellHead"/>
              <w:keepNext w:val="0"/>
              <w:keepLines w:val="0"/>
              <w:rPr>
                <w:sz w:val="22"/>
                <w:szCs w:val="22"/>
                <w:u w:val="none"/>
              </w:rPr>
            </w:pPr>
            <w:r w:rsidRPr="00215594">
              <w:rPr>
                <w:sz w:val="22"/>
                <w:szCs w:val="22"/>
                <w:u w:val="none"/>
              </w:rPr>
              <w:t>Sobrevivência livre de progressão</w:t>
            </w:r>
          </w:p>
        </w:tc>
        <w:tc>
          <w:tcPr>
            <w:tcW w:w="1362" w:type="pct"/>
            <w:tcBorders>
              <w:top w:val="single" w:sz="4" w:space="0" w:color="auto"/>
              <w:left w:val="nil"/>
              <w:bottom w:val="single" w:sz="4" w:space="0" w:color="auto"/>
            </w:tcBorders>
          </w:tcPr>
          <w:p w14:paraId="1835B731" w14:textId="77777777" w:rsidR="00400398" w:rsidRPr="00215594" w:rsidRDefault="00400398">
            <w:pPr>
              <w:pStyle w:val="TableCellCenter"/>
              <w:keepNext w:val="0"/>
              <w:keepLines w:val="0"/>
              <w:rPr>
                <w:sz w:val="22"/>
                <w:szCs w:val="22"/>
              </w:rPr>
            </w:pPr>
          </w:p>
        </w:tc>
        <w:tc>
          <w:tcPr>
            <w:tcW w:w="1348" w:type="pct"/>
            <w:tcBorders>
              <w:top w:val="single" w:sz="4" w:space="0" w:color="auto"/>
              <w:left w:val="nil"/>
              <w:bottom w:val="single" w:sz="4" w:space="0" w:color="auto"/>
              <w:right w:val="single" w:sz="4" w:space="0" w:color="auto"/>
            </w:tcBorders>
          </w:tcPr>
          <w:p w14:paraId="5FC19410" w14:textId="77777777" w:rsidR="00400398" w:rsidRPr="00215594" w:rsidRDefault="00400398">
            <w:pPr>
              <w:pStyle w:val="TableCellCenter"/>
              <w:keepNext w:val="0"/>
              <w:keepLines w:val="0"/>
              <w:rPr>
                <w:sz w:val="22"/>
                <w:szCs w:val="22"/>
              </w:rPr>
            </w:pPr>
          </w:p>
        </w:tc>
      </w:tr>
      <w:tr w:rsidR="00400398" w:rsidRPr="00215594" w14:paraId="76E37F84" w14:textId="77777777" w:rsidTr="00D91337">
        <w:trPr>
          <w:cantSplit/>
          <w:jc w:val="center"/>
        </w:trPr>
        <w:tc>
          <w:tcPr>
            <w:tcW w:w="2290" w:type="pct"/>
            <w:tcBorders>
              <w:top w:val="single" w:sz="4" w:space="0" w:color="auto"/>
              <w:left w:val="single" w:sz="4" w:space="0" w:color="auto"/>
              <w:bottom w:val="single" w:sz="4" w:space="0" w:color="auto"/>
              <w:right w:val="single" w:sz="4" w:space="0" w:color="auto"/>
            </w:tcBorders>
          </w:tcPr>
          <w:p w14:paraId="397E8181" w14:textId="77777777" w:rsidR="00400398" w:rsidRPr="00215594" w:rsidRDefault="00400398">
            <w:pPr>
              <w:pStyle w:val="TableCellLeft"/>
              <w:keepNext w:val="0"/>
              <w:keepLines w:val="0"/>
              <w:ind w:left="360"/>
              <w:rPr>
                <w:sz w:val="22"/>
                <w:szCs w:val="22"/>
              </w:rPr>
            </w:pPr>
            <w:r w:rsidRPr="00215594">
              <w:rPr>
                <w:sz w:val="22"/>
                <w:szCs w:val="22"/>
              </w:rPr>
              <w:t>Mediana (meses)</w:t>
            </w:r>
          </w:p>
        </w:tc>
        <w:tc>
          <w:tcPr>
            <w:tcW w:w="1362" w:type="pct"/>
            <w:tcBorders>
              <w:top w:val="single" w:sz="4" w:space="0" w:color="auto"/>
              <w:left w:val="single" w:sz="4" w:space="0" w:color="auto"/>
              <w:bottom w:val="single" w:sz="4" w:space="0" w:color="auto"/>
              <w:right w:val="single" w:sz="4" w:space="0" w:color="auto"/>
            </w:tcBorders>
          </w:tcPr>
          <w:p w14:paraId="453AF84C" w14:textId="77777777" w:rsidR="00400398" w:rsidRPr="00215594" w:rsidRDefault="00400398">
            <w:pPr>
              <w:pStyle w:val="TableCellCenter"/>
              <w:keepNext w:val="0"/>
              <w:keepLines w:val="0"/>
              <w:rPr>
                <w:sz w:val="22"/>
                <w:szCs w:val="22"/>
              </w:rPr>
            </w:pPr>
            <w:r w:rsidRPr="00215594">
              <w:rPr>
                <w:sz w:val="22"/>
                <w:szCs w:val="22"/>
              </w:rPr>
              <w:t>4,5</w:t>
            </w:r>
          </w:p>
        </w:tc>
        <w:tc>
          <w:tcPr>
            <w:tcW w:w="1348" w:type="pct"/>
            <w:tcBorders>
              <w:top w:val="single" w:sz="4" w:space="0" w:color="auto"/>
              <w:left w:val="single" w:sz="4" w:space="0" w:color="auto"/>
              <w:bottom w:val="single" w:sz="4" w:space="0" w:color="auto"/>
              <w:right w:val="single" w:sz="4" w:space="0" w:color="auto"/>
            </w:tcBorders>
          </w:tcPr>
          <w:p w14:paraId="02544B90" w14:textId="77777777" w:rsidR="00400398" w:rsidRPr="00215594" w:rsidRDefault="00400398">
            <w:pPr>
              <w:pStyle w:val="TableCellCenter"/>
              <w:keepNext w:val="0"/>
              <w:keepLines w:val="0"/>
              <w:rPr>
                <w:sz w:val="22"/>
                <w:szCs w:val="22"/>
              </w:rPr>
            </w:pPr>
            <w:r w:rsidRPr="00215594">
              <w:rPr>
                <w:sz w:val="22"/>
                <w:szCs w:val="22"/>
              </w:rPr>
              <w:t>7,5</w:t>
            </w:r>
          </w:p>
        </w:tc>
      </w:tr>
      <w:tr w:rsidR="00400398" w:rsidRPr="00215594" w14:paraId="25100141" w14:textId="77777777" w:rsidTr="00D91337">
        <w:trPr>
          <w:cantSplit/>
          <w:jc w:val="center"/>
        </w:trPr>
        <w:tc>
          <w:tcPr>
            <w:tcW w:w="2290" w:type="pct"/>
            <w:tcBorders>
              <w:top w:val="single" w:sz="4" w:space="0" w:color="auto"/>
              <w:left w:val="single" w:sz="4" w:space="0" w:color="auto"/>
              <w:bottom w:val="single" w:sz="4" w:space="0" w:color="auto"/>
              <w:right w:val="single" w:sz="4" w:space="0" w:color="auto"/>
            </w:tcBorders>
          </w:tcPr>
          <w:p w14:paraId="109FF19B" w14:textId="77777777" w:rsidR="00400398" w:rsidRPr="00215594" w:rsidRDefault="00400398">
            <w:pPr>
              <w:pStyle w:val="TableCellLeft"/>
              <w:keepNext w:val="0"/>
              <w:keepLines w:val="0"/>
              <w:ind w:left="360"/>
              <w:rPr>
                <w:i/>
                <w:sz w:val="22"/>
                <w:szCs w:val="22"/>
              </w:rPr>
            </w:pPr>
            <w:r w:rsidRPr="00215594">
              <w:rPr>
                <w:i/>
                <w:sz w:val="22"/>
                <w:szCs w:val="22"/>
              </w:rPr>
              <w:t xml:space="preserve">Hazard </w:t>
            </w:r>
            <w:r w:rsidR="003F3D13">
              <w:rPr>
                <w:i/>
                <w:sz w:val="22"/>
                <w:szCs w:val="22"/>
              </w:rPr>
              <w:t>r</w:t>
            </w:r>
            <w:r w:rsidRPr="00215594">
              <w:rPr>
                <w:i/>
                <w:sz w:val="22"/>
                <w:szCs w:val="22"/>
              </w:rPr>
              <w:t xml:space="preserve">atio </w:t>
            </w:r>
            <w:r w:rsidRPr="00215594">
              <w:rPr>
                <w:sz w:val="22"/>
                <w:szCs w:val="22"/>
              </w:rPr>
              <w:t>(taxa de risco)</w:t>
            </w:r>
          </w:p>
        </w:tc>
        <w:tc>
          <w:tcPr>
            <w:tcW w:w="2710" w:type="pct"/>
            <w:gridSpan w:val="2"/>
            <w:tcBorders>
              <w:top w:val="single" w:sz="4" w:space="0" w:color="auto"/>
              <w:left w:val="single" w:sz="4" w:space="0" w:color="auto"/>
              <w:bottom w:val="single" w:sz="4" w:space="0" w:color="auto"/>
              <w:right w:val="single" w:sz="4" w:space="0" w:color="auto"/>
            </w:tcBorders>
          </w:tcPr>
          <w:p w14:paraId="63047B15" w14:textId="77777777" w:rsidR="00400398" w:rsidRPr="00215594" w:rsidRDefault="00400398">
            <w:pPr>
              <w:pStyle w:val="TableCellCenter"/>
              <w:keepNext w:val="0"/>
              <w:keepLines w:val="0"/>
              <w:rPr>
                <w:sz w:val="22"/>
                <w:szCs w:val="22"/>
              </w:rPr>
            </w:pPr>
            <w:r w:rsidRPr="00215594">
              <w:rPr>
                <w:sz w:val="22"/>
                <w:szCs w:val="22"/>
              </w:rPr>
              <w:t>0,518</w:t>
            </w:r>
          </w:p>
          <w:p w14:paraId="3DF2C22D" w14:textId="77777777" w:rsidR="00400398" w:rsidRPr="00215594" w:rsidRDefault="00400398">
            <w:pPr>
              <w:pStyle w:val="TableCellCenter"/>
              <w:keepNext w:val="0"/>
              <w:keepLines w:val="0"/>
              <w:rPr>
                <w:sz w:val="22"/>
                <w:szCs w:val="22"/>
              </w:rPr>
            </w:pPr>
            <w:r w:rsidRPr="00215594">
              <w:rPr>
                <w:sz w:val="22"/>
                <w:szCs w:val="22"/>
              </w:rPr>
              <w:t xml:space="preserve">(valor de p </w:t>
            </w:r>
            <w:r w:rsidRPr="00215594">
              <w:rPr>
                <w:rFonts w:ascii="Symbol" w:hAnsi="Symbol"/>
                <w:sz w:val="22"/>
                <w:szCs w:val="22"/>
              </w:rPr>
              <w:t></w:t>
            </w:r>
            <w:r w:rsidRPr="00215594">
              <w:rPr>
                <w:sz w:val="22"/>
                <w:szCs w:val="22"/>
              </w:rPr>
              <w:t> 0,0001)</w:t>
            </w:r>
          </w:p>
        </w:tc>
      </w:tr>
      <w:tr w:rsidR="00400398" w:rsidRPr="00215594" w14:paraId="5DC93670" w14:textId="77777777" w:rsidTr="00D91337">
        <w:trPr>
          <w:cantSplit/>
          <w:jc w:val="center"/>
        </w:trPr>
        <w:tc>
          <w:tcPr>
            <w:tcW w:w="2290" w:type="pct"/>
            <w:tcBorders>
              <w:top w:val="single" w:sz="4" w:space="0" w:color="auto"/>
              <w:left w:val="single" w:sz="4" w:space="0" w:color="auto"/>
              <w:bottom w:val="single" w:sz="4" w:space="0" w:color="auto"/>
            </w:tcBorders>
          </w:tcPr>
          <w:p w14:paraId="720CEA56" w14:textId="77777777" w:rsidR="00400398" w:rsidRPr="00215594" w:rsidRDefault="00400398" w:rsidP="00711068">
            <w:pPr>
              <w:pStyle w:val="TableCellLeft"/>
              <w:keepNext w:val="0"/>
              <w:keepLines w:val="0"/>
              <w:rPr>
                <w:sz w:val="22"/>
                <w:szCs w:val="22"/>
              </w:rPr>
            </w:pPr>
            <w:r w:rsidRPr="00215594">
              <w:rPr>
                <w:sz w:val="22"/>
                <w:szCs w:val="22"/>
              </w:rPr>
              <w:t>Taxa de resposta objetiva</w:t>
            </w:r>
          </w:p>
        </w:tc>
        <w:tc>
          <w:tcPr>
            <w:tcW w:w="1362" w:type="pct"/>
            <w:tcBorders>
              <w:top w:val="single" w:sz="4" w:space="0" w:color="auto"/>
              <w:left w:val="nil"/>
              <w:bottom w:val="single" w:sz="4" w:space="0" w:color="auto"/>
            </w:tcBorders>
          </w:tcPr>
          <w:p w14:paraId="7486C945" w14:textId="77777777" w:rsidR="00400398" w:rsidRPr="00215594" w:rsidRDefault="00400398">
            <w:pPr>
              <w:pStyle w:val="TableCellCenter"/>
              <w:keepNext w:val="0"/>
              <w:keepLines w:val="0"/>
              <w:rPr>
                <w:sz w:val="22"/>
                <w:szCs w:val="22"/>
              </w:rPr>
            </w:pPr>
          </w:p>
        </w:tc>
        <w:tc>
          <w:tcPr>
            <w:tcW w:w="1348" w:type="pct"/>
            <w:tcBorders>
              <w:top w:val="single" w:sz="4" w:space="0" w:color="auto"/>
              <w:left w:val="nil"/>
              <w:bottom w:val="single" w:sz="4" w:space="0" w:color="auto"/>
              <w:right w:val="single" w:sz="4" w:space="0" w:color="auto"/>
            </w:tcBorders>
          </w:tcPr>
          <w:p w14:paraId="71E448C9" w14:textId="77777777" w:rsidR="00400398" w:rsidRPr="00215594" w:rsidRDefault="00400398">
            <w:pPr>
              <w:pStyle w:val="TableCellCenter"/>
              <w:keepNext w:val="0"/>
              <w:keepLines w:val="0"/>
              <w:rPr>
                <w:sz w:val="22"/>
                <w:szCs w:val="22"/>
              </w:rPr>
            </w:pPr>
          </w:p>
        </w:tc>
      </w:tr>
      <w:tr w:rsidR="00400398" w:rsidRPr="00215594" w14:paraId="3F7F40C8" w14:textId="77777777" w:rsidTr="00D91337">
        <w:trPr>
          <w:cantSplit/>
          <w:jc w:val="center"/>
        </w:trPr>
        <w:tc>
          <w:tcPr>
            <w:tcW w:w="2290" w:type="pct"/>
            <w:tcBorders>
              <w:top w:val="single" w:sz="4" w:space="0" w:color="auto"/>
              <w:left w:val="single" w:sz="4" w:space="0" w:color="auto"/>
              <w:bottom w:val="single" w:sz="4" w:space="0" w:color="auto"/>
              <w:right w:val="single" w:sz="4" w:space="0" w:color="auto"/>
            </w:tcBorders>
          </w:tcPr>
          <w:p w14:paraId="0B3A446D" w14:textId="77777777" w:rsidR="00400398" w:rsidRPr="00215594" w:rsidRDefault="00400398">
            <w:pPr>
              <w:pStyle w:val="TableCellLeft"/>
              <w:keepNext w:val="0"/>
              <w:keepLines w:val="0"/>
              <w:ind w:left="360"/>
              <w:rPr>
                <w:sz w:val="22"/>
                <w:szCs w:val="22"/>
              </w:rPr>
            </w:pPr>
            <w:r w:rsidRPr="00215594">
              <w:rPr>
                <w:sz w:val="22"/>
                <w:szCs w:val="22"/>
              </w:rPr>
              <w:t>Taxa</w:t>
            </w:r>
          </w:p>
        </w:tc>
        <w:tc>
          <w:tcPr>
            <w:tcW w:w="1362" w:type="pct"/>
            <w:tcBorders>
              <w:top w:val="single" w:sz="4" w:space="0" w:color="auto"/>
              <w:left w:val="single" w:sz="4" w:space="0" w:color="auto"/>
              <w:bottom w:val="single" w:sz="4" w:space="0" w:color="auto"/>
              <w:right w:val="single" w:sz="4" w:space="0" w:color="auto"/>
            </w:tcBorders>
          </w:tcPr>
          <w:p w14:paraId="555FC5FD" w14:textId="77777777" w:rsidR="00400398" w:rsidRPr="00215594" w:rsidRDefault="00400398">
            <w:pPr>
              <w:pStyle w:val="TableCellCenter"/>
              <w:keepNext w:val="0"/>
              <w:keepLines w:val="0"/>
              <w:rPr>
                <w:sz w:val="22"/>
                <w:szCs w:val="22"/>
              </w:rPr>
            </w:pPr>
            <w:r w:rsidRPr="00215594">
              <w:rPr>
                <w:sz w:val="22"/>
                <w:szCs w:val="22"/>
              </w:rPr>
              <w:t>8,6%</w:t>
            </w:r>
          </w:p>
        </w:tc>
        <w:tc>
          <w:tcPr>
            <w:tcW w:w="1348" w:type="pct"/>
            <w:tcBorders>
              <w:top w:val="single" w:sz="4" w:space="0" w:color="auto"/>
              <w:left w:val="single" w:sz="4" w:space="0" w:color="auto"/>
              <w:bottom w:val="single" w:sz="4" w:space="0" w:color="auto"/>
              <w:right w:val="single" w:sz="4" w:space="0" w:color="auto"/>
            </w:tcBorders>
          </w:tcPr>
          <w:p w14:paraId="563B642F" w14:textId="77777777" w:rsidR="00400398" w:rsidRPr="00215594" w:rsidRDefault="00400398">
            <w:pPr>
              <w:pStyle w:val="TableCellCenter"/>
              <w:keepNext w:val="0"/>
              <w:keepLines w:val="0"/>
              <w:rPr>
                <w:sz w:val="22"/>
                <w:szCs w:val="22"/>
              </w:rPr>
            </w:pPr>
            <w:r w:rsidRPr="00215594">
              <w:rPr>
                <w:sz w:val="22"/>
                <w:szCs w:val="22"/>
              </w:rPr>
              <w:t>22,2%</w:t>
            </w:r>
          </w:p>
        </w:tc>
      </w:tr>
      <w:tr w:rsidR="00400398" w:rsidRPr="00215594" w14:paraId="334B0D76" w14:textId="77777777" w:rsidTr="00D91337">
        <w:trPr>
          <w:cantSplit/>
          <w:jc w:val="center"/>
        </w:trPr>
        <w:tc>
          <w:tcPr>
            <w:tcW w:w="2290" w:type="pct"/>
            <w:tcBorders>
              <w:top w:val="single" w:sz="4" w:space="0" w:color="auto"/>
              <w:left w:val="single" w:sz="4" w:space="0" w:color="auto"/>
              <w:bottom w:val="single" w:sz="4" w:space="0" w:color="auto"/>
              <w:right w:val="single" w:sz="4" w:space="0" w:color="auto"/>
            </w:tcBorders>
          </w:tcPr>
          <w:p w14:paraId="0FE50D1B" w14:textId="77777777" w:rsidR="00400398" w:rsidRPr="00215594" w:rsidRDefault="00400398">
            <w:pPr>
              <w:pStyle w:val="TableCellLeft"/>
              <w:keepNext w:val="0"/>
              <w:keepLines w:val="0"/>
              <w:ind w:left="360"/>
              <w:rPr>
                <w:sz w:val="22"/>
                <w:szCs w:val="22"/>
              </w:rPr>
            </w:pPr>
          </w:p>
        </w:tc>
        <w:tc>
          <w:tcPr>
            <w:tcW w:w="2710" w:type="pct"/>
            <w:gridSpan w:val="2"/>
            <w:tcBorders>
              <w:top w:val="single" w:sz="4" w:space="0" w:color="auto"/>
              <w:left w:val="single" w:sz="4" w:space="0" w:color="auto"/>
              <w:bottom w:val="single" w:sz="4" w:space="0" w:color="auto"/>
              <w:right w:val="single" w:sz="4" w:space="0" w:color="auto"/>
            </w:tcBorders>
          </w:tcPr>
          <w:p w14:paraId="61346D1E" w14:textId="77777777" w:rsidR="00400398" w:rsidRPr="00215594" w:rsidRDefault="00400398">
            <w:pPr>
              <w:pStyle w:val="TableCellCenter"/>
              <w:keepNext w:val="0"/>
              <w:keepLines w:val="0"/>
              <w:rPr>
                <w:sz w:val="22"/>
                <w:szCs w:val="22"/>
              </w:rPr>
            </w:pPr>
            <w:r w:rsidRPr="00215594">
              <w:rPr>
                <w:sz w:val="22"/>
                <w:szCs w:val="22"/>
              </w:rPr>
              <w:t xml:space="preserve">(valor de p </w:t>
            </w:r>
            <w:r w:rsidRPr="00215594">
              <w:rPr>
                <w:rFonts w:ascii="Symbol" w:hAnsi="Symbol"/>
                <w:sz w:val="22"/>
                <w:szCs w:val="22"/>
              </w:rPr>
              <w:t></w:t>
            </w:r>
            <w:r w:rsidRPr="00215594">
              <w:rPr>
                <w:rFonts w:ascii="Symbol" w:hAnsi="Symbol"/>
                <w:sz w:val="22"/>
                <w:szCs w:val="22"/>
              </w:rPr>
              <w:t></w:t>
            </w:r>
            <w:r w:rsidRPr="00215594">
              <w:rPr>
                <w:rFonts w:ascii="Symbol" w:hAnsi="Symbol"/>
                <w:sz w:val="22"/>
                <w:szCs w:val="22"/>
              </w:rPr>
              <w:t></w:t>
            </w:r>
            <w:r w:rsidRPr="00215594">
              <w:rPr>
                <w:rFonts w:ascii="Symbol" w:hAnsi="Symbol"/>
                <w:sz w:val="22"/>
                <w:szCs w:val="22"/>
              </w:rPr>
              <w:t></w:t>
            </w:r>
            <w:r w:rsidRPr="00215594">
              <w:rPr>
                <w:rFonts w:ascii="Symbol" w:hAnsi="Symbol"/>
                <w:sz w:val="22"/>
                <w:szCs w:val="22"/>
              </w:rPr>
              <w:t></w:t>
            </w:r>
            <w:r w:rsidRPr="00215594">
              <w:rPr>
                <w:rFonts w:ascii="Symbol" w:hAnsi="Symbol"/>
                <w:sz w:val="22"/>
                <w:szCs w:val="22"/>
              </w:rPr>
              <w:t></w:t>
            </w:r>
            <w:r w:rsidRPr="00215594">
              <w:rPr>
                <w:rFonts w:ascii="Symbol" w:hAnsi="Symbol"/>
                <w:sz w:val="22"/>
                <w:szCs w:val="22"/>
              </w:rPr>
              <w:t></w:t>
            </w:r>
            <w:r w:rsidRPr="00215594">
              <w:rPr>
                <w:rFonts w:ascii="Symbol" w:hAnsi="Symbol"/>
                <w:sz w:val="22"/>
                <w:szCs w:val="22"/>
              </w:rPr>
              <w:t></w:t>
            </w:r>
            <w:r w:rsidRPr="00215594">
              <w:rPr>
                <w:sz w:val="22"/>
                <w:szCs w:val="22"/>
              </w:rPr>
              <w:t>)</w:t>
            </w:r>
          </w:p>
        </w:tc>
      </w:tr>
      <w:tr w:rsidR="00400398" w:rsidRPr="00215594" w14:paraId="42928751" w14:textId="77777777" w:rsidTr="00D91337">
        <w:trPr>
          <w:cantSplit/>
          <w:jc w:val="center"/>
        </w:trPr>
        <w:tc>
          <w:tcPr>
            <w:tcW w:w="5000" w:type="pct"/>
            <w:gridSpan w:val="3"/>
            <w:tcBorders>
              <w:top w:val="single" w:sz="4" w:space="0" w:color="auto"/>
            </w:tcBorders>
          </w:tcPr>
          <w:p w14:paraId="6150417B" w14:textId="77777777" w:rsidR="00400398" w:rsidRPr="00215594" w:rsidRDefault="00400398">
            <w:pPr>
              <w:pStyle w:val="TableFooter"/>
              <w:keepNext w:val="0"/>
              <w:keepLines w:val="0"/>
              <w:tabs>
                <w:tab w:val="left" w:pos="1440"/>
              </w:tabs>
              <w:spacing w:before="40" w:after="40" w:line="240" w:lineRule="auto"/>
              <w:ind w:left="1440" w:hanging="1440"/>
            </w:pPr>
            <w:r w:rsidRPr="00215594">
              <w:rPr>
                <w:vertAlign w:val="superscript"/>
              </w:rPr>
              <w:t xml:space="preserve">a </w:t>
            </w:r>
            <w:r w:rsidRPr="00215594">
              <w:t>10 mg/kg de 2 em 2 semanas</w:t>
            </w:r>
          </w:p>
          <w:p w14:paraId="5EECEED0" w14:textId="77777777" w:rsidR="00400398" w:rsidRPr="00215594" w:rsidRDefault="00400398">
            <w:pPr>
              <w:rPr>
                <w:sz w:val="20"/>
              </w:rPr>
            </w:pPr>
            <w:r w:rsidRPr="00215594">
              <w:rPr>
                <w:sz w:val="20"/>
                <w:vertAlign w:val="superscript"/>
              </w:rPr>
              <w:t>b</w:t>
            </w:r>
            <w:r w:rsidRPr="00215594">
              <w:rPr>
                <w:sz w:val="20"/>
              </w:rPr>
              <w:t xml:space="preserve"> Relativamente ao braço de controlo</w:t>
            </w:r>
          </w:p>
        </w:tc>
      </w:tr>
    </w:tbl>
    <w:p w14:paraId="0A5DFB88" w14:textId="77777777" w:rsidR="00400398" w:rsidRPr="007232E4" w:rsidRDefault="00400398"/>
    <w:p w14:paraId="5287405C" w14:textId="77777777" w:rsidR="00400398" w:rsidRPr="007232E4" w:rsidRDefault="00400398">
      <w:pPr>
        <w:rPr>
          <w:szCs w:val="22"/>
        </w:rPr>
      </w:pPr>
      <w:r w:rsidRPr="007232E4">
        <w:rPr>
          <w:szCs w:val="22"/>
        </w:rPr>
        <w:t xml:space="preserve">Não foi observada diferença significativa na duração da </w:t>
      </w:r>
      <w:r w:rsidR="003F3D13">
        <w:rPr>
          <w:szCs w:val="22"/>
        </w:rPr>
        <w:t>OS</w:t>
      </w:r>
      <w:r w:rsidRPr="007232E4">
        <w:rPr>
          <w:szCs w:val="22"/>
        </w:rPr>
        <w:t xml:space="preserve"> entre doentes que receberam </w:t>
      </w:r>
      <w:r w:rsidR="00066BFF">
        <w:rPr>
          <w:szCs w:val="22"/>
        </w:rPr>
        <w:t>bevacizumab</w:t>
      </w:r>
      <w:r w:rsidR="00066BFF" w:rsidRPr="007232E4">
        <w:rPr>
          <w:szCs w:val="22"/>
        </w:rPr>
        <w:t xml:space="preserve"> </w:t>
      </w:r>
      <w:r w:rsidRPr="007232E4">
        <w:rPr>
          <w:szCs w:val="22"/>
        </w:rPr>
        <w:t xml:space="preserve">em monoterapia comparativamente a doentes tratados com FOLFOX-4. A </w:t>
      </w:r>
      <w:r w:rsidR="003F3D13">
        <w:rPr>
          <w:szCs w:val="22"/>
        </w:rPr>
        <w:t>PFS</w:t>
      </w:r>
      <w:r w:rsidRPr="007232E4">
        <w:rPr>
          <w:szCs w:val="22"/>
        </w:rPr>
        <w:t xml:space="preserve"> e a taxa de resposta objetiva foram inferiores no braço com </w:t>
      </w:r>
      <w:r w:rsidR="00066BFF">
        <w:rPr>
          <w:szCs w:val="22"/>
        </w:rPr>
        <w:t>bevacizumab</w:t>
      </w:r>
      <w:r w:rsidR="00066BFF" w:rsidRPr="007232E4">
        <w:rPr>
          <w:szCs w:val="22"/>
        </w:rPr>
        <w:t xml:space="preserve"> </w:t>
      </w:r>
      <w:r w:rsidRPr="007232E4">
        <w:rPr>
          <w:szCs w:val="22"/>
        </w:rPr>
        <w:t>em monoterapia comparativamente ao braço com FOLFOX-4.</w:t>
      </w:r>
    </w:p>
    <w:p w14:paraId="29BCECDA" w14:textId="77777777" w:rsidR="00400398" w:rsidRPr="007232E4" w:rsidRDefault="00400398">
      <w:pPr>
        <w:rPr>
          <w:bCs/>
        </w:rPr>
      </w:pPr>
    </w:p>
    <w:p w14:paraId="4FD74275" w14:textId="77777777" w:rsidR="00400398" w:rsidRPr="007232E4" w:rsidRDefault="00400398" w:rsidP="00A90124">
      <w:pPr>
        <w:rPr>
          <w:i/>
        </w:rPr>
      </w:pPr>
      <w:r w:rsidRPr="007232E4">
        <w:rPr>
          <w:i/>
        </w:rPr>
        <w:t xml:space="preserve">ML18147 </w:t>
      </w:r>
    </w:p>
    <w:p w14:paraId="101D657D" w14:textId="77777777" w:rsidR="00400398" w:rsidRPr="007232E4" w:rsidRDefault="00400398" w:rsidP="00A90124">
      <w:r w:rsidRPr="007232E4">
        <w:t xml:space="preserve">Este foi um ensaio de fase III, aleatorizado, controlado, aberto, para investigação de </w:t>
      </w:r>
      <w:r w:rsidR="00066BFF">
        <w:t>bevacizumab</w:t>
      </w:r>
      <w:r w:rsidR="00066BFF" w:rsidRPr="007232E4">
        <w:t xml:space="preserve"> </w:t>
      </w:r>
      <w:r w:rsidRPr="007232E4">
        <w:t xml:space="preserve">5,0 mg/kg administrado cada 2 semanas ou </w:t>
      </w:r>
      <w:r w:rsidR="00216910">
        <w:t>bevacizumab</w:t>
      </w:r>
      <w:r w:rsidR="00216910" w:rsidRPr="007232E4">
        <w:t xml:space="preserve"> </w:t>
      </w:r>
      <w:r w:rsidRPr="007232E4">
        <w:t xml:space="preserve">7,5 mg/kg administrado cada 3 semanas em associação com quimioterapia contendo fluoropirimidinas versus apenas quimioterapia contendo fluoropirimidinas em doentes com carcinoma metastizado do cólon ou do reto que progrediram durante uma primeira linha com regime contendo bevacizumab. </w:t>
      </w:r>
    </w:p>
    <w:p w14:paraId="52CB1DDD" w14:textId="77777777" w:rsidR="00AA2401" w:rsidRDefault="00AA2401" w:rsidP="00A90124"/>
    <w:p w14:paraId="55457CA1" w14:textId="77777777" w:rsidR="00400398" w:rsidRPr="007232E4" w:rsidRDefault="00400398" w:rsidP="00A90124">
      <w:r w:rsidRPr="007232E4">
        <w:t xml:space="preserve">Doentes com carcinoma metastizado do cólon ou do reto confirmado histologicamente e com progressão de doença nos 3 meses após a descontinuação de tratamento em primeira linha com bevacizumab, foram aleatorizados 1:1, para receber quimioterapia contendo fluoropirimidina/oxaliplatina ou fluoropirimidina/irinotecano com ou sem bevacizumab (quimioterapia foi substituida dependendo da quimioterapia de primeira linha). O tratamento foi administrado até progressão da doença ou toxicidade inaceitável. O objetivo primário foi a </w:t>
      </w:r>
      <w:r w:rsidR="003F3D13">
        <w:t>OS</w:t>
      </w:r>
      <w:r w:rsidRPr="007232E4">
        <w:t xml:space="preserve"> definida como o tempo desde a aleatorização até à morte por qualquer causa. </w:t>
      </w:r>
    </w:p>
    <w:p w14:paraId="65CB020E" w14:textId="77777777" w:rsidR="00AA2401" w:rsidRDefault="00AA2401" w:rsidP="00A90124"/>
    <w:p w14:paraId="381ABD8F" w14:textId="77777777" w:rsidR="00400398" w:rsidRPr="007232E4" w:rsidRDefault="00400398" w:rsidP="00A90124">
      <w:r w:rsidRPr="007232E4">
        <w:t xml:space="preserve">Foi aleatorizado um total de 820 doentes. A adição de bevacizumab a quimioterapia contendo fluoropirimidinas resultou num prolongamento da sobrevivência, estatisticamente significativo, em doentes com carcinoma metastizado do cólon ou do reto que progrediram com um regime contendo bevacizumab, em primeira linha (ITT = 819) (ver Tabela </w:t>
      </w:r>
      <w:r>
        <w:t>9</w:t>
      </w:r>
      <w:r w:rsidRPr="007232E4">
        <w:t>).</w:t>
      </w:r>
    </w:p>
    <w:p w14:paraId="74E6F50E" w14:textId="77777777" w:rsidR="00400398" w:rsidRPr="007232E4" w:rsidRDefault="00400398" w:rsidP="00A90124"/>
    <w:p w14:paraId="5B541FAF" w14:textId="77777777" w:rsidR="00F84709" w:rsidRPr="007B67CE" w:rsidRDefault="00400398" w:rsidP="00A73A88">
      <w:pPr>
        <w:keepNext/>
        <w:keepLines/>
        <w:ind w:left="1418" w:hanging="1418"/>
        <w:rPr>
          <w:b/>
        </w:rPr>
      </w:pPr>
      <w:r w:rsidRPr="007B67CE">
        <w:rPr>
          <w:b/>
        </w:rPr>
        <w:lastRenderedPageBreak/>
        <w:t>Tabela 9</w:t>
      </w:r>
      <w:r w:rsidRPr="007B67CE">
        <w:rPr>
          <w:b/>
        </w:rPr>
        <w:tab/>
        <w:t xml:space="preserve">Resultados de </w:t>
      </w:r>
      <w:r w:rsidR="00066BFF">
        <w:rPr>
          <w:b/>
        </w:rPr>
        <w:t>e</w:t>
      </w:r>
      <w:r w:rsidRPr="007B67CE">
        <w:rPr>
          <w:b/>
        </w:rPr>
        <w:t xml:space="preserve">ficácia do </w:t>
      </w:r>
      <w:r w:rsidR="00066BFF">
        <w:rPr>
          <w:b/>
        </w:rPr>
        <w:t>e</w:t>
      </w:r>
      <w:r w:rsidRPr="007B67CE">
        <w:rPr>
          <w:b/>
        </w:rPr>
        <w:t>studo ML18147 (população 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7"/>
        <w:gridCol w:w="2967"/>
        <w:gridCol w:w="2967"/>
      </w:tblGrid>
      <w:tr w:rsidR="00400398" w:rsidRPr="00215594" w14:paraId="52168789" w14:textId="77777777" w:rsidTr="00D91337">
        <w:tc>
          <w:tcPr>
            <w:tcW w:w="1805" w:type="pct"/>
          </w:tcPr>
          <w:p w14:paraId="45505151" w14:textId="77777777" w:rsidR="00400398" w:rsidRPr="00215594" w:rsidRDefault="00400398" w:rsidP="00A73A88">
            <w:pPr>
              <w:pStyle w:val="TextTi12"/>
              <w:keepNext/>
              <w:keepLines/>
              <w:spacing w:after="0"/>
              <w:jc w:val="center"/>
              <w:rPr>
                <w:sz w:val="22"/>
                <w:szCs w:val="22"/>
              </w:rPr>
            </w:pPr>
          </w:p>
        </w:tc>
        <w:tc>
          <w:tcPr>
            <w:tcW w:w="3195" w:type="pct"/>
            <w:gridSpan w:val="2"/>
          </w:tcPr>
          <w:p w14:paraId="354C7AFA" w14:textId="77777777" w:rsidR="00400398" w:rsidRPr="001E05C2" w:rsidRDefault="00400398" w:rsidP="00A73A88">
            <w:pPr>
              <w:pStyle w:val="TextTi12"/>
              <w:keepNext/>
              <w:keepLines/>
              <w:spacing w:after="0"/>
              <w:jc w:val="center"/>
              <w:rPr>
                <w:b/>
                <w:noProof/>
                <w:sz w:val="22"/>
              </w:rPr>
            </w:pPr>
            <w:r w:rsidRPr="001E05C2">
              <w:rPr>
                <w:b/>
                <w:noProof/>
                <w:sz w:val="22"/>
              </w:rPr>
              <w:t>ML18147</w:t>
            </w:r>
          </w:p>
        </w:tc>
      </w:tr>
      <w:tr w:rsidR="00400398" w:rsidRPr="00215594" w14:paraId="62708E18" w14:textId="77777777" w:rsidTr="00D91337">
        <w:tc>
          <w:tcPr>
            <w:tcW w:w="1805" w:type="pct"/>
          </w:tcPr>
          <w:p w14:paraId="455A6DE2" w14:textId="77777777" w:rsidR="00400398" w:rsidRPr="00215594" w:rsidRDefault="00400398" w:rsidP="00AC23F0">
            <w:pPr>
              <w:pStyle w:val="TextTi12"/>
              <w:keepNext/>
              <w:spacing w:after="0"/>
              <w:ind w:left="567" w:hanging="567"/>
              <w:jc w:val="center"/>
              <w:outlineLvl w:val="0"/>
              <w:rPr>
                <w:noProof/>
                <w:sz w:val="22"/>
              </w:rPr>
            </w:pPr>
          </w:p>
        </w:tc>
        <w:tc>
          <w:tcPr>
            <w:tcW w:w="1597" w:type="pct"/>
          </w:tcPr>
          <w:p w14:paraId="39364C25" w14:textId="77777777" w:rsidR="00400398" w:rsidRPr="001E05C2" w:rsidRDefault="00400398" w:rsidP="00AC23F0">
            <w:pPr>
              <w:pStyle w:val="TextTi12"/>
              <w:keepNext/>
              <w:spacing w:after="0"/>
              <w:jc w:val="center"/>
              <w:rPr>
                <w:b/>
                <w:sz w:val="22"/>
                <w:szCs w:val="22"/>
              </w:rPr>
            </w:pPr>
            <w:r w:rsidRPr="001E05C2">
              <w:rPr>
                <w:b/>
                <w:sz w:val="22"/>
                <w:szCs w:val="22"/>
              </w:rPr>
              <w:t xml:space="preserve">quimioterapia contendo fluoropirimidina/irinotecano ou fluoropirimidina/oxaliplatina </w:t>
            </w:r>
          </w:p>
        </w:tc>
        <w:tc>
          <w:tcPr>
            <w:tcW w:w="1597" w:type="pct"/>
          </w:tcPr>
          <w:p w14:paraId="7314077F" w14:textId="77777777" w:rsidR="00400398" w:rsidRPr="001E05C2" w:rsidRDefault="00400398" w:rsidP="00066BFF">
            <w:pPr>
              <w:pStyle w:val="TextTi12"/>
              <w:keepNext/>
              <w:spacing w:after="0"/>
              <w:jc w:val="center"/>
              <w:rPr>
                <w:b/>
                <w:sz w:val="22"/>
                <w:szCs w:val="22"/>
                <w:vertAlign w:val="superscript"/>
              </w:rPr>
            </w:pPr>
            <w:r w:rsidRPr="001E05C2">
              <w:rPr>
                <w:b/>
                <w:sz w:val="22"/>
                <w:szCs w:val="22"/>
              </w:rPr>
              <w:t xml:space="preserve">quimioterapia contendo fluoropirimidina/irinotecano ou fluoropirimidina/oxaliplatina + </w:t>
            </w:r>
            <w:r w:rsidR="00066BFF" w:rsidRPr="001E05C2">
              <w:rPr>
                <w:b/>
                <w:sz w:val="22"/>
                <w:szCs w:val="22"/>
              </w:rPr>
              <w:t>bevacizumab</w:t>
            </w:r>
            <w:r w:rsidR="00066BFF" w:rsidRPr="001E05C2">
              <w:rPr>
                <w:b/>
                <w:sz w:val="22"/>
                <w:szCs w:val="22"/>
                <w:vertAlign w:val="superscript"/>
              </w:rPr>
              <w:t>a</w:t>
            </w:r>
          </w:p>
        </w:tc>
      </w:tr>
      <w:tr w:rsidR="00400398" w:rsidRPr="00215594" w14:paraId="3B360619" w14:textId="77777777" w:rsidTr="00D91337">
        <w:tc>
          <w:tcPr>
            <w:tcW w:w="1805" w:type="pct"/>
          </w:tcPr>
          <w:p w14:paraId="13080B68" w14:textId="7B8AEB24" w:rsidR="00400398" w:rsidRPr="00215594" w:rsidRDefault="00400398" w:rsidP="001259C1">
            <w:pPr>
              <w:pStyle w:val="TextTi12"/>
              <w:spacing w:after="0"/>
              <w:jc w:val="left"/>
              <w:rPr>
                <w:noProof/>
                <w:sz w:val="22"/>
              </w:rPr>
            </w:pPr>
            <w:r w:rsidRPr="00215594">
              <w:rPr>
                <w:noProof/>
                <w:sz w:val="22"/>
              </w:rPr>
              <w:t xml:space="preserve">Número de </w:t>
            </w:r>
            <w:r w:rsidR="00096F93">
              <w:rPr>
                <w:noProof/>
                <w:sz w:val="22"/>
              </w:rPr>
              <w:t>d</w:t>
            </w:r>
            <w:r w:rsidRPr="00215594">
              <w:rPr>
                <w:noProof/>
                <w:sz w:val="22"/>
              </w:rPr>
              <w:t>oentes</w:t>
            </w:r>
          </w:p>
        </w:tc>
        <w:tc>
          <w:tcPr>
            <w:tcW w:w="1597" w:type="pct"/>
          </w:tcPr>
          <w:p w14:paraId="36AA62B5" w14:textId="77777777" w:rsidR="00400398" w:rsidRPr="00215594" w:rsidRDefault="00400398" w:rsidP="001259C1">
            <w:pPr>
              <w:pStyle w:val="TextTi12"/>
              <w:spacing w:after="0"/>
              <w:jc w:val="center"/>
              <w:rPr>
                <w:noProof/>
                <w:sz w:val="22"/>
              </w:rPr>
            </w:pPr>
            <w:r w:rsidRPr="00215594">
              <w:rPr>
                <w:noProof/>
                <w:sz w:val="22"/>
              </w:rPr>
              <w:t>410</w:t>
            </w:r>
          </w:p>
        </w:tc>
        <w:tc>
          <w:tcPr>
            <w:tcW w:w="1597" w:type="pct"/>
          </w:tcPr>
          <w:p w14:paraId="41998FFF" w14:textId="77777777" w:rsidR="00400398" w:rsidRPr="00215594" w:rsidRDefault="00400398" w:rsidP="001259C1">
            <w:pPr>
              <w:pStyle w:val="TextTi12"/>
              <w:spacing w:after="0"/>
              <w:jc w:val="center"/>
              <w:rPr>
                <w:noProof/>
                <w:sz w:val="22"/>
              </w:rPr>
            </w:pPr>
            <w:r w:rsidRPr="00215594">
              <w:rPr>
                <w:noProof/>
                <w:sz w:val="22"/>
              </w:rPr>
              <w:t>409</w:t>
            </w:r>
          </w:p>
        </w:tc>
      </w:tr>
      <w:tr w:rsidR="00400398" w:rsidRPr="00215594" w14:paraId="39EF9415" w14:textId="77777777" w:rsidTr="00D91337">
        <w:tc>
          <w:tcPr>
            <w:tcW w:w="1805" w:type="pct"/>
          </w:tcPr>
          <w:p w14:paraId="2294CC78" w14:textId="77777777" w:rsidR="00400398" w:rsidRPr="00845F46" w:rsidRDefault="00400398" w:rsidP="001259C1">
            <w:pPr>
              <w:pStyle w:val="TextTi12"/>
              <w:spacing w:after="0"/>
              <w:jc w:val="left"/>
              <w:rPr>
                <w:b/>
                <w:bCs/>
                <w:noProof/>
                <w:sz w:val="22"/>
              </w:rPr>
            </w:pPr>
            <w:r w:rsidRPr="00845F46">
              <w:rPr>
                <w:b/>
                <w:bCs/>
                <w:noProof/>
                <w:sz w:val="22"/>
              </w:rPr>
              <w:t xml:space="preserve">Sobrevivência </w:t>
            </w:r>
            <w:r w:rsidR="003F3D13" w:rsidRPr="00845F46">
              <w:rPr>
                <w:b/>
                <w:bCs/>
                <w:noProof/>
                <w:sz w:val="22"/>
              </w:rPr>
              <w:t>g</w:t>
            </w:r>
            <w:r w:rsidRPr="00845F46">
              <w:rPr>
                <w:b/>
                <w:bCs/>
                <w:noProof/>
                <w:sz w:val="22"/>
              </w:rPr>
              <w:t>lobal</w:t>
            </w:r>
          </w:p>
        </w:tc>
        <w:tc>
          <w:tcPr>
            <w:tcW w:w="3195" w:type="pct"/>
            <w:gridSpan w:val="2"/>
          </w:tcPr>
          <w:p w14:paraId="4174D3D6" w14:textId="77777777" w:rsidR="00400398" w:rsidRPr="00215594" w:rsidRDefault="00400398" w:rsidP="001259C1">
            <w:pPr>
              <w:pStyle w:val="TextTi12"/>
              <w:spacing w:after="0"/>
              <w:jc w:val="center"/>
              <w:rPr>
                <w:noProof/>
                <w:sz w:val="22"/>
              </w:rPr>
            </w:pPr>
          </w:p>
        </w:tc>
      </w:tr>
      <w:tr w:rsidR="00400398" w:rsidRPr="00215594" w14:paraId="6A95C0B8" w14:textId="77777777" w:rsidTr="00D91337">
        <w:tc>
          <w:tcPr>
            <w:tcW w:w="1805" w:type="pct"/>
          </w:tcPr>
          <w:p w14:paraId="3710AD37" w14:textId="77777777" w:rsidR="00400398" w:rsidRPr="00215594" w:rsidRDefault="00400398" w:rsidP="007B4A1B">
            <w:pPr>
              <w:pStyle w:val="TextTi12"/>
              <w:spacing w:after="0"/>
              <w:jc w:val="left"/>
              <w:rPr>
                <w:noProof/>
                <w:sz w:val="22"/>
              </w:rPr>
            </w:pPr>
            <w:r w:rsidRPr="00215594">
              <w:rPr>
                <w:noProof/>
                <w:sz w:val="22"/>
              </w:rPr>
              <w:t>Mediana (meses)</w:t>
            </w:r>
          </w:p>
        </w:tc>
        <w:tc>
          <w:tcPr>
            <w:tcW w:w="1597" w:type="pct"/>
          </w:tcPr>
          <w:p w14:paraId="15D1EAAE" w14:textId="77777777" w:rsidR="00400398" w:rsidRPr="00215594" w:rsidRDefault="00400398" w:rsidP="001259C1">
            <w:pPr>
              <w:pStyle w:val="TextTi12"/>
              <w:spacing w:after="0"/>
              <w:jc w:val="center"/>
              <w:rPr>
                <w:noProof/>
                <w:sz w:val="22"/>
              </w:rPr>
            </w:pPr>
            <w:r w:rsidRPr="00215594">
              <w:rPr>
                <w:noProof/>
                <w:sz w:val="22"/>
              </w:rPr>
              <w:t>9,8</w:t>
            </w:r>
          </w:p>
        </w:tc>
        <w:tc>
          <w:tcPr>
            <w:tcW w:w="1597" w:type="pct"/>
          </w:tcPr>
          <w:p w14:paraId="3124C491" w14:textId="77777777" w:rsidR="00400398" w:rsidRPr="00215594" w:rsidRDefault="00400398" w:rsidP="001259C1">
            <w:pPr>
              <w:pStyle w:val="TextTi12"/>
              <w:spacing w:after="0"/>
              <w:jc w:val="center"/>
              <w:rPr>
                <w:noProof/>
                <w:sz w:val="22"/>
              </w:rPr>
            </w:pPr>
            <w:r w:rsidRPr="00215594">
              <w:rPr>
                <w:noProof/>
                <w:sz w:val="22"/>
              </w:rPr>
              <w:t>11,2</w:t>
            </w:r>
          </w:p>
        </w:tc>
      </w:tr>
      <w:tr w:rsidR="00400398" w:rsidRPr="00215594" w14:paraId="6D7458EF" w14:textId="77777777" w:rsidTr="00D91337">
        <w:tc>
          <w:tcPr>
            <w:tcW w:w="1805" w:type="pct"/>
          </w:tcPr>
          <w:p w14:paraId="0E0F4F14" w14:textId="77777777" w:rsidR="00400398" w:rsidRPr="00215594" w:rsidRDefault="00400398" w:rsidP="007B4A1B">
            <w:pPr>
              <w:pStyle w:val="TextTi12"/>
              <w:spacing w:after="0" w:line="240" w:lineRule="auto"/>
              <w:rPr>
                <w:rFonts w:cs="Arial"/>
                <w:i/>
                <w:sz w:val="22"/>
                <w:szCs w:val="22"/>
              </w:rPr>
            </w:pPr>
            <w:r w:rsidRPr="00215594">
              <w:rPr>
                <w:rFonts w:cs="Arial"/>
                <w:i/>
                <w:sz w:val="22"/>
                <w:szCs w:val="22"/>
              </w:rPr>
              <w:t xml:space="preserve">Hazard ratio </w:t>
            </w:r>
            <w:r w:rsidRPr="00215594">
              <w:rPr>
                <w:sz w:val="22"/>
                <w:szCs w:val="22"/>
              </w:rPr>
              <w:t>(taxa de risco)</w:t>
            </w:r>
          </w:p>
          <w:p w14:paraId="7C596BE2" w14:textId="77777777" w:rsidR="00400398" w:rsidRPr="002535A3" w:rsidRDefault="00400398" w:rsidP="007B4A1B">
            <w:pPr>
              <w:pStyle w:val="TextTi12"/>
              <w:spacing w:after="0" w:line="240" w:lineRule="auto"/>
              <w:jc w:val="left"/>
              <w:rPr>
                <w:rFonts w:cs="Arial"/>
                <w:sz w:val="22"/>
                <w:szCs w:val="22"/>
                <w:vertAlign w:val="superscript"/>
              </w:rPr>
            </w:pPr>
            <w:r w:rsidRPr="00AF2A1A">
              <w:rPr>
                <w:rFonts w:cs="Arial"/>
                <w:sz w:val="22"/>
                <w:szCs w:val="22"/>
              </w:rPr>
              <w:t>(Interv</w:t>
            </w:r>
            <w:r w:rsidRPr="002535A3">
              <w:rPr>
                <w:rFonts w:cs="Arial"/>
                <w:sz w:val="22"/>
                <w:szCs w:val="22"/>
              </w:rPr>
              <w:t>alo de confiança de 95%)</w:t>
            </w:r>
          </w:p>
        </w:tc>
        <w:tc>
          <w:tcPr>
            <w:tcW w:w="3195" w:type="pct"/>
            <w:gridSpan w:val="2"/>
          </w:tcPr>
          <w:p w14:paraId="0D8CB118" w14:textId="77777777" w:rsidR="00400398" w:rsidRPr="00215594" w:rsidRDefault="00400398" w:rsidP="007B4A1B">
            <w:pPr>
              <w:pStyle w:val="TextTi12"/>
              <w:spacing w:after="0" w:line="240" w:lineRule="auto"/>
              <w:jc w:val="center"/>
              <w:rPr>
                <w:noProof/>
                <w:sz w:val="22"/>
              </w:rPr>
            </w:pPr>
            <w:r w:rsidRPr="00215594">
              <w:rPr>
                <w:noProof/>
                <w:sz w:val="22"/>
              </w:rPr>
              <w:t>0,81 (0,69</w:t>
            </w:r>
            <w:r w:rsidR="00F84709" w:rsidRPr="00215594">
              <w:rPr>
                <w:noProof/>
                <w:sz w:val="22"/>
              </w:rPr>
              <w:t>;</w:t>
            </w:r>
            <w:r w:rsidRPr="00215594">
              <w:rPr>
                <w:noProof/>
                <w:sz w:val="22"/>
              </w:rPr>
              <w:t xml:space="preserve"> 0,94)</w:t>
            </w:r>
          </w:p>
          <w:p w14:paraId="6972A016" w14:textId="77777777" w:rsidR="00400398" w:rsidRPr="00215594" w:rsidRDefault="00400398" w:rsidP="007B4A1B">
            <w:pPr>
              <w:pStyle w:val="TextTi12"/>
              <w:spacing w:after="0" w:line="240" w:lineRule="auto"/>
              <w:jc w:val="center"/>
              <w:rPr>
                <w:noProof/>
                <w:sz w:val="22"/>
              </w:rPr>
            </w:pPr>
            <w:r w:rsidRPr="00215594">
              <w:rPr>
                <w:noProof/>
                <w:sz w:val="22"/>
              </w:rPr>
              <w:t>(valor de p = 0,0062)</w:t>
            </w:r>
          </w:p>
        </w:tc>
      </w:tr>
      <w:tr w:rsidR="00400398" w:rsidRPr="00215594" w14:paraId="2396C457" w14:textId="77777777" w:rsidTr="00D91337">
        <w:tc>
          <w:tcPr>
            <w:tcW w:w="1805" w:type="pct"/>
          </w:tcPr>
          <w:p w14:paraId="2384CD13" w14:textId="77777777" w:rsidR="00400398" w:rsidRPr="00845F46" w:rsidRDefault="00400398" w:rsidP="001259C1">
            <w:pPr>
              <w:pStyle w:val="TextTi12"/>
              <w:spacing w:after="0"/>
              <w:jc w:val="left"/>
              <w:rPr>
                <w:rFonts w:cs="Arial"/>
                <w:b/>
                <w:bCs/>
                <w:sz w:val="22"/>
                <w:szCs w:val="22"/>
              </w:rPr>
            </w:pPr>
            <w:r w:rsidRPr="00845F46">
              <w:rPr>
                <w:b/>
                <w:bCs/>
                <w:sz w:val="22"/>
                <w:szCs w:val="22"/>
              </w:rPr>
              <w:t>Sobrevivência livre de progressão</w:t>
            </w:r>
          </w:p>
        </w:tc>
        <w:tc>
          <w:tcPr>
            <w:tcW w:w="3195" w:type="pct"/>
            <w:gridSpan w:val="2"/>
          </w:tcPr>
          <w:p w14:paraId="38BC1C4F" w14:textId="77777777" w:rsidR="00400398" w:rsidRPr="00215594" w:rsidRDefault="00400398" w:rsidP="001259C1">
            <w:pPr>
              <w:pStyle w:val="TextTi12"/>
              <w:spacing w:after="0"/>
              <w:jc w:val="center"/>
              <w:rPr>
                <w:rFonts w:cs="Arial"/>
                <w:sz w:val="22"/>
                <w:szCs w:val="22"/>
              </w:rPr>
            </w:pPr>
          </w:p>
        </w:tc>
      </w:tr>
      <w:tr w:rsidR="00400398" w:rsidRPr="00215594" w14:paraId="4A8A252D" w14:textId="77777777" w:rsidTr="00D91337">
        <w:tc>
          <w:tcPr>
            <w:tcW w:w="1805" w:type="pct"/>
          </w:tcPr>
          <w:p w14:paraId="69F6F593" w14:textId="77777777" w:rsidR="00400398" w:rsidRPr="00215594" w:rsidRDefault="00400398" w:rsidP="007B4A1B">
            <w:pPr>
              <w:pStyle w:val="TextTi12"/>
              <w:spacing w:after="0"/>
              <w:jc w:val="left"/>
              <w:rPr>
                <w:noProof/>
                <w:sz w:val="22"/>
              </w:rPr>
            </w:pPr>
            <w:r w:rsidRPr="00215594">
              <w:rPr>
                <w:noProof/>
                <w:sz w:val="22"/>
              </w:rPr>
              <w:t>Mediana (meses)</w:t>
            </w:r>
          </w:p>
        </w:tc>
        <w:tc>
          <w:tcPr>
            <w:tcW w:w="1597" w:type="pct"/>
          </w:tcPr>
          <w:p w14:paraId="4237FC8B" w14:textId="77777777" w:rsidR="00400398" w:rsidRPr="00215594" w:rsidRDefault="00400398" w:rsidP="001259C1">
            <w:pPr>
              <w:pStyle w:val="TextTi12"/>
              <w:spacing w:after="0"/>
              <w:jc w:val="center"/>
              <w:rPr>
                <w:noProof/>
                <w:sz w:val="22"/>
              </w:rPr>
            </w:pPr>
            <w:r w:rsidRPr="00215594">
              <w:rPr>
                <w:noProof/>
                <w:sz w:val="22"/>
              </w:rPr>
              <w:t>4,1</w:t>
            </w:r>
          </w:p>
        </w:tc>
        <w:tc>
          <w:tcPr>
            <w:tcW w:w="1597" w:type="pct"/>
          </w:tcPr>
          <w:p w14:paraId="78E028CC" w14:textId="77777777" w:rsidR="00400398" w:rsidRPr="00215594" w:rsidRDefault="00400398" w:rsidP="001259C1">
            <w:pPr>
              <w:pStyle w:val="TextTi12"/>
              <w:spacing w:after="0"/>
              <w:jc w:val="center"/>
              <w:rPr>
                <w:noProof/>
                <w:sz w:val="22"/>
              </w:rPr>
            </w:pPr>
            <w:r w:rsidRPr="00215594">
              <w:rPr>
                <w:noProof/>
                <w:sz w:val="22"/>
              </w:rPr>
              <w:t>5,7</w:t>
            </w:r>
          </w:p>
        </w:tc>
      </w:tr>
      <w:tr w:rsidR="00400398" w:rsidRPr="00215594" w14:paraId="7ED7D671" w14:textId="77777777" w:rsidTr="00D91337">
        <w:tc>
          <w:tcPr>
            <w:tcW w:w="1805" w:type="pct"/>
          </w:tcPr>
          <w:p w14:paraId="30C10DFC" w14:textId="77777777" w:rsidR="00400398" w:rsidRPr="00AF2A1A" w:rsidRDefault="00400398" w:rsidP="007B4A1B">
            <w:pPr>
              <w:pStyle w:val="TextTi12"/>
              <w:spacing w:after="0" w:line="240" w:lineRule="auto"/>
              <w:jc w:val="left"/>
              <w:rPr>
                <w:rFonts w:cs="Arial"/>
                <w:sz w:val="22"/>
                <w:szCs w:val="22"/>
              </w:rPr>
            </w:pPr>
            <w:r w:rsidRPr="00215594">
              <w:rPr>
                <w:rFonts w:cs="Arial"/>
                <w:i/>
                <w:sz w:val="22"/>
                <w:szCs w:val="22"/>
              </w:rPr>
              <w:t>Hazard ratio</w:t>
            </w:r>
            <w:r w:rsidRPr="00215594">
              <w:rPr>
                <w:rFonts w:cs="Arial"/>
                <w:sz w:val="22"/>
                <w:szCs w:val="22"/>
              </w:rPr>
              <w:t xml:space="preserve"> </w:t>
            </w:r>
            <w:r w:rsidRPr="00215594">
              <w:rPr>
                <w:sz w:val="22"/>
                <w:szCs w:val="22"/>
              </w:rPr>
              <w:t>(taxa de risco)</w:t>
            </w:r>
          </w:p>
          <w:p w14:paraId="79423FD4" w14:textId="77777777" w:rsidR="00400398" w:rsidRPr="002535A3" w:rsidRDefault="00400398" w:rsidP="007B4A1B">
            <w:pPr>
              <w:pStyle w:val="TextTi12"/>
              <w:spacing w:after="0" w:line="240" w:lineRule="auto"/>
              <w:jc w:val="left"/>
              <w:rPr>
                <w:rFonts w:cs="Arial"/>
                <w:sz w:val="22"/>
                <w:szCs w:val="22"/>
              </w:rPr>
            </w:pPr>
            <w:r w:rsidRPr="002535A3">
              <w:rPr>
                <w:rFonts w:cs="Arial"/>
                <w:sz w:val="22"/>
                <w:szCs w:val="22"/>
              </w:rPr>
              <w:t>(Intervalo de confiança de 95%)</w:t>
            </w:r>
          </w:p>
        </w:tc>
        <w:tc>
          <w:tcPr>
            <w:tcW w:w="3195" w:type="pct"/>
            <w:gridSpan w:val="2"/>
          </w:tcPr>
          <w:p w14:paraId="7D97AC8F" w14:textId="77777777" w:rsidR="00400398" w:rsidRPr="00215594" w:rsidRDefault="00400398" w:rsidP="007B4A1B">
            <w:pPr>
              <w:pStyle w:val="TextTi12"/>
              <w:spacing w:after="0" w:line="240" w:lineRule="auto"/>
              <w:jc w:val="center"/>
              <w:rPr>
                <w:noProof/>
                <w:sz w:val="22"/>
              </w:rPr>
            </w:pPr>
            <w:r w:rsidRPr="00215594">
              <w:rPr>
                <w:noProof/>
                <w:sz w:val="22"/>
              </w:rPr>
              <w:t>0,68 (0,59</w:t>
            </w:r>
            <w:r w:rsidR="00F84709" w:rsidRPr="00215594">
              <w:rPr>
                <w:noProof/>
                <w:sz w:val="22"/>
              </w:rPr>
              <w:t>;</w:t>
            </w:r>
            <w:r w:rsidRPr="00215594">
              <w:rPr>
                <w:noProof/>
                <w:sz w:val="22"/>
              </w:rPr>
              <w:t xml:space="preserve"> 0,78)</w:t>
            </w:r>
          </w:p>
          <w:p w14:paraId="3EC3F697" w14:textId="77777777" w:rsidR="00400398" w:rsidRPr="00215594" w:rsidRDefault="00400398" w:rsidP="007B4A1B">
            <w:pPr>
              <w:pStyle w:val="TextTi12"/>
              <w:spacing w:after="0" w:line="240" w:lineRule="auto"/>
              <w:jc w:val="center"/>
              <w:rPr>
                <w:noProof/>
                <w:sz w:val="22"/>
              </w:rPr>
            </w:pPr>
            <w:r w:rsidRPr="00215594">
              <w:rPr>
                <w:noProof/>
                <w:sz w:val="22"/>
              </w:rPr>
              <w:t>(valor de p &lt; 0,0001)</w:t>
            </w:r>
          </w:p>
        </w:tc>
      </w:tr>
      <w:tr w:rsidR="00400398" w:rsidRPr="00215594" w14:paraId="017420FF" w14:textId="77777777" w:rsidTr="00D91337">
        <w:tc>
          <w:tcPr>
            <w:tcW w:w="1805" w:type="pct"/>
          </w:tcPr>
          <w:p w14:paraId="394ABA37" w14:textId="0FF9D40B" w:rsidR="00400398" w:rsidRPr="00845F46" w:rsidRDefault="00400398" w:rsidP="001259C1">
            <w:pPr>
              <w:pStyle w:val="TextTi12"/>
              <w:spacing w:after="0"/>
              <w:jc w:val="left"/>
              <w:rPr>
                <w:rFonts w:cs="Arial"/>
                <w:b/>
                <w:bCs/>
                <w:sz w:val="22"/>
                <w:szCs w:val="22"/>
              </w:rPr>
            </w:pPr>
            <w:r w:rsidRPr="00845F46">
              <w:rPr>
                <w:rFonts w:cs="Arial"/>
                <w:b/>
                <w:bCs/>
                <w:sz w:val="22"/>
                <w:szCs w:val="22"/>
              </w:rPr>
              <w:t xml:space="preserve">Taxa de </w:t>
            </w:r>
            <w:r w:rsidR="00096F93">
              <w:rPr>
                <w:rFonts w:cs="Arial"/>
                <w:b/>
                <w:bCs/>
                <w:sz w:val="22"/>
                <w:szCs w:val="22"/>
              </w:rPr>
              <w:t>r</w:t>
            </w:r>
            <w:r w:rsidRPr="00845F46">
              <w:rPr>
                <w:rFonts w:cs="Arial"/>
                <w:b/>
                <w:bCs/>
                <w:sz w:val="22"/>
                <w:szCs w:val="22"/>
              </w:rPr>
              <w:t xml:space="preserve">esposta </w:t>
            </w:r>
            <w:r w:rsidR="00096F93">
              <w:rPr>
                <w:rFonts w:cs="Arial"/>
                <w:b/>
                <w:bCs/>
                <w:sz w:val="22"/>
                <w:szCs w:val="22"/>
              </w:rPr>
              <w:t>o</w:t>
            </w:r>
            <w:r w:rsidRPr="00845F46">
              <w:rPr>
                <w:rFonts w:cs="Arial"/>
                <w:b/>
                <w:bCs/>
                <w:sz w:val="22"/>
                <w:szCs w:val="22"/>
              </w:rPr>
              <w:t>bjetiva (ORR)</w:t>
            </w:r>
          </w:p>
        </w:tc>
        <w:tc>
          <w:tcPr>
            <w:tcW w:w="3195" w:type="pct"/>
            <w:gridSpan w:val="2"/>
          </w:tcPr>
          <w:p w14:paraId="02D6B1EA" w14:textId="77777777" w:rsidR="00400398" w:rsidRPr="00215594" w:rsidRDefault="00400398" w:rsidP="001259C1">
            <w:pPr>
              <w:pStyle w:val="TextTi12"/>
              <w:spacing w:after="0"/>
              <w:jc w:val="center"/>
              <w:rPr>
                <w:rFonts w:cs="Arial"/>
                <w:sz w:val="22"/>
                <w:szCs w:val="22"/>
              </w:rPr>
            </w:pPr>
          </w:p>
        </w:tc>
      </w:tr>
      <w:tr w:rsidR="00400398" w:rsidRPr="00215594" w14:paraId="2281DDF1" w14:textId="77777777" w:rsidTr="00D91337">
        <w:tc>
          <w:tcPr>
            <w:tcW w:w="1805" w:type="pct"/>
          </w:tcPr>
          <w:p w14:paraId="5F2298F3" w14:textId="77777777" w:rsidR="00400398" w:rsidRPr="00215594" w:rsidRDefault="00400398" w:rsidP="007B4A1B">
            <w:pPr>
              <w:pStyle w:val="TextTi12"/>
              <w:spacing w:after="0"/>
              <w:jc w:val="left"/>
              <w:rPr>
                <w:noProof/>
                <w:sz w:val="22"/>
              </w:rPr>
            </w:pPr>
            <w:r w:rsidRPr="00215594">
              <w:rPr>
                <w:noProof/>
                <w:sz w:val="22"/>
              </w:rPr>
              <w:t>Doentes incluídos na análise</w:t>
            </w:r>
          </w:p>
        </w:tc>
        <w:tc>
          <w:tcPr>
            <w:tcW w:w="1597" w:type="pct"/>
          </w:tcPr>
          <w:p w14:paraId="4D528999" w14:textId="77777777" w:rsidR="00400398" w:rsidRPr="00215594" w:rsidRDefault="00400398" w:rsidP="001259C1">
            <w:pPr>
              <w:pStyle w:val="TextTi12"/>
              <w:spacing w:after="0"/>
              <w:jc w:val="center"/>
              <w:rPr>
                <w:noProof/>
                <w:sz w:val="22"/>
              </w:rPr>
            </w:pPr>
            <w:r w:rsidRPr="00215594">
              <w:rPr>
                <w:noProof/>
                <w:sz w:val="22"/>
              </w:rPr>
              <w:t>406</w:t>
            </w:r>
          </w:p>
        </w:tc>
        <w:tc>
          <w:tcPr>
            <w:tcW w:w="1597" w:type="pct"/>
          </w:tcPr>
          <w:p w14:paraId="72758BD2" w14:textId="77777777" w:rsidR="00400398" w:rsidRPr="00215594" w:rsidRDefault="00400398" w:rsidP="001259C1">
            <w:pPr>
              <w:pStyle w:val="TextTi12"/>
              <w:spacing w:after="0"/>
              <w:jc w:val="center"/>
              <w:rPr>
                <w:noProof/>
                <w:sz w:val="22"/>
              </w:rPr>
            </w:pPr>
            <w:r w:rsidRPr="00215594">
              <w:rPr>
                <w:noProof/>
                <w:sz w:val="22"/>
              </w:rPr>
              <w:t>404</w:t>
            </w:r>
          </w:p>
        </w:tc>
      </w:tr>
      <w:tr w:rsidR="00400398" w:rsidRPr="00215594" w14:paraId="48228DE2" w14:textId="77777777" w:rsidTr="00D91337">
        <w:tc>
          <w:tcPr>
            <w:tcW w:w="1805" w:type="pct"/>
          </w:tcPr>
          <w:p w14:paraId="6B2C3AB1" w14:textId="77777777" w:rsidR="00400398" w:rsidRPr="00215594" w:rsidRDefault="00400398" w:rsidP="007B4A1B">
            <w:pPr>
              <w:pStyle w:val="TextTi12"/>
              <w:spacing w:after="0"/>
              <w:jc w:val="left"/>
              <w:rPr>
                <w:noProof/>
                <w:sz w:val="22"/>
              </w:rPr>
            </w:pPr>
            <w:r w:rsidRPr="00215594">
              <w:rPr>
                <w:noProof/>
                <w:sz w:val="22"/>
              </w:rPr>
              <w:t>Taxa</w:t>
            </w:r>
          </w:p>
        </w:tc>
        <w:tc>
          <w:tcPr>
            <w:tcW w:w="1597" w:type="pct"/>
          </w:tcPr>
          <w:p w14:paraId="1AD497D5" w14:textId="77777777" w:rsidR="00400398" w:rsidRPr="00215594" w:rsidRDefault="00400398" w:rsidP="001259C1">
            <w:pPr>
              <w:pStyle w:val="TextTi12"/>
              <w:spacing w:after="0"/>
              <w:jc w:val="center"/>
              <w:rPr>
                <w:noProof/>
                <w:sz w:val="22"/>
              </w:rPr>
            </w:pPr>
            <w:r w:rsidRPr="00215594">
              <w:rPr>
                <w:noProof/>
                <w:sz w:val="22"/>
              </w:rPr>
              <w:t>3,9%</w:t>
            </w:r>
          </w:p>
        </w:tc>
        <w:tc>
          <w:tcPr>
            <w:tcW w:w="1597" w:type="pct"/>
          </w:tcPr>
          <w:p w14:paraId="68D17FD9" w14:textId="77777777" w:rsidR="00400398" w:rsidRPr="00215594" w:rsidRDefault="00400398" w:rsidP="001259C1">
            <w:pPr>
              <w:pStyle w:val="TextTi12"/>
              <w:spacing w:after="0"/>
              <w:jc w:val="center"/>
              <w:rPr>
                <w:noProof/>
                <w:sz w:val="22"/>
              </w:rPr>
            </w:pPr>
            <w:r w:rsidRPr="00215594">
              <w:rPr>
                <w:noProof/>
                <w:sz w:val="22"/>
              </w:rPr>
              <w:t>5,4%</w:t>
            </w:r>
          </w:p>
        </w:tc>
      </w:tr>
      <w:tr w:rsidR="00400398" w:rsidRPr="00215594" w14:paraId="3E833503" w14:textId="77777777" w:rsidTr="00D91337">
        <w:tc>
          <w:tcPr>
            <w:tcW w:w="1805" w:type="pct"/>
          </w:tcPr>
          <w:p w14:paraId="70AA0013" w14:textId="77777777" w:rsidR="00400398" w:rsidRPr="00215594" w:rsidRDefault="00400398" w:rsidP="001259C1">
            <w:pPr>
              <w:pStyle w:val="TextTi12"/>
              <w:spacing w:after="0"/>
              <w:ind w:left="720" w:hanging="567"/>
              <w:jc w:val="center"/>
              <w:outlineLvl w:val="0"/>
              <w:rPr>
                <w:noProof/>
                <w:sz w:val="22"/>
              </w:rPr>
            </w:pPr>
          </w:p>
        </w:tc>
        <w:tc>
          <w:tcPr>
            <w:tcW w:w="3195" w:type="pct"/>
            <w:gridSpan w:val="2"/>
          </w:tcPr>
          <w:p w14:paraId="44D1C519" w14:textId="77777777" w:rsidR="00400398" w:rsidRPr="00215594" w:rsidRDefault="00400398" w:rsidP="001259C1">
            <w:pPr>
              <w:pStyle w:val="TextTi12"/>
              <w:spacing w:after="0"/>
              <w:jc w:val="center"/>
              <w:rPr>
                <w:noProof/>
                <w:sz w:val="22"/>
              </w:rPr>
            </w:pPr>
            <w:r w:rsidRPr="00215594">
              <w:rPr>
                <w:noProof/>
                <w:sz w:val="22"/>
              </w:rPr>
              <w:t>(valor de p = 0,3113)</w:t>
            </w:r>
          </w:p>
        </w:tc>
      </w:tr>
    </w:tbl>
    <w:p w14:paraId="4A958144" w14:textId="77777777" w:rsidR="00400398" w:rsidRPr="007232E4" w:rsidRDefault="00400398" w:rsidP="00AC23F0">
      <w:pPr>
        <w:rPr>
          <w:rFonts w:cs="Arial"/>
          <w:sz w:val="20"/>
        </w:rPr>
      </w:pPr>
      <w:r w:rsidRPr="007232E4">
        <w:rPr>
          <w:rFonts w:cs="Arial"/>
          <w:sz w:val="20"/>
          <w:vertAlign w:val="superscript"/>
        </w:rPr>
        <w:t xml:space="preserve">a </w:t>
      </w:r>
      <w:r w:rsidRPr="007232E4">
        <w:rPr>
          <w:rFonts w:cs="Arial"/>
          <w:sz w:val="20"/>
        </w:rPr>
        <w:t xml:space="preserve">5,0 mg/kg </w:t>
      </w:r>
      <w:r w:rsidRPr="007232E4">
        <w:rPr>
          <w:sz w:val="20"/>
        </w:rPr>
        <w:t xml:space="preserve">de 2 em </w:t>
      </w:r>
      <w:r w:rsidRPr="00C82494">
        <w:rPr>
          <w:noProof/>
          <w:sz w:val="20"/>
        </w:rPr>
        <w:t>2 semanas ou 7,5</w:t>
      </w:r>
      <w:r>
        <w:rPr>
          <w:noProof/>
          <w:sz w:val="20"/>
        </w:rPr>
        <w:t> mg/kg de 3 em 3 semanas</w:t>
      </w:r>
    </w:p>
    <w:p w14:paraId="648CEAFD" w14:textId="77777777" w:rsidR="00400398" w:rsidRPr="007232E4" w:rsidRDefault="00400398" w:rsidP="00BC5DE0"/>
    <w:p w14:paraId="0D1FCB39" w14:textId="77777777" w:rsidR="00400398" w:rsidRPr="007232E4" w:rsidRDefault="00400398" w:rsidP="00FD1111">
      <w:pPr>
        <w:keepNext/>
        <w:rPr>
          <w:sz w:val="24"/>
          <w:szCs w:val="24"/>
        </w:rPr>
      </w:pPr>
      <w:r w:rsidRPr="007232E4">
        <w:rPr>
          <w:rFonts w:cs="Arial"/>
          <w:szCs w:val="22"/>
        </w:rPr>
        <w:t>Também se observou melhoria</w:t>
      </w:r>
      <w:r w:rsidR="00F84709">
        <w:rPr>
          <w:rFonts w:cs="Arial"/>
          <w:szCs w:val="22"/>
        </w:rPr>
        <w:t>s</w:t>
      </w:r>
      <w:r w:rsidRPr="007232E4">
        <w:rPr>
          <w:rFonts w:cs="Arial"/>
          <w:szCs w:val="22"/>
        </w:rPr>
        <w:t xml:space="preserve"> estatisticamente significativas na </w:t>
      </w:r>
      <w:r w:rsidR="003F3D13">
        <w:rPr>
          <w:szCs w:val="22"/>
        </w:rPr>
        <w:t>PFS</w:t>
      </w:r>
      <w:r w:rsidRPr="007232E4">
        <w:rPr>
          <w:rFonts w:cs="Arial"/>
          <w:szCs w:val="22"/>
        </w:rPr>
        <w:t>. A taxa de resposta objetiva foi baixa em ambos os braços de tratamento e a diferença não foi significativa.</w:t>
      </w:r>
      <w:r w:rsidRPr="007232E4">
        <w:t xml:space="preserve"> </w:t>
      </w:r>
    </w:p>
    <w:p w14:paraId="17C3FEFC" w14:textId="77777777" w:rsidR="00A61D3E" w:rsidRDefault="00A61D3E" w:rsidP="0010384B"/>
    <w:p w14:paraId="5519C2A4" w14:textId="77777777" w:rsidR="00400398" w:rsidRPr="007232E4" w:rsidRDefault="00400398" w:rsidP="0010384B">
      <w:r w:rsidRPr="007232E4">
        <w:t xml:space="preserve">O estudo E3200 utilizou uma dose correspondente de 5 mg/kg/semana de bevacizumab em doentes sem tratamento prévio com bevacizumab (naïve), enquanto o estudo ML18147 utilizou uma dose correspondente de 2,5 mg/kg/semana de bevacizumab em doentes pré-tratados com bevacizumab. Uma comparação entre ensaios de dados de eficácia e segurança está limitada por diferenças entre estes estudos, principalmente ao nível das populações de doentes, exposição prévia a bevacizumab e regimes de quimioterapia. Ambas as doses equivalentes de 5 mg/kg/semana e 2,5 mg/kg/semana de bevacizumab determinaram um benefício estatisticamente significativo em relação à OS  (HR de 0,751 no estudo E3200; HR de 0,81 no estudo ML18147) e à PFS (HR de 0,518 no estudo E3200; HR de 0,68 no estudo ML18147). Em termos de segurança houve uma maior incidência global de </w:t>
      </w:r>
      <w:r w:rsidR="003F3D13">
        <w:t xml:space="preserve">reações </w:t>
      </w:r>
      <w:r w:rsidRPr="007232E4">
        <w:t>advers</w:t>
      </w:r>
      <w:r w:rsidR="003F3D13">
        <w:t>a</w:t>
      </w:r>
      <w:r w:rsidRPr="007232E4">
        <w:t>s de grau 3-5 no estudo E3200 do que em relação ao estudo ML18147.</w:t>
      </w:r>
    </w:p>
    <w:p w14:paraId="584CF727" w14:textId="77777777" w:rsidR="00400398" w:rsidRPr="007232E4" w:rsidRDefault="00400398" w:rsidP="00A90124"/>
    <w:p w14:paraId="1BB26A63" w14:textId="77777777" w:rsidR="00400398" w:rsidRPr="000603E8" w:rsidRDefault="00400398">
      <w:pPr>
        <w:outlineLvl w:val="0"/>
        <w:rPr>
          <w:i/>
          <w:u w:val="single"/>
        </w:rPr>
      </w:pPr>
      <w:r w:rsidRPr="000603E8">
        <w:rPr>
          <w:i/>
          <w:u w:val="single"/>
        </w:rPr>
        <w:t xml:space="preserve">Cancro da mama </w:t>
      </w:r>
      <w:r w:rsidRPr="000603E8">
        <w:rPr>
          <w:rFonts w:eastAsia="SimSun"/>
          <w:i/>
          <w:szCs w:val="22"/>
          <w:u w:val="single"/>
          <w:lang w:eastAsia="zh-CN"/>
        </w:rPr>
        <w:t>metastizado (mBC)</w:t>
      </w:r>
    </w:p>
    <w:p w14:paraId="26A81BED" w14:textId="77777777" w:rsidR="00400398" w:rsidRPr="007232E4" w:rsidRDefault="00400398">
      <w:pPr>
        <w:outlineLvl w:val="0"/>
        <w:rPr>
          <w:b/>
        </w:rPr>
      </w:pPr>
    </w:p>
    <w:p w14:paraId="1A442346" w14:textId="7E4874C5" w:rsidR="00400398" w:rsidRPr="007232E4" w:rsidRDefault="00400398">
      <w:pPr>
        <w:rPr>
          <w:szCs w:val="22"/>
        </w:rPr>
      </w:pPr>
      <w:r w:rsidRPr="007232E4">
        <w:rPr>
          <w:szCs w:val="22"/>
        </w:rPr>
        <w:t xml:space="preserve">Dois extensos ensaios de </w:t>
      </w:r>
      <w:r w:rsidR="00096F93">
        <w:rPr>
          <w:szCs w:val="22"/>
        </w:rPr>
        <w:t>f</w:t>
      </w:r>
      <w:r w:rsidRPr="007232E4">
        <w:rPr>
          <w:szCs w:val="22"/>
        </w:rPr>
        <w:t xml:space="preserve">ase III foram desenhados para investigar o efeito do tratamento de </w:t>
      </w:r>
      <w:r w:rsidR="00066BFF">
        <w:rPr>
          <w:szCs w:val="22"/>
        </w:rPr>
        <w:t>bevacizumab</w:t>
      </w:r>
      <w:r w:rsidR="00066BFF" w:rsidRPr="007232E4">
        <w:rPr>
          <w:szCs w:val="22"/>
        </w:rPr>
        <w:t xml:space="preserve"> </w:t>
      </w:r>
      <w:r w:rsidRPr="007232E4">
        <w:rPr>
          <w:szCs w:val="22"/>
        </w:rPr>
        <w:t>em associação com dois agentes individuais de quimioterapia, avaliado através da PFS como objetivo primário. Em ambos os ensaios foi observada uma melhoria clinicamente importante e estatisticamente significativa da PFS.</w:t>
      </w:r>
    </w:p>
    <w:p w14:paraId="4309F58B" w14:textId="77777777" w:rsidR="00400398" w:rsidRPr="007232E4" w:rsidRDefault="00400398">
      <w:pPr>
        <w:rPr>
          <w:szCs w:val="22"/>
        </w:rPr>
      </w:pPr>
    </w:p>
    <w:p w14:paraId="701DA96A" w14:textId="77777777" w:rsidR="00400398" w:rsidRPr="007232E4" w:rsidRDefault="00400398">
      <w:pPr>
        <w:rPr>
          <w:szCs w:val="22"/>
        </w:rPr>
      </w:pPr>
      <w:r w:rsidRPr="007232E4">
        <w:rPr>
          <w:szCs w:val="22"/>
        </w:rPr>
        <w:t>Os resultados da PFS são resumidos abaixo para os agentes individuais de quimioterapia incluídos na indicação:</w:t>
      </w:r>
    </w:p>
    <w:p w14:paraId="3CF93222" w14:textId="77777777" w:rsidR="00400398" w:rsidRPr="007232E4" w:rsidRDefault="00400398">
      <w:pPr>
        <w:rPr>
          <w:szCs w:val="22"/>
        </w:rPr>
      </w:pPr>
    </w:p>
    <w:p w14:paraId="3F05081C" w14:textId="77777777" w:rsidR="00400398" w:rsidRPr="007232E4" w:rsidRDefault="00400398">
      <w:pPr>
        <w:ind w:left="709" w:hanging="359"/>
        <w:rPr>
          <w:szCs w:val="22"/>
        </w:rPr>
      </w:pPr>
      <w:r w:rsidRPr="007232E4">
        <w:t>•</w:t>
      </w:r>
      <w:r w:rsidRPr="007232E4">
        <w:rPr>
          <w:szCs w:val="22"/>
        </w:rPr>
        <w:tab/>
        <w:t xml:space="preserve">Estudo E2100 (paclitaxel) </w:t>
      </w:r>
    </w:p>
    <w:p w14:paraId="3F14F822" w14:textId="77777777" w:rsidR="00400398" w:rsidRPr="007232E4" w:rsidRDefault="00400398">
      <w:pPr>
        <w:ind w:left="1456" w:hanging="350"/>
        <w:rPr>
          <w:szCs w:val="22"/>
        </w:rPr>
      </w:pPr>
      <w:r w:rsidRPr="007232E4">
        <w:t>•</w:t>
      </w:r>
      <w:r w:rsidRPr="007232E4">
        <w:rPr>
          <w:szCs w:val="22"/>
        </w:rPr>
        <w:tab/>
        <w:t>5,6 meses de aumento da mediana da PFS, HR 0,421 (p &lt; 0,0001, IC 95% 0,343;</w:t>
      </w:r>
      <w:r w:rsidR="00B24A23">
        <w:rPr>
          <w:szCs w:val="22"/>
        </w:rPr>
        <w:t> </w:t>
      </w:r>
      <w:r w:rsidRPr="007232E4">
        <w:rPr>
          <w:szCs w:val="22"/>
        </w:rPr>
        <w:t xml:space="preserve">0,516) </w:t>
      </w:r>
    </w:p>
    <w:p w14:paraId="228001A7" w14:textId="77777777" w:rsidR="00400398" w:rsidRPr="007232E4" w:rsidRDefault="00400398" w:rsidP="0038429A">
      <w:pPr>
        <w:keepNext/>
        <w:keepLines/>
        <w:ind w:left="709" w:hanging="349"/>
        <w:rPr>
          <w:szCs w:val="22"/>
        </w:rPr>
      </w:pPr>
      <w:r w:rsidRPr="007232E4">
        <w:t>•</w:t>
      </w:r>
      <w:r w:rsidRPr="007232E4">
        <w:rPr>
          <w:szCs w:val="22"/>
        </w:rPr>
        <w:tab/>
        <w:t xml:space="preserve">Estudo AVF3694g (capecitabina) </w:t>
      </w:r>
    </w:p>
    <w:p w14:paraId="23CC1A38" w14:textId="77777777" w:rsidR="00400398" w:rsidRPr="007232E4" w:rsidRDefault="00400398" w:rsidP="0038429A">
      <w:pPr>
        <w:keepNext/>
        <w:keepLines/>
        <w:ind w:left="1418" w:hanging="284"/>
        <w:rPr>
          <w:szCs w:val="22"/>
        </w:rPr>
      </w:pPr>
      <w:r w:rsidRPr="007232E4">
        <w:t>•</w:t>
      </w:r>
      <w:r w:rsidRPr="007232E4">
        <w:rPr>
          <w:szCs w:val="22"/>
        </w:rPr>
        <w:tab/>
        <w:t>2,9 meses de aumento da mediana da PFS, HR 0,69 (p = 0,0002, IC 95% 0,56;</w:t>
      </w:r>
      <w:r w:rsidR="00B24A23">
        <w:rPr>
          <w:szCs w:val="22"/>
        </w:rPr>
        <w:t> </w:t>
      </w:r>
      <w:r w:rsidRPr="007232E4">
        <w:rPr>
          <w:szCs w:val="22"/>
        </w:rPr>
        <w:t xml:space="preserve">0,84) </w:t>
      </w:r>
    </w:p>
    <w:p w14:paraId="681692CF" w14:textId="77777777" w:rsidR="00400398" w:rsidRPr="007232E4" w:rsidRDefault="00400398">
      <w:pPr>
        <w:rPr>
          <w:szCs w:val="22"/>
        </w:rPr>
      </w:pPr>
    </w:p>
    <w:p w14:paraId="450AFF71" w14:textId="77777777" w:rsidR="00400398" w:rsidRPr="007232E4" w:rsidRDefault="00400398">
      <w:pPr>
        <w:outlineLvl w:val="0"/>
        <w:rPr>
          <w:szCs w:val="22"/>
        </w:rPr>
      </w:pPr>
      <w:r w:rsidRPr="007232E4">
        <w:rPr>
          <w:szCs w:val="22"/>
        </w:rPr>
        <w:t>Detalhes adicionais de cada estudo e os resultados são apresentados abaixo.</w:t>
      </w:r>
    </w:p>
    <w:p w14:paraId="51F66FA3" w14:textId="77777777" w:rsidR="00400398" w:rsidRPr="007232E4" w:rsidRDefault="00400398">
      <w:pPr>
        <w:rPr>
          <w:szCs w:val="22"/>
        </w:rPr>
      </w:pPr>
    </w:p>
    <w:p w14:paraId="76259508" w14:textId="77777777" w:rsidR="00400398" w:rsidRPr="007232E4" w:rsidRDefault="00400398" w:rsidP="009166B7">
      <w:pPr>
        <w:keepNext/>
        <w:keepLines/>
        <w:rPr>
          <w:i/>
        </w:rPr>
      </w:pPr>
      <w:r w:rsidRPr="007232E4">
        <w:rPr>
          <w:i/>
        </w:rPr>
        <w:t>ECOG E2100</w:t>
      </w:r>
    </w:p>
    <w:p w14:paraId="1AD3456D" w14:textId="3CB4B469" w:rsidR="00400398" w:rsidRPr="007232E4" w:rsidRDefault="00400398" w:rsidP="009166B7">
      <w:pPr>
        <w:keepNext/>
        <w:keepLines/>
        <w:rPr>
          <w:szCs w:val="22"/>
        </w:rPr>
      </w:pPr>
      <w:r w:rsidRPr="007232E4">
        <w:rPr>
          <w:szCs w:val="22"/>
        </w:rPr>
        <w:t xml:space="preserve">O </w:t>
      </w:r>
      <w:r w:rsidRPr="007232E4">
        <w:t>ensaio</w:t>
      </w:r>
      <w:r w:rsidRPr="007232E4">
        <w:rPr>
          <w:szCs w:val="22"/>
        </w:rPr>
        <w:t xml:space="preserve"> E2100 foi um ensaio clínico aberto, aleatorizado, </w:t>
      </w:r>
      <w:r w:rsidRPr="007232E4">
        <w:t>controlado por comparador ativo</w:t>
      </w:r>
      <w:r w:rsidRPr="007232E4">
        <w:rPr>
          <w:szCs w:val="22"/>
        </w:rPr>
        <w:t xml:space="preserve">, multicêntrico, para avaliar o </w:t>
      </w:r>
      <w:r w:rsidR="00066BFF">
        <w:rPr>
          <w:szCs w:val="22"/>
        </w:rPr>
        <w:t>bevacizumab</w:t>
      </w:r>
      <w:r w:rsidR="00066BFF" w:rsidRPr="007232E4">
        <w:rPr>
          <w:szCs w:val="22"/>
        </w:rPr>
        <w:t xml:space="preserve"> </w:t>
      </w:r>
      <w:r w:rsidRPr="007232E4">
        <w:rPr>
          <w:szCs w:val="22"/>
        </w:rPr>
        <w:t>em associação com paclitaxel</w:t>
      </w:r>
      <w:r w:rsidRPr="007232E4">
        <w:t xml:space="preserve"> no cancro da mama localmente avançado ou </w:t>
      </w:r>
      <w:r w:rsidRPr="007232E4">
        <w:rPr>
          <w:rFonts w:eastAsia="SimSun"/>
          <w:szCs w:val="22"/>
          <w:lang w:eastAsia="zh-CN"/>
        </w:rPr>
        <w:t>metastizado</w:t>
      </w:r>
      <w:r w:rsidRPr="007232E4">
        <w:t xml:space="preserve"> em doentes não anteriormente tratados com quimioterapia para a doença metastática ou localmente avançada. Os doentes foram aleatoriamente distribuídos para o braço de tratamento com </w:t>
      </w:r>
      <w:r w:rsidRPr="007232E4">
        <w:rPr>
          <w:szCs w:val="22"/>
        </w:rPr>
        <w:t>paclitaxel sozinho (90 mg/m</w:t>
      </w:r>
      <w:r w:rsidRPr="007232E4">
        <w:rPr>
          <w:szCs w:val="22"/>
          <w:vertAlign w:val="superscript"/>
        </w:rPr>
        <w:t>2</w:t>
      </w:r>
      <w:r w:rsidRPr="007232E4">
        <w:rPr>
          <w:szCs w:val="22"/>
        </w:rPr>
        <w:t xml:space="preserve"> </w:t>
      </w:r>
      <w:r w:rsidR="00096F93">
        <w:rPr>
          <w:szCs w:val="22"/>
        </w:rPr>
        <w:t>por via intravenosa</w:t>
      </w:r>
      <w:r w:rsidR="00096F93" w:rsidRPr="007A3B0C">
        <w:rPr>
          <w:szCs w:val="22"/>
        </w:rPr>
        <w:t xml:space="preserve"> </w:t>
      </w:r>
      <w:r w:rsidRPr="007232E4">
        <w:rPr>
          <w:szCs w:val="22"/>
        </w:rPr>
        <w:t xml:space="preserve">durante 1 hora, uma vez por semana, durante três semanas em cada quatro) ou no braço em associação com </w:t>
      </w:r>
      <w:r w:rsidR="00066BFF">
        <w:rPr>
          <w:szCs w:val="22"/>
        </w:rPr>
        <w:t>bevacizumab</w:t>
      </w:r>
      <w:r w:rsidR="00066BFF" w:rsidRPr="007232E4">
        <w:rPr>
          <w:szCs w:val="22"/>
        </w:rPr>
        <w:t xml:space="preserve"> </w:t>
      </w:r>
      <w:r w:rsidRPr="007232E4">
        <w:rPr>
          <w:szCs w:val="22"/>
        </w:rPr>
        <w:t xml:space="preserve">(10 mg/kg </w:t>
      </w:r>
      <w:r w:rsidR="003F3D13">
        <w:rPr>
          <w:szCs w:val="22"/>
        </w:rPr>
        <w:t xml:space="preserve">intravenoso </w:t>
      </w:r>
      <w:r w:rsidRPr="007232E4">
        <w:rPr>
          <w:szCs w:val="22"/>
        </w:rPr>
        <w:t xml:space="preserve">por perfusão, administrado de duas em duas semanas). Foi permitida terapêutica hormonal anterior, para tratamento da doença metastática. A terapêutica adjuvante com taxanos foi permitida apenas nos casos em que tivesse sido concluída, pelo menos, 12 meses antes do doente entrar para o </w:t>
      </w:r>
      <w:r w:rsidRPr="007232E4">
        <w:t>ensaio</w:t>
      </w:r>
      <w:r w:rsidRPr="007232E4">
        <w:rPr>
          <w:szCs w:val="22"/>
        </w:rPr>
        <w:t xml:space="preserve">. Dos 722 doentes do </w:t>
      </w:r>
      <w:r w:rsidRPr="007232E4">
        <w:t>ensaio</w:t>
      </w:r>
      <w:r w:rsidRPr="007232E4">
        <w:rPr>
          <w:szCs w:val="22"/>
        </w:rPr>
        <w:t xml:space="preserve">, a maioria (90%) apresentava doença HER-2 negativa e um número pequeno de doentes tinha </w:t>
      </w:r>
      <w:r w:rsidRPr="007232E4">
        <w:rPr>
          <w:i/>
          <w:iCs/>
          <w:szCs w:val="22"/>
        </w:rPr>
        <w:t>status</w:t>
      </w:r>
      <w:r w:rsidRPr="007232E4">
        <w:rPr>
          <w:szCs w:val="22"/>
        </w:rPr>
        <w:t xml:space="preserve"> HER-2 desconhecido (8%) ou positivo confirmado (2%). Neste pequeno número</w:t>
      </w:r>
      <w:r w:rsidR="00F84709">
        <w:rPr>
          <w:szCs w:val="22"/>
        </w:rPr>
        <w:t xml:space="preserve"> de</w:t>
      </w:r>
      <w:r w:rsidRPr="007232E4">
        <w:rPr>
          <w:szCs w:val="22"/>
        </w:rPr>
        <w:t xml:space="preserve"> doentes, incluíam</w:t>
      </w:r>
      <w:r w:rsidRPr="007232E4">
        <w:rPr>
          <w:szCs w:val="22"/>
        </w:rPr>
        <w:noBreakHyphen/>
        <w:t>se doentes anteriormente tratados com trastuzumab e doentes para os quais este tratamento não foi considerado adequado. Adicionalmente, 65% dos doentes tinham sido anteriormente submetidos a quimioterapia adjuvante, incluindo taxanos (19%) e antraciclinas (49%). Foram excluídos doentes com metástases do sistema nervoso central, incluindo doentes com lesões cerebrais anteriormente tratadas ou sujeitas a ressecção.</w:t>
      </w:r>
    </w:p>
    <w:p w14:paraId="361B2144" w14:textId="77777777" w:rsidR="00400398" w:rsidRPr="007232E4" w:rsidRDefault="00400398">
      <w:pPr>
        <w:rPr>
          <w:szCs w:val="22"/>
        </w:rPr>
      </w:pPr>
    </w:p>
    <w:p w14:paraId="49D81029" w14:textId="77777777" w:rsidR="00400398" w:rsidRPr="007232E4" w:rsidRDefault="00400398">
      <w:r w:rsidRPr="007232E4">
        <w:t xml:space="preserve">No ensaio E2100, os doentes foram tratados até progressão de doença. Em situações em que a descontinuação precoce da quimioterapia era necessária, o tratamento com </w:t>
      </w:r>
      <w:r w:rsidR="00066BFF">
        <w:t>bevacizumab</w:t>
      </w:r>
      <w:r w:rsidR="00066BFF" w:rsidRPr="007232E4">
        <w:t xml:space="preserve"> </w:t>
      </w:r>
      <w:r w:rsidRPr="007232E4">
        <w:t>em monoterapia manteve</w:t>
      </w:r>
      <w:r w:rsidRPr="007232E4">
        <w:noBreakHyphen/>
        <w:t xml:space="preserve">se até progressão de doença. As características dos doentes eram semelhantes nos braços do ensaio. O objetivo primário deste ensaio clínico era a </w:t>
      </w:r>
      <w:r w:rsidR="003F3D13">
        <w:t>PFS</w:t>
      </w:r>
      <w:r w:rsidRPr="007232E4">
        <w:t>, baseada na avaliação, pelo investigador, da progressão de doença. Adicionalmente, foi também efetuada uma revisão independente do objetivo primário. Os resultados deste ensaio são apresentados na tabela </w:t>
      </w:r>
      <w:r>
        <w:t>10</w:t>
      </w:r>
      <w:r w:rsidRPr="007232E4">
        <w:t>.</w:t>
      </w:r>
    </w:p>
    <w:p w14:paraId="00F0C24D" w14:textId="77777777" w:rsidR="00400398" w:rsidRPr="007232E4" w:rsidRDefault="00400398"/>
    <w:p w14:paraId="2F5AA970" w14:textId="77777777" w:rsidR="00400398" w:rsidRPr="007232E4" w:rsidRDefault="00400398" w:rsidP="00CA5962">
      <w:pPr>
        <w:keepNext/>
        <w:keepLines/>
        <w:ind w:left="1418" w:hanging="1418"/>
      </w:pPr>
      <w:r w:rsidRPr="007232E4">
        <w:rPr>
          <w:b/>
        </w:rPr>
        <w:lastRenderedPageBreak/>
        <w:t>Tabela </w:t>
      </w:r>
      <w:r>
        <w:rPr>
          <w:b/>
        </w:rPr>
        <w:t>10</w:t>
      </w:r>
      <w:r w:rsidRPr="007232E4">
        <w:rPr>
          <w:b/>
        </w:rPr>
        <w:tab/>
        <w:t>Resultados de eficácia do ensaio E2100</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800"/>
        <w:gridCol w:w="1440"/>
        <w:gridCol w:w="1800"/>
      </w:tblGrid>
      <w:tr w:rsidR="00400398" w:rsidRPr="00215594" w14:paraId="0DDC2F1E" w14:textId="77777777" w:rsidTr="00F84709">
        <w:trPr>
          <w:trHeight w:val="619"/>
        </w:trPr>
        <w:tc>
          <w:tcPr>
            <w:tcW w:w="8748" w:type="dxa"/>
            <w:gridSpan w:val="5"/>
          </w:tcPr>
          <w:p w14:paraId="442300A2" w14:textId="77777777" w:rsidR="00400398" w:rsidRPr="00215594" w:rsidRDefault="00400398" w:rsidP="00F84709">
            <w:pPr>
              <w:pStyle w:val="TableCellHead"/>
              <w:spacing w:line="360" w:lineRule="auto"/>
              <w:rPr>
                <w:sz w:val="22"/>
                <w:szCs w:val="22"/>
                <w:u w:val="none"/>
                <w:vertAlign w:val="superscript"/>
              </w:rPr>
            </w:pPr>
            <w:r w:rsidRPr="00215594">
              <w:rPr>
                <w:sz w:val="22"/>
                <w:szCs w:val="22"/>
                <w:u w:val="none"/>
              </w:rPr>
              <w:t>Sobrevivência livre de progressão</w:t>
            </w:r>
          </w:p>
        </w:tc>
      </w:tr>
      <w:tr w:rsidR="00400398" w:rsidRPr="00215594" w14:paraId="431E00A2" w14:textId="77777777">
        <w:tc>
          <w:tcPr>
            <w:tcW w:w="2268" w:type="dxa"/>
          </w:tcPr>
          <w:p w14:paraId="53084F0A" w14:textId="77777777" w:rsidR="00400398" w:rsidRPr="00215594" w:rsidRDefault="00400398" w:rsidP="00623C6A">
            <w:pPr>
              <w:keepNext/>
              <w:keepLines/>
              <w:jc w:val="center"/>
              <w:rPr>
                <w:szCs w:val="22"/>
              </w:rPr>
            </w:pPr>
          </w:p>
        </w:tc>
        <w:tc>
          <w:tcPr>
            <w:tcW w:w="3240" w:type="dxa"/>
            <w:gridSpan w:val="2"/>
          </w:tcPr>
          <w:p w14:paraId="00CD14DE" w14:textId="77777777" w:rsidR="00400398" w:rsidRPr="00215594" w:rsidRDefault="00400398" w:rsidP="00623C6A">
            <w:pPr>
              <w:keepNext/>
              <w:keepLines/>
              <w:jc w:val="center"/>
              <w:rPr>
                <w:szCs w:val="22"/>
              </w:rPr>
            </w:pPr>
            <w:r w:rsidRPr="00215594">
              <w:rPr>
                <w:szCs w:val="22"/>
              </w:rPr>
              <w:t xml:space="preserve">Avaliação do investigator* </w:t>
            </w:r>
          </w:p>
        </w:tc>
        <w:tc>
          <w:tcPr>
            <w:tcW w:w="3240" w:type="dxa"/>
            <w:gridSpan w:val="2"/>
          </w:tcPr>
          <w:p w14:paraId="56A64125" w14:textId="77777777" w:rsidR="00400398" w:rsidRPr="00215594" w:rsidRDefault="00400398" w:rsidP="00623C6A">
            <w:pPr>
              <w:keepNext/>
              <w:keepLines/>
              <w:jc w:val="center"/>
              <w:rPr>
                <w:szCs w:val="22"/>
              </w:rPr>
            </w:pPr>
            <w:r w:rsidRPr="00215594">
              <w:rPr>
                <w:szCs w:val="22"/>
              </w:rPr>
              <w:t xml:space="preserve">Avaliação independente </w:t>
            </w:r>
          </w:p>
        </w:tc>
      </w:tr>
      <w:tr w:rsidR="00400398" w:rsidRPr="00215594" w14:paraId="7E7A165F" w14:textId="77777777">
        <w:tc>
          <w:tcPr>
            <w:tcW w:w="2268" w:type="dxa"/>
          </w:tcPr>
          <w:p w14:paraId="710B2422" w14:textId="77777777" w:rsidR="00400398" w:rsidRPr="00215594" w:rsidRDefault="00400398" w:rsidP="00623C6A">
            <w:pPr>
              <w:keepNext/>
              <w:keepLines/>
              <w:jc w:val="center"/>
              <w:rPr>
                <w:szCs w:val="22"/>
              </w:rPr>
            </w:pPr>
          </w:p>
        </w:tc>
        <w:tc>
          <w:tcPr>
            <w:tcW w:w="1440" w:type="dxa"/>
          </w:tcPr>
          <w:p w14:paraId="53763206" w14:textId="77777777" w:rsidR="00400398" w:rsidRPr="00215594" w:rsidRDefault="00400398" w:rsidP="00623C6A">
            <w:pPr>
              <w:keepNext/>
              <w:keepLines/>
              <w:jc w:val="center"/>
              <w:rPr>
                <w:szCs w:val="22"/>
              </w:rPr>
            </w:pPr>
            <w:r w:rsidRPr="00215594">
              <w:rPr>
                <w:szCs w:val="22"/>
              </w:rPr>
              <w:t>Paclitaxel</w:t>
            </w:r>
          </w:p>
          <w:p w14:paraId="7869EBD0" w14:textId="77777777" w:rsidR="00400398" w:rsidRPr="00215594" w:rsidRDefault="00400398" w:rsidP="00623C6A">
            <w:pPr>
              <w:keepNext/>
              <w:keepLines/>
              <w:jc w:val="center"/>
              <w:rPr>
                <w:szCs w:val="22"/>
              </w:rPr>
            </w:pPr>
            <w:r w:rsidRPr="00215594">
              <w:rPr>
                <w:szCs w:val="22"/>
              </w:rPr>
              <w:t>(n = 354)</w:t>
            </w:r>
          </w:p>
        </w:tc>
        <w:tc>
          <w:tcPr>
            <w:tcW w:w="1800" w:type="dxa"/>
          </w:tcPr>
          <w:p w14:paraId="12889063" w14:textId="77777777" w:rsidR="007B4A1B" w:rsidRPr="00215594" w:rsidRDefault="00400398" w:rsidP="00623C6A">
            <w:pPr>
              <w:keepNext/>
              <w:keepLines/>
              <w:jc w:val="center"/>
              <w:rPr>
                <w:szCs w:val="22"/>
              </w:rPr>
            </w:pPr>
            <w:r w:rsidRPr="00215594">
              <w:rPr>
                <w:szCs w:val="22"/>
              </w:rPr>
              <w:t>Paclitaxel/</w:t>
            </w:r>
          </w:p>
          <w:p w14:paraId="1C17E954" w14:textId="77777777" w:rsidR="00400398" w:rsidRPr="00215594" w:rsidRDefault="00066BFF" w:rsidP="00623C6A">
            <w:pPr>
              <w:keepNext/>
              <w:keepLines/>
              <w:jc w:val="center"/>
              <w:rPr>
                <w:szCs w:val="22"/>
              </w:rPr>
            </w:pPr>
            <w:r w:rsidRPr="00215594">
              <w:rPr>
                <w:szCs w:val="22"/>
              </w:rPr>
              <w:t>bevacizumab</w:t>
            </w:r>
          </w:p>
          <w:p w14:paraId="5C5EFA4E" w14:textId="77777777" w:rsidR="00400398" w:rsidRPr="00215594" w:rsidRDefault="00400398" w:rsidP="00623C6A">
            <w:pPr>
              <w:keepNext/>
              <w:keepLines/>
              <w:jc w:val="center"/>
              <w:rPr>
                <w:szCs w:val="22"/>
              </w:rPr>
            </w:pPr>
            <w:r w:rsidRPr="00215594">
              <w:rPr>
                <w:szCs w:val="22"/>
              </w:rPr>
              <w:t>(n = 368)</w:t>
            </w:r>
          </w:p>
        </w:tc>
        <w:tc>
          <w:tcPr>
            <w:tcW w:w="1440" w:type="dxa"/>
          </w:tcPr>
          <w:p w14:paraId="42B5646B" w14:textId="77777777" w:rsidR="00400398" w:rsidRPr="00215594" w:rsidRDefault="00400398" w:rsidP="00623C6A">
            <w:pPr>
              <w:keepNext/>
              <w:keepLines/>
              <w:jc w:val="center"/>
              <w:rPr>
                <w:szCs w:val="22"/>
              </w:rPr>
            </w:pPr>
            <w:r w:rsidRPr="00215594">
              <w:rPr>
                <w:szCs w:val="22"/>
              </w:rPr>
              <w:t>Paclitaxel</w:t>
            </w:r>
          </w:p>
          <w:p w14:paraId="43DA2DCB" w14:textId="77777777" w:rsidR="00400398" w:rsidRPr="00215594" w:rsidRDefault="00400398" w:rsidP="00623C6A">
            <w:pPr>
              <w:keepNext/>
              <w:keepLines/>
              <w:jc w:val="center"/>
              <w:rPr>
                <w:szCs w:val="22"/>
              </w:rPr>
            </w:pPr>
            <w:r w:rsidRPr="00215594">
              <w:rPr>
                <w:szCs w:val="22"/>
              </w:rPr>
              <w:t>(n = 354)</w:t>
            </w:r>
          </w:p>
        </w:tc>
        <w:tc>
          <w:tcPr>
            <w:tcW w:w="1800" w:type="dxa"/>
          </w:tcPr>
          <w:p w14:paraId="241BA52E" w14:textId="77777777" w:rsidR="007B4A1B" w:rsidRPr="00215594" w:rsidRDefault="00400398" w:rsidP="00623C6A">
            <w:pPr>
              <w:keepNext/>
              <w:keepLines/>
              <w:jc w:val="center"/>
              <w:rPr>
                <w:szCs w:val="22"/>
              </w:rPr>
            </w:pPr>
            <w:r w:rsidRPr="00215594">
              <w:rPr>
                <w:szCs w:val="22"/>
              </w:rPr>
              <w:t>Paclitaxel/</w:t>
            </w:r>
          </w:p>
          <w:p w14:paraId="539CA6C8" w14:textId="77777777" w:rsidR="00400398" w:rsidRPr="00215594" w:rsidRDefault="00066BFF" w:rsidP="00623C6A">
            <w:pPr>
              <w:keepNext/>
              <w:keepLines/>
              <w:jc w:val="center"/>
              <w:rPr>
                <w:szCs w:val="22"/>
              </w:rPr>
            </w:pPr>
            <w:r w:rsidRPr="00215594">
              <w:rPr>
                <w:szCs w:val="22"/>
              </w:rPr>
              <w:t>bevacizumab</w:t>
            </w:r>
          </w:p>
          <w:p w14:paraId="3BB73507" w14:textId="77777777" w:rsidR="00400398" w:rsidRPr="00215594" w:rsidRDefault="00400398" w:rsidP="00623C6A">
            <w:pPr>
              <w:keepNext/>
              <w:keepLines/>
              <w:jc w:val="center"/>
              <w:rPr>
                <w:szCs w:val="22"/>
              </w:rPr>
            </w:pPr>
            <w:r w:rsidRPr="00215594">
              <w:rPr>
                <w:szCs w:val="22"/>
              </w:rPr>
              <w:t>(n = 368)</w:t>
            </w:r>
          </w:p>
        </w:tc>
      </w:tr>
      <w:tr w:rsidR="00400398" w:rsidRPr="00215594" w14:paraId="36E4F520" w14:textId="77777777">
        <w:tc>
          <w:tcPr>
            <w:tcW w:w="2268" w:type="dxa"/>
          </w:tcPr>
          <w:p w14:paraId="2CB929A2" w14:textId="77777777" w:rsidR="00400398" w:rsidRPr="00215594" w:rsidRDefault="00400398" w:rsidP="00623C6A">
            <w:pPr>
              <w:keepNext/>
              <w:keepLines/>
              <w:jc w:val="center"/>
              <w:rPr>
                <w:szCs w:val="22"/>
              </w:rPr>
            </w:pPr>
            <w:r w:rsidRPr="00215594">
              <w:rPr>
                <w:szCs w:val="22"/>
              </w:rPr>
              <w:t xml:space="preserve">PFS </w:t>
            </w:r>
            <w:r w:rsidR="003F3D13">
              <w:rPr>
                <w:szCs w:val="22"/>
              </w:rPr>
              <w:t>m</w:t>
            </w:r>
            <w:r w:rsidRPr="00215594">
              <w:rPr>
                <w:szCs w:val="22"/>
              </w:rPr>
              <w:t>ediana (meses)</w:t>
            </w:r>
          </w:p>
        </w:tc>
        <w:tc>
          <w:tcPr>
            <w:tcW w:w="1440" w:type="dxa"/>
          </w:tcPr>
          <w:p w14:paraId="567EEDB6" w14:textId="77777777" w:rsidR="00400398" w:rsidRPr="00215594" w:rsidRDefault="00400398" w:rsidP="00623C6A">
            <w:pPr>
              <w:keepNext/>
              <w:keepLines/>
              <w:jc w:val="center"/>
              <w:rPr>
                <w:szCs w:val="22"/>
              </w:rPr>
            </w:pPr>
            <w:r w:rsidRPr="00215594">
              <w:rPr>
                <w:szCs w:val="22"/>
              </w:rPr>
              <w:t>5,8</w:t>
            </w:r>
          </w:p>
        </w:tc>
        <w:tc>
          <w:tcPr>
            <w:tcW w:w="1800" w:type="dxa"/>
          </w:tcPr>
          <w:p w14:paraId="5E72525B" w14:textId="77777777" w:rsidR="00400398" w:rsidRPr="00215594" w:rsidRDefault="00400398" w:rsidP="00623C6A">
            <w:pPr>
              <w:keepNext/>
              <w:keepLines/>
              <w:jc w:val="center"/>
              <w:rPr>
                <w:szCs w:val="22"/>
              </w:rPr>
            </w:pPr>
            <w:r w:rsidRPr="00215594">
              <w:rPr>
                <w:szCs w:val="22"/>
              </w:rPr>
              <w:t>11,4</w:t>
            </w:r>
          </w:p>
        </w:tc>
        <w:tc>
          <w:tcPr>
            <w:tcW w:w="1440" w:type="dxa"/>
          </w:tcPr>
          <w:p w14:paraId="62CE54D5" w14:textId="77777777" w:rsidR="00400398" w:rsidRPr="00215594" w:rsidRDefault="00400398" w:rsidP="00623C6A">
            <w:pPr>
              <w:keepNext/>
              <w:keepLines/>
              <w:jc w:val="center"/>
              <w:rPr>
                <w:szCs w:val="22"/>
              </w:rPr>
            </w:pPr>
            <w:r w:rsidRPr="00215594">
              <w:rPr>
                <w:szCs w:val="22"/>
              </w:rPr>
              <w:t>5,8</w:t>
            </w:r>
          </w:p>
        </w:tc>
        <w:tc>
          <w:tcPr>
            <w:tcW w:w="1800" w:type="dxa"/>
          </w:tcPr>
          <w:p w14:paraId="20995F2D" w14:textId="77777777" w:rsidR="00400398" w:rsidRPr="00215594" w:rsidRDefault="00400398" w:rsidP="00623C6A">
            <w:pPr>
              <w:keepNext/>
              <w:keepLines/>
              <w:jc w:val="center"/>
              <w:rPr>
                <w:szCs w:val="22"/>
              </w:rPr>
            </w:pPr>
            <w:r w:rsidRPr="00215594">
              <w:rPr>
                <w:szCs w:val="22"/>
              </w:rPr>
              <w:t>11,3</w:t>
            </w:r>
          </w:p>
        </w:tc>
      </w:tr>
      <w:tr w:rsidR="00400398" w:rsidRPr="00215594" w14:paraId="011E41F4" w14:textId="77777777">
        <w:tc>
          <w:tcPr>
            <w:tcW w:w="2268" w:type="dxa"/>
          </w:tcPr>
          <w:p w14:paraId="089C93D0" w14:textId="77777777" w:rsidR="00400398" w:rsidRPr="00215594" w:rsidRDefault="00400398" w:rsidP="00623C6A">
            <w:pPr>
              <w:keepNext/>
              <w:keepLines/>
              <w:jc w:val="center"/>
              <w:rPr>
                <w:szCs w:val="22"/>
              </w:rPr>
            </w:pPr>
            <w:r w:rsidRPr="00215594">
              <w:rPr>
                <w:i/>
                <w:szCs w:val="22"/>
              </w:rPr>
              <w:t xml:space="preserve">Hazard </w:t>
            </w:r>
            <w:r w:rsidR="003F3D13">
              <w:rPr>
                <w:i/>
                <w:szCs w:val="22"/>
              </w:rPr>
              <w:t>r</w:t>
            </w:r>
            <w:r w:rsidRPr="00215594">
              <w:rPr>
                <w:i/>
                <w:szCs w:val="22"/>
              </w:rPr>
              <w:t xml:space="preserve">atio </w:t>
            </w:r>
            <w:r w:rsidRPr="00215594">
              <w:rPr>
                <w:szCs w:val="22"/>
              </w:rPr>
              <w:t xml:space="preserve">(taxa de risco) </w:t>
            </w:r>
          </w:p>
          <w:p w14:paraId="79DF351A" w14:textId="77777777" w:rsidR="00400398" w:rsidRPr="00215594" w:rsidRDefault="00400398" w:rsidP="00623C6A">
            <w:pPr>
              <w:keepNext/>
              <w:keepLines/>
              <w:jc w:val="center"/>
              <w:rPr>
                <w:szCs w:val="22"/>
              </w:rPr>
            </w:pPr>
            <w:r w:rsidRPr="00215594">
              <w:rPr>
                <w:szCs w:val="22"/>
              </w:rPr>
              <w:t>(IC 95%)</w:t>
            </w:r>
          </w:p>
        </w:tc>
        <w:tc>
          <w:tcPr>
            <w:tcW w:w="3240" w:type="dxa"/>
            <w:gridSpan w:val="2"/>
          </w:tcPr>
          <w:p w14:paraId="03051C89" w14:textId="77777777" w:rsidR="00400398" w:rsidRPr="00215594" w:rsidRDefault="00400398" w:rsidP="00623C6A">
            <w:pPr>
              <w:keepNext/>
              <w:keepLines/>
              <w:jc w:val="center"/>
              <w:rPr>
                <w:szCs w:val="22"/>
              </w:rPr>
            </w:pPr>
            <w:r w:rsidRPr="00215594">
              <w:rPr>
                <w:szCs w:val="22"/>
              </w:rPr>
              <w:t xml:space="preserve">0,421 </w:t>
            </w:r>
          </w:p>
          <w:p w14:paraId="7624716F" w14:textId="77777777" w:rsidR="008B03F5" w:rsidRPr="00215594" w:rsidRDefault="008B03F5" w:rsidP="00623C6A">
            <w:pPr>
              <w:keepNext/>
              <w:keepLines/>
              <w:jc w:val="center"/>
              <w:rPr>
                <w:szCs w:val="22"/>
              </w:rPr>
            </w:pPr>
          </w:p>
          <w:p w14:paraId="6F209BF8" w14:textId="77777777" w:rsidR="00400398" w:rsidRPr="00215594" w:rsidRDefault="00400398" w:rsidP="00623C6A">
            <w:pPr>
              <w:keepNext/>
              <w:keepLines/>
              <w:jc w:val="center"/>
              <w:rPr>
                <w:szCs w:val="22"/>
              </w:rPr>
            </w:pPr>
            <w:r w:rsidRPr="00215594">
              <w:rPr>
                <w:szCs w:val="22"/>
              </w:rPr>
              <w:t>(0,343 ; 0,516)</w:t>
            </w:r>
          </w:p>
        </w:tc>
        <w:tc>
          <w:tcPr>
            <w:tcW w:w="3240" w:type="dxa"/>
            <w:gridSpan w:val="2"/>
          </w:tcPr>
          <w:p w14:paraId="510C788C" w14:textId="77777777" w:rsidR="00400398" w:rsidRPr="00215594" w:rsidRDefault="00400398" w:rsidP="00623C6A">
            <w:pPr>
              <w:keepNext/>
              <w:keepLines/>
              <w:jc w:val="center"/>
              <w:rPr>
                <w:szCs w:val="22"/>
              </w:rPr>
            </w:pPr>
            <w:r w:rsidRPr="00215594">
              <w:rPr>
                <w:szCs w:val="22"/>
              </w:rPr>
              <w:t xml:space="preserve">0,483 </w:t>
            </w:r>
          </w:p>
          <w:p w14:paraId="66796BA6" w14:textId="77777777" w:rsidR="008B03F5" w:rsidRPr="00215594" w:rsidRDefault="008B03F5" w:rsidP="00623C6A">
            <w:pPr>
              <w:keepNext/>
              <w:keepLines/>
              <w:jc w:val="center"/>
              <w:rPr>
                <w:szCs w:val="22"/>
              </w:rPr>
            </w:pPr>
          </w:p>
          <w:p w14:paraId="5B23A282" w14:textId="77777777" w:rsidR="00400398" w:rsidRPr="00215594" w:rsidRDefault="00400398" w:rsidP="00623C6A">
            <w:pPr>
              <w:keepNext/>
              <w:keepLines/>
              <w:jc w:val="center"/>
              <w:rPr>
                <w:szCs w:val="22"/>
              </w:rPr>
            </w:pPr>
            <w:r w:rsidRPr="00215594">
              <w:rPr>
                <w:szCs w:val="22"/>
              </w:rPr>
              <w:t>(0,385 ; 0,607)</w:t>
            </w:r>
          </w:p>
        </w:tc>
      </w:tr>
      <w:tr w:rsidR="00400398" w:rsidRPr="00215594" w14:paraId="3995B8D2" w14:textId="77777777">
        <w:tc>
          <w:tcPr>
            <w:tcW w:w="2268" w:type="dxa"/>
          </w:tcPr>
          <w:p w14:paraId="00D4D043" w14:textId="77777777" w:rsidR="00400398" w:rsidRPr="00215594" w:rsidRDefault="00400398" w:rsidP="00623C6A">
            <w:pPr>
              <w:keepNext/>
              <w:keepLines/>
              <w:jc w:val="center"/>
              <w:rPr>
                <w:szCs w:val="22"/>
              </w:rPr>
            </w:pPr>
            <w:r w:rsidRPr="00215594">
              <w:rPr>
                <w:szCs w:val="22"/>
              </w:rPr>
              <w:t>Valor de p</w:t>
            </w:r>
          </w:p>
        </w:tc>
        <w:tc>
          <w:tcPr>
            <w:tcW w:w="3240" w:type="dxa"/>
            <w:gridSpan w:val="2"/>
          </w:tcPr>
          <w:p w14:paraId="7F464AAB" w14:textId="77777777" w:rsidR="00400398" w:rsidRPr="00215594" w:rsidRDefault="00400398" w:rsidP="00623C6A">
            <w:pPr>
              <w:keepNext/>
              <w:keepLines/>
              <w:jc w:val="center"/>
              <w:rPr>
                <w:szCs w:val="22"/>
              </w:rPr>
            </w:pPr>
            <w:r w:rsidRPr="00215594">
              <w:rPr>
                <w:szCs w:val="22"/>
              </w:rPr>
              <w:t>&lt; 0,0001</w:t>
            </w:r>
          </w:p>
        </w:tc>
        <w:tc>
          <w:tcPr>
            <w:tcW w:w="3240" w:type="dxa"/>
            <w:gridSpan w:val="2"/>
          </w:tcPr>
          <w:p w14:paraId="46AB6D87" w14:textId="77777777" w:rsidR="00400398" w:rsidRPr="00215594" w:rsidRDefault="00400398" w:rsidP="00623C6A">
            <w:pPr>
              <w:keepNext/>
              <w:keepLines/>
              <w:jc w:val="center"/>
              <w:rPr>
                <w:szCs w:val="22"/>
              </w:rPr>
            </w:pPr>
            <w:r w:rsidRPr="00215594">
              <w:rPr>
                <w:szCs w:val="22"/>
              </w:rPr>
              <w:t>&lt; 0,0001</w:t>
            </w:r>
          </w:p>
        </w:tc>
      </w:tr>
      <w:tr w:rsidR="00400398" w:rsidRPr="00215594" w14:paraId="1780515C" w14:textId="77777777">
        <w:tc>
          <w:tcPr>
            <w:tcW w:w="8748" w:type="dxa"/>
            <w:gridSpan w:val="5"/>
          </w:tcPr>
          <w:p w14:paraId="3FE035E4" w14:textId="77777777" w:rsidR="00400398" w:rsidRPr="00215594" w:rsidRDefault="00400398" w:rsidP="00623C6A">
            <w:pPr>
              <w:keepNext/>
              <w:keepLines/>
              <w:spacing w:before="120" w:after="120"/>
              <w:rPr>
                <w:szCs w:val="22"/>
              </w:rPr>
            </w:pPr>
            <w:r w:rsidRPr="00215594">
              <w:rPr>
                <w:szCs w:val="22"/>
              </w:rPr>
              <w:t xml:space="preserve">Taxas de </w:t>
            </w:r>
            <w:r w:rsidR="003F3D13">
              <w:rPr>
                <w:szCs w:val="22"/>
              </w:rPr>
              <w:t>r</w:t>
            </w:r>
            <w:r w:rsidRPr="00215594">
              <w:rPr>
                <w:szCs w:val="22"/>
              </w:rPr>
              <w:t>esposta (em doentes com doença mensurável)</w:t>
            </w:r>
          </w:p>
        </w:tc>
      </w:tr>
      <w:tr w:rsidR="00400398" w:rsidRPr="00215594" w14:paraId="08F839DF" w14:textId="77777777">
        <w:tc>
          <w:tcPr>
            <w:tcW w:w="2268" w:type="dxa"/>
          </w:tcPr>
          <w:p w14:paraId="30BDEE9F" w14:textId="77777777" w:rsidR="00400398" w:rsidRPr="00215594" w:rsidRDefault="00400398" w:rsidP="00623C6A">
            <w:pPr>
              <w:keepNext/>
              <w:keepLines/>
              <w:jc w:val="center"/>
              <w:rPr>
                <w:szCs w:val="22"/>
              </w:rPr>
            </w:pPr>
          </w:p>
        </w:tc>
        <w:tc>
          <w:tcPr>
            <w:tcW w:w="3240" w:type="dxa"/>
            <w:gridSpan w:val="2"/>
          </w:tcPr>
          <w:p w14:paraId="01780615" w14:textId="77777777" w:rsidR="00400398" w:rsidRPr="00215594" w:rsidRDefault="00400398" w:rsidP="00623C6A">
            <w:pPr>
              <w:keepNext/>
              <w:keepLines/>
              <w:jc w:val="center"/>
              <w:rPr>
                <w:szCs w:val="22"/>
              </w:rPr>
            </w:pPr>
            <w:r w:rsidRPr="00215594">
              <w:rPr>
                <w:szCs w:val="22"/>
              </w:rPr>
              <w:t>Avaliação do investigator</w:t>
            </w:r>
          </w:p>
        </w:tc>
        <w:tc>
          <w:tcPr>
            <w:tcW w:w="3240" w:type="dxa"/>
            <w:gridSpan w:val="2"/>
          </w:tcPr>
          <w:p w14:paraId="748E0F92" w14:textId="77777777" w:rsidR="00400398" w:rsidRPr="00215594" w:rsidRDefault="00400398" w:rsidP="00623C6A">
            <w:pPr>
              <w:keepNext/>
              <w:keepLines/>
              <w:jc w:val="center"/>
              <w:rPr>
                <w:szCs w:val="22"/>
              </w:rPr>
            </w:pPr>
            <w:r w:rsidRPr="00215594">
              <w:rPr>
                <w:szCs w:val="22"/>
              </w:rPr>
              <w:t>Avaliação independente</w:t>
            </w:r>
          </w:p>
        </w:tc>
      </w:tr>
      <w:tr w:rsidR="00400398" w:rsidRPr="00215594" w14:paraId="3BFFDAB1" w14:textId="77777777">
        <w:tc>
          <w:tcPr>
            <w:tcW w:w="2268" w:type="dxa"/>
          </w:tcPr>
          <w:p w14:paraId="35D0D955" w14:textId="77777777" w:rsidR="00400398" w:rsidRPr="00215594" w:rsidRDefault="00400398" w:rsidP="00623C6A">
            <w:pPr>
              <w:keepNext/>
              <w:keepLines/>
              <w:jc w:val="center"/>
              <w:rPr>
                <w:szCs w:val="22"/>
              </w:rPr>
            </w:pPr>
          </w:p>
        </w:tc>
        <w:tc>
          <w:tcPr>
            <w:tcW w:w="1440" w:type="dxa"/>
          </w:tcPr>
          <w:p w14:paraId="282E69FF" w14:textId="77777777" w:rsidR="00400398" w:rsidRPr="00215594" w:rsidRDefault="00400398" w:rsidP="00623C6A">
            <w:pPr>
              <w:keepNext/>
              <w:keepLines/>
              <w:jc w:val="center"/>
              <w:rPr>
                <w:szCs w:val="22"/>
              </w:rPr>
            </w:pPr>
            <w:r w:rsidRPr="00215594">
              <w:rPr>
                <w:szCs w:val="22"/>
              </w:rPr>
              <w:t>Paclitaxel</w:t>
            </w:r>
          </w:p>
          <w:p w14:paraId="17A5267E" w14:textId="77777777" w:rsidR="00400398" w:rsidRPr="00215594" w:rsidRDefault="00400398" w:rsidP="00623C6A">
            <w:pPr>
              <w:keepNext/>
              <w:keepLines/>
              <w:jc w:val="center"/>
              <w:rPr>
                <w:szCs w:val="22"/>
              </w:rPr>
            </w:pPr>
            <w:r w:rsidRPr="00215594">
              <w:rPr>
                <w:szCs w:val="22"/>
              </w:rPr>
              <w:t>(n = 273)</w:t>
            </w:r>
          </w:p>
        </w:tc>
        <w:tc>
          <w:tcPr>
            <w:tcW w:w="1800" w:type="dxa"/>
          </w:tcPr>
          <w:p w14:paraId="35C274DC" w14:textId="77777777" w:rsidR="008B03F5" w:rsidRPr="00215594" w:rsidRDefault="00400398" w:rsidP="00623C6A">
            <w:pPr>
              <w:keepNext/>
              <w:keepLines/>
              <w:jc w:val="center"/>
              <w:rPr>
                <w:szCs w:val="22"/>
              </w:rPr>
            </w:pPr>
            <w:r w:rsidRPr="00215594">
              <w:rPr>
                <w:szCs w:val="22"/>
              </w:rPr>
              <w:t>Paclitaxel/</w:t>
            </w:r>
          </w:p>
          <w:p w14:paraId="0009E189" w14:textId="77777777" w:rsidR="00400398" w:rsidRPr="00215594" w:rsidRDefault="00066BFF" w:rsidP="00623C6A">
            <w:pPr>
              <w:keepNext/>
              <w:keepLines/>
              <w:jc w:val="center"/>
              <w:rPr>
                <w:szCs w:val="22"/>
              </w:rPr>
            </w:pPr>
            <w:r w:rsidRPr="00215594">
              <w:rPr>
                <w:szCs w:val="22"/>
              </w:rPr>
              <w:t>bevacizumab</w:t>
            </w:r>
          </w:p>
          <w:p w14:paraId="161DEE6F" w14:textId="77777777" w:rsidR="00400398" w:rsidRPr="00215594" w:rsidRDefault="00400398" w:rsidP="00623C6A">
            <w:pPr>
              <w:keepNext/>
              <w:keepLines/>
              <w:jc w:val="center"/>
              <w:rPr>
                <w:szCs w:val="22"/>
              </w:rPr>
            </w:pPr>
            <w:r w:rsidRPr="00215594">
              <w:rPr>
                <w:szCs w:val="22"/>
              </w:rPr>
              <w:t>(n = 252)</w:t>
            </w:r>
          </w:p>
        </w:tc>
        <w:tc>
          <w:tcPr>
            <w:tcW w:w="1440" w:type="dxa"/>
          </w:tcPr>
          <w:p w14:paraId="1550CB81" w14:textId="77777777" w:rsidR="00400398" w:rsidRPr="00215594" w:rsidRDefault="00400398" w:rsidP="00623C6A">
            <w:pPr>
              <w:keepNext/>
              <w:keepLines/>
              <w:jc w:val="center"/>
              <w:rPr>
                <w:szCs w:val="22"/>
              </w:rPr>
            </w:pPr>
            <w:r w:rsidRPr="00215594">
              <w:rPr>
                <w:szCs w:val="22"/>
              </w:rPr>
              <w:t>Paclitaxel</w:t>
            </w:r>
          </w:p>
          <w:p w14:paraId="579BD751" w14:textId="77777777" w:rsidR="00400398" w:rsidRPr="00215594" w:rsidRDefault="00400398" w:rsidP="00623C6A">
            <w:pPr>
              <w:keepNext/>
              <w:keepLines/>
              <w:jc w:val="center"/>
              <w:rPr>
                <w:szCs w:val="22"/>
              </w:rPr>
            </w:pPr>
            <w:r w:rsidRPr="00215594">
              <w:rPr>
                <w:szCs w:val="22"/>
              </w:rPr>
              <w:t>(n = 243)</w:t>
            </w:r>
          </w:p>
        </w:tc>
        <w:tc>
          <w:tcPr>
            <w:tcW w:w="1800" w:type="dxa"/>
          </w:tcPr>
          <w:p w14:paraId="10A022B4" w14:textId="77777777" w:rsidR="008B03F5" w:rsidRPr="00215594" w:rsidRDefault="00400398" w:rsidP="00623C6A">
            <w:pPr>
              <w:keepNext/>
              <w:keepLines/>
              <w:jc w:val="center"/>
              <w:rPr>
                <w:szCs w:val="22"/>
              </w:rPr>
            </w:pPr>
            <w:r w:rsidRPr="00215594">
              <w:rPr>
                <w:szCs w:val="22"/>
              </w:rPr>
              <w:t>Paclitaxel/</w:t>
            </w:r>
          </w:p>
          <w:p w14:paraId="6A600058" w14:textId="77777777" w:rsidR="00400398" w:rsidRPr="00215594" w:rsidRDefault="00066BFF" w:rsidP="00623C6A">
            <w:pPr>
              <w:keepNext/>
              <w:keepLines/>
              <w:jc w:val="center"/>
              <w:rPr>
                <w:szCs w:val="22"/>
              </w:rPr>
            </w:pPr>
            <w:r w:rsidRPr="00215594">
              <w:rPr>
                <w:szCs w:val="22"/>
              </w:rPr>
              <w:t>bevacizumab</w:t>
            </w:r>
          </w:p>
          <w:p w14:paraId="7FFA2F91" w14:textId="77777777" w:rsidR="00400398" w:rsidRPr="00215594" w:rsidRDefault="00400398" w:rsidP="00623C6A">
            <w:pPr>
              <w:keepNext/>
              <w:keepLines/>
              <w:jc w:val="center"/>
              <w:rPr>
                <w:szCs w:val="22"/>
              </w:rPr>
            </w:pPr>
            <w:r w:rsidRPr="00215594">
              <w:rPr>
                <w:szCs w:val="22"/>
              </w:rPr>
              <w:t>(n = 229)</w:t>
            </w:r>
          </w:p>
        </w:tc>
      </w:tr>
      <w:tr w:rsidR="00400398" w:rsidRPr="00215594" w14:paraId="56E93D55" w14:textId="77777777">
        <w:tc>
          <w:tcPr>
            <w:tcW w:w="2268" w:type="dxa"/>
          </w:tcPr>
          <w:p w14:paraId="61758C72" w14:textId="77777777" w:rsidR="00400398" w:rsidRPr="00215594" w:rsidRDefault="00400398" w:rsidP="00623C6A">
            <w:pPr>
              <w:keepNext/>
              <w:keepLines/>
              <w:jc w:val="center"/>
              <w:rPr>
                <w:szCs w:val="22"/>
              </w:rPr>
            </w:pPr>
            <w:r w:rsidRPr="00215594">
              <w:rPr>
                <w:szCs w:val="22"/>
              </w:rPr>
              <w:t>% doentes com resposta objetiva</w:t>
            </w:r>
          </w:p>
        </w:tc>
        <w:tc>
          <w:tcPr>
            <w:tcW w:w="1440" w:type="dxa"/>
          </w:tcPr>
          <w:p w14:paraId="7599CA93" w14:textId="77777777" w:rsidR="00400398" w:rsidRPr="00215594" w:rsidRDefault="00400398" w:rsidP="00623C6A">
            <w:pPr>
              <w:keepNext/>
              <w:keepLines/>
              <w:jc w:val="center"/>
              <w:rPr>
                <w:szCs w:val="22"/>
              </w:rPr>
            </w:pPr>
            <w:r w:rsidRPr="00215594">
              <w:rPr>
                <w:szCs w:val="22"/>
              </w:rPr>
              <w:t>23,4</w:t>
            </w:r>
          </w:p>
        </w:tc>
        <w:tc>
          <w:tcPr>
            <w:tcW w:w="1800" w:type="dxa"/>
          </w:tcPr>
          <w:p w14:paraId="27FD6F73" w14:textId="77777777" w:rsidR="00400398" w:rsidRPr="00215594" w:rsidRDefault="00400398" w:rsidP="00623C6A">
            <w:pPr>
              <w:keepNext/>
              <w:keepLines/>
              <w:jc w:val="center"/>
              <w:rPr>
                <w:szCs w:val="22"/>
              </w:rPr>
            </w:pPr>
            <w:r w:rsidRPr="00215594">
              <w:rPr>
                <w:szCs w:val="22"/>
              </w:rPr>
              <w:t>48,0</w:t>
            </w:r>
          </w:p>
        </w:tc>
        <w:tc>
          <w:tcPr>
            <w:tcW w:w="1440" w:type="dxa"/>
          </w:tcPr>
          <w:p w14:paraId="40A966F8" w14:textId="77777777" w:rsidR="00400398" w:rsidRPr="00215594" w:rsidRDefault="00400398" w:rsidP="00623C6A">
            <w:pPr>
              <w:keepNext/>
              <w:keepLines/>
              <w:jc w:val="center"/>
              <w:rPr>
                <w:szCs w:val="22"/>
              </w:rPr>
            </w:pPr>
            <w:r w:rsidRPr="00215594">
              <w:rPr>
                <w:szCs w:val="22"/>
              </w:rPr>
              <w:t>22,2</w:t>
            </w:r>
          </w:p>
        </w:tc>
        <w:tc>
          <w:tcPr>
            <w:tcW w:w="1800" w:type="dxa"/>
          </w:tcPr>
          <w:p w14:paraId="3DE009EA" w14:textId="77777777" w:rsidR="00400398" w:rsidRPr="00215594" w:rsidRDefault="00400398" w:rsidP="00623C6A">
            <w:pPr>
              <w:keepNext/>
              <w:keepLines/>
              <w:jc w:val="center"/>
              <w:rPr>
                <w:szCs w:val="22"/>
              </w:rPr>
            </w:pPr>
            <w:r w:rsidRPr="00215594">
              <w:rPr>
                <w:szCs w:val="22"/>
              </w:rPr>
              <w:t>49,8</w:t>
            </w:r>
          </w:p>
        </w:tc>
      </w:tr>
      <w:tr w:rsidR="00400398" w:rsidRPr="00215594" w14:paraId="4FAC1C47" w14:textId="77777777">
        <w:tc>
          <w:tcPr>
            <w:tcW w:w="2268" w:type="dxa"/>
          </w:tcPr>
          <w:p w14:paraId="4CE2D23A" w14:textId="77777777" w:rsidR="00400398" w:rsidRPr="00215594" w:rsidRDefault="00400398" w:rsidP="00623C6A">
            <w:pPr>
              <w:keepNext/>
              <w:keepLines/>
              <w:jc w:val="center"/>
              <w:rPr>
                <w:szCs w:val="22"/>
              </w:rPr>
            </w:pPr>
            <w:r w:rsidRPr="00215594">
              <w:rPr>
                <w:szCs w:val="22"/>
              </w:rPr>
              <w:t>Valor de p</w:t>
            </w:r>
          </w:p>
        </w:tc>
        <w:tc>
          <w:tcPr>
            <w:tcW w:w="3240" w:type="dxa"/>
            <w:gridSpan w:val="2"/>
          </w:tcPr>
          <w:p w14:paraId="34A7C793" w14:textId="77777777" w:rsidR="00400398" w:rsidRPr="00215594" w:rsidRDefault="00400398" w:rsidP="00623C6A">
            <w:pPr>
              <w:keepNext/>
              <w:keepLines/>
              <w:jc w:val="center"/>
              <w:rPr>
                <w:szCs w:val="22"/>
              </w:rPr>
            </w:pPr>
            <w:r w:rsidRPr="00215594">
              <w:rPr>
                <w:szCs w:val="22"/>
              </w:rPr>
              <w:t>&lt; 0,0001</w:t>
            </w:r>
          </w:p>
        </w:tc>
        <w:tc>
          <w:tcPr>
            <w:tcW w:w="3240" w:type="dxa"/>
            <w:gridSpan w:val="2"/>
          </w:tcPr>
          <w:p w14:paraId="23A01757" w14:textId="77777777" w:rsidR="00400398" w:rsidRPr="00215594" w:rsidRDefault="00400398" w:rsidP="00623C6A">
            <w:pPr>
              <w:keepNext/>
              <w:keepLines/>
              <w:jc w:val="center"/>
              <w:rPr>
                <w:szCs w:val="22"/>
              </w:rPr>
            </w:pPr>
            <w:r w:rsidRPr="00215594">
              <w:rPr>
                <w:szCs w:val="22"/>
              </w:rPr>
              <w:t>&lt; 0,0001</w:t>
            </w:r>
          </w:p>
        </w:tc>
      </w:tr>
    </w:tbl>
    <w:p w14:paraId="18C5A810" w14:textId="77777777" w:rsidR="00400398" w:rsidRPr="00360DBA" w:rsidRDefault="00400398" w:rsidP="00623C6A">
      <w:pPr>
        <w:keepNext/>
        <w:keepLines/>
        <w:rPr>
          <w:sz w:val="20"/>
        </w:rPr>
      </w:pPr>
      <w:r w:rsidRPr="00360DBA">
        <w:rPr>
          <w:sz w:val="20"/>
        </w:rPr>
        <w:t>* análise primária</w:t>
      </w:r>
    </w:p>
    <w:p w14:paraId="71CD203D" w14:textId="77777777" w:rsidR="00400398" w:rsidRPr="00F84709" w:rsidRDefault="00400398" w:rsidP="00623C6A">
      <w:pPr>
        <w:keepNext/>
        <w:keepLines/>
        <w:rPr>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3240"/>
      </w:tblGrid>
      <w:tr w:rsidR="00400398" w:rsidRPr="00215594" w14:paraId="61D38781" w14:textId="77777777">
        <w:tc>
          <w:tcPr>
            <w:tcW w:w="8748" w:type="dxa"/>
            <w:gridSpan w:val="3"/>
          </w:tcPr>
          <w:p w14:paraId="655AA75D" w14:textId="77777777" w:rsidR="00400398" w:rsidRPr="00215594" w:rsidRDefault="00400398" w:rsidP="00623C6A">
            <w:pPr>
              <w:keepNext/>
              <w:keepLines/>
              <w:rPr>
                <w:szCs w:val="22"/>
              </w:rPr>
            </w:pPr>
            <w:r w:rsidRPr="00215594">
              <w:rPr>
                <w:szCs w:val="22"/>
              </w:rPr>
              <w:t>Sobrevivência global</w:t>
            </w:r>
          </w:p>
        </w:tc>
      </w:tr>
      <w:tr w:rsidR="00400398" w:rsidRPr="00215594" w14:paraId="47C892F2" w14:textId="77777777">
        <w:tc>
          <w:tcPr>
            <w:tcW w:w="2268" w:type="dxa"/>
          </w:tcPr>
          <w:p w14:paraId="0B024F36" w14:textId="77777777" w:rsidR="00400398" w:rsidRPr="00215594" w:rsidRDefault="00400398" w:rsidP="00623C6A">
            <w:pPr>
              <w:keepNext/>
              <w:keepLines/>
              <w:rPr>
                <w:b/>
                <w:szCs w:val="22"/>
              </w:rPr>
            </w:pPr>
          </w:p>
        </w:tc>
        <w:tc>
          <w:tcPr>
            <w:tcW w:w="3240" w:type="dxa"/>
          </w:tcPr>
          <w:p w14:paraId="72A57AF1" w14:textId="77777777" w:rsidR="00400398" w:rsidRPr="00215594" w:rsidRDefault="00400398" w:rsidP="00623C6A">
            <w:pPr>
              <w:keepNext/>
              <w:keepLines/>
              <w:jc w:val="center"/>
              <w:rPr>
                <w:szCs w:val="22"/>
              </w:rPr>
            </w:pPr>
            <w:r w:rsidRPr="00215594">
              <w:rPr>
                <w:szCs w:val="22"/>
              </w:rPr>
              <w:t>Paclitaxel</w:t>
            </w:r>
          </w:p>
          <w:p w14:paraId="516A75D2" w14:textId="77777777" w:rsidR="00400398" w:rsidRPr="00215594" w:rsidRDefault="00400398" w:rsidP="00623C6A">
            <w:pPr>
              <w:keepNext/>
              <w:keepLines/>
              <w:jc w:val="center"/>
              <w:rPr>
                <w:szCs w:val="22"/>
              </w:rPr>
            </w:pPr>
            <w:r w:rsidRPr="00215594">
              <w:rPr>
                <w:szCs w:val="22"/>
              </w:rPr>
              <w:t>(n = 354)</w:t>
            </w:r>
          </w:p>
        </w:tc>
        <w:tc>
          <w:tcPr>
            <w:tcW w:w="3240" w:type="dxa"/>
          </w:tcPr>
          <w:p w14:paraId="7C36E64E" w14:textId="77777777" w:rsidR="00400398" w:rsidRPr="00215594" w:rsidRDefault="00400398" w:rsidP="00623C6A">
            <w:pPr>
              <w:keepNext/>
              <w:keepLines/>
              <w:jc w:val="center"/>
              <w:rPr>
                <w:szCs w:val="22"/>
              </w:rPr>
            </w:pPr>
            <w:r w:rsidRPr="00215594">
              <w:rPr>
                <w:szCs w:val="22"/>
              </w:rPr>
              <w:t>Paclitaxel/</w:t>
            </w:r>
            <w:r w:rsidR="00066BFF" w:rsidRPr="00215594">
              <w:rPr>
                <w:szCs w:val="22"/>
              </w:rPr>
              <w:t>bevacizumab</w:t>
            </w:r>
          </w:p>
          <w:p w14:paraId="612E498D" w14:textId="77777777" w:rsidR="00400398" w:rsidRPr="00215594" w:rsidRDefault="00400398" w:rsidP="00623C6A">
            <w:pPr>
              <w:keepNext/>
              <w:keepLines/>
              <w:jc w:val="center"/>
              <w:rPr>
                <w:szCs w:val="22"/>
              </w:rPr>
            </w:pPr>
            <w:r w:rsidRPr="00215594">
              <w:rPr>
                <w:szCs w:val="22"/>
              </w:rPr>
              <w:t>(n = 368)</w:t>
            </w:r>
          </w:p>
        </w:tc>
      </w:tr>
      <w:tr w:rsidR="00400398" w:rsidRPr="00215594" w14:paraId="76E22C9D" w14:textId="77777777">
        <w:tc>
          <w:tcPr>
            <w:tcW w:w="2268" w:type="dxa"/>
          </w:tcPr>
          <w:p w14:paraId="74BA16E4" w14:textId="77777777" w:rsidR="00400398" w:rsidRPr="00215594" w:rsidRDefault="00400398" w:rsidP="00623C6A">
            <w:pPr>
              <w:keepNext/>
              <w:keepLines/>
              <w:jc w:val="center"/>
              <w:rPr>
                <w:szCs w:val="22"/>
              </w:rPr>
            </w:pPr>
            <w:r w:rsidRPr="00215594">
              <w:rPr>
                <w:szCs w:val="22"/>
              </w:rPr>
              <w:t xml:space="preserve">OS </w:t>
            </w:r>
            <w:r w:rsidR="003F3D13">
              <w:rPr>
                <w:szCs w:val="22"/>
              </w:rPr>
              <w:t>m</w:t>
            </w:r>
            <w:r w:rsidRPr="00215594">
              <w:rPr>
                <w:szCs w:val="22"/>
              </w:rPr>
              <w:t>ediana (meses)</w:t>
            </w:r>
          </w:p>
        </w:tc>
        <w:tc>
          <w:tcPr>
            <w:tcW w:w="3240" w:type="dxa"/>
          </w:tcPr>
          <w:p w14:paraId="220D25E3" w14:textId="77777777" w:rsidR="00400398" w:rsidRPr="00215594" w:rsidRDefault="00400398" w:rsidP="00623C6A">
            <w:pPr>
              <w:keepNext/>
              <w:keepLines/>
              <w:jc w:val="center"/>
              <w:rPr>
                <w:szCs w:val="22"/>
              </w:rPr>
            </w:pPr>
            <w:r w:rsidRPr="00215594">
              <w:rPr>
                <w:szCs w:val="22"/>
              </w:rPr>
              <w:t>24,8</w:t>
            </w:r>
          </w:p>
        </w:tc>
        <w:tc>
          <w:tcPr>
            <w:tcW w:w="3240" w:type="dxa"/>
          </w:tcPr>
          <w:p w14:paraId="6D732F15" w14:textId="77777777" w:rsidR="00400398" w:rsidRPr="00215594" w:rsidRDefault="00400398" w:rsidP="00623C6A">
            <w:pPr>
              <w:keepNext/>
              <w:keepLines/>
              <w:jc w:val="center"/>
              <w:rPr>
                <w:szCs w:val="22"/>
              </w:rPr>
            </w:pPr>
            <w:r w:rsidRPr="00215594">
              <w:rPr>
                <w:szCs w:val="22"/>
              </w:rPr>
              <w:t>26,5</w:t>
            </w:r>
          </w:p>
        </w:tc>
      </w:tr>
      <w:tr w:rsidR="00400398" w:rsidRPr="00215594" w14:paraId="012B233E" w14:textId="77777777">
        <w:tc>
          <w:tcPr>
            <w:tcW w:w="2268" w:type="dxa"/>
          </w:tcPr>
          <w:p w14:paraId="5DD68A21" w14:textId="77777777" w:rsidR="00400398" w:rsidRPr="00215594" w:rsidRDefault="00400398" w:rsidP="00623C6A">
            <w:pPr>
              <w:keepNext/>
              <w:keepLines/>
              <w:jc w:val="center"/>
              <w:rPr>
                <w:szCs w:val="22"/>
              </w:rPr>
            </w:pPr>
            <w:r w:rsidRPr="00215594">
              <w:rPr>
                <w:i/>
                <w:szCs w:val="22"/>
              </w:rPr>
              <w:t xml:space="preserve">Hazard </w:t>
            </w:r>
            <w:r w:rsidR="003F3D13">
              <w:rPr>
                <w:i/>
                <w:szCs w:val="22"/>
              </w:rPr>
              <w:t>r</w:t>
            </w:r>
            <w:r w:rsidRPr="00215594">
              <w:rPr>
                <w:i/>
                <w:szCs w:val="22"/>
              </w:rPr>
              <w:t xml:space="preserve">atio </w:t>
            </w:r>
            <w:r w:rsidRPr="00215594">
              <w:rPr>
                <w:szCs w:val="22"/>
              </w:rPr>
              <w:t xml:space="preserve">(taxa de risco) </w:t>
            </w:r>
          </w:p>
          <w:p w14:paraId="0A7E0103" w14:textId="77777777" w:rsidR="00400398" w:rsidRPr="00215594" w:rsidRDefault="00400398" w:rsidP="00623C6A">
            <w:pPr>
              <w:keepNext/>
              <w:keepLines/>
              <w:jc w:val="center"/>
              <w:rPr>
                <w:szCs w:val="22"/>
              </w:rPr>
            </w:pPr>
            <w:r w:rsidRPr="00215594">
              <w:rPr>
                <w:szCs w:val="22"/>
              </w:rPr>
              <w:t>(IC 95%)</w:t>
            </w:r>
          </w:p>
        </w:tc>
        <w:tc>
          <w:tcPr>
            <w:tcW w:w="6480" w:type="dxa"/>
            <w:gridSpan w:val="2"/>
          </w:tcPr>
          <w:p w14:paraId="1EF98E95" w14:textId="77777777" w:rsidR="00400398" w:rsidRPr="00215594" w:rsidRDefault="00400398" w:rsidP="00623C6A">
            <w:pPr>
              <w:keepNext/>
              <w:keepLines/>
              <w:jc w:val="center"/>
              <w:rPr>
                <w:szCs w:val="22"/>
              </w:rPr>
            </w:pPr>
            <w:r w:rsidRPr="00215594">
              <w:rPr>
                <w:szCs w:val="22"/>
              </w:rPr>
              <w:t xml:space="preserve">0,869 </w:t>
            </w:r>
          </w:p>
          <w:p w14:paraId="66DFB056" w14:textId="77777777" w:rsidR="008B03F5" w:rsidRPr="00215594" w:rsidRDefault="008B03F5" w:rsidP="00623C6A">
            <w:pPr>
              <w:keepNext/>
              <w:keepLines/>
              <w:jc w:val="center"/>
              <w:rPr>
                <w:szCs w:val="22"/>
              </w:rPr>
            </w:pPr>
          </w:p>
          <w:p w14:paraId="2E7CB4A6" w14:textId="77777777" w:rsidR="00400398" w:rsidRPr="00215594" w:rsidRDefault="00400398" w:rsidP="00623C6A">
            <w:pPr>
              <w:keepNext/>
              <w:keepLines/>
              <w:jc w:val="center"/>
              <w:rPr>
                <w:szCs w:val="22"/>
              </w:rPr>
            </w:pPr>
            <w:r w:rsidRPr="00215594">
              <w:rPr>
                <w:szCs w:val="22"/>
              </w:rPr>
              <w:t>(0,722 ; 1,046)</w:t>
            </w:r>
          </w:p>
        </w:tc>
      </w:tr>
      <w:tr w:rsidR="00400398" w:rsidRPr="00215594" w14:paraId="005613BB" w14:textId="77777777">
        <w:tc>
          <w:tcPr>
            <w:tcW w:w="2268" w:type="dxa"/>
          </w:tcPr>
          <w:p w14:paraId="6EF3BA51" w14:textId="77777777" w:rsidR="00400398" w:rsidRPr="00215594" w:rsidRDefault="00400398" w:rsidP="00623C6A">
            <w:pPr>
              <w:keepNext/>
              <w:keepLines/>
              <w:jc w:val="center"/>
              <w:rPr>
                <w:szCs w:val="22"/>
              </w:rPr>
            </w:pPr>
            <w:r w:rsidRPr="00215594">
              <w:rPr>
                <w:szCs w:val="22"/>
              </w:rPr>
              <w:t>Valor de p</w:t>
            </w:r>
          </w:p>
        </w:tc>
        <w:tc>
          <w:tcPr>
            <w:tcW w:w="6480" w:type="dxa"/>
            <w:gridSpan w:val="2"/>
          </w:tcPr>
          <w:p w14:paraId="173FA97E" w14:textId="77777777" w:rsidR="00400398" w:rsidRPr="00215594" w:rsidRDefault="00400398" w:rsidP="00623C6A">
            <w:pPr>
              <w:keepNext/>
              <w:keepLines/>
              <w:jc w:val="center"/>
              <w:rPr>
                <w:szCs w:val="22"/>
              </w:rPr>
            </w:pPr>
            <w:r w:rsidRPr="00215594">
              <w:rPr>
                <w:szCs w:val="22"/>
              </w:rPr>
              <w:t>0,1374</w:t>
            </w:r>
          </w:p>
        </w:tc>
      </w:tr>
    </w:tbl>
    <w:p w14:paraId="013F8EF5" w14:textId="77777777" w:rsidR="00400398" w:rsidRPr="007232E4" w:rsidRDefault="00400398" w:rsidP="00623C6A">
      <w:pPr>
        <w:keepNext/>
        <w:keepLines/>
      </w:pPr>
    </w:p>
    <w:p w14:paraId="7E5BEBF3" w14:textId="77777777" w:rsidR="00400398" w:rsidRPr="007232E4" w:rsidRDefault="00400398">
      <w:r w:rsidRPr="007232E4">
        <w:t xml:space="preserve">O benefício clínico do </w:t>
      </w:r>
      <w:r w:rsidR="00066BFF">
        <w:t>bevacizumab</w:t>
      </w:r>
      <w:r w:rsidRPr="007232E4">
        <w:t>, medido pela sobrevivência livre de progressão, foi observado em todos os subgrupos testados pré</w:t>
      </w:r>
      <w:r w:rsidRPr="007232E4">
        <w:noBreakHyphen/>
        <w:t xml:space="preserve">especificados (incluindo intervalo livre de doença, número de locais </w:t>
      </w:r>
      <w:r w:rsidRPr="007232E4">
        <w:rPr>
          <w:rFonts w:eastAsia="SimSun"/>
          <w:szCs w:val="22"/>
          <w:lang w:eastAsia="zh-CN"/>
        </w:rPr>
        <w:t>metastizados</w:t>
      </w:r>
      <w:r w:rsidRPr="007232E4">
        <w:t xml:space="preserve">, tratamento anterior com quimioterapia adjuvante e </w:t>
      </w:r>
      <w:r w:rsidRPr="007232E4">
        <w:rPr>
          <w:i/>
          <w:iCs/>
        </w:rPr>
        <w:t>status</w:t>
      </w:r>
      <w:r w:rsidRPr="007232E4">
        <w:t xml:space="preserve"> do recetor de estrogénio). </w:t>
      </w:r>
    </w:p>
    <w:p w14:paraId="2777B22A" w14:textId="77777777" w:rsidR="00400398" w:rsidRPr="007232E4" w:rsidRDefault="00400398">
      <w:pPr>
        <w:outlineLvl w:val="0"/>
        <w:rPr>
          <w:b/>
        </w:rPr>
      </w:pPr>
    </w:p>
    <w:p w14:paraId="35FACF3F" w14:textId="77777777" w:rsidR="00400398" w:rsidRPr="007232E4" w:rsidRDefault="00400398">
      <w:pPr>
        <w:keepNext/>
        <w:keepLines/>
        <w:rPr>
          <w:rFonts w:eastAsia="SimSun"/>
          <w:i/>
          <w:lang w:eastAsia="zh-CN"/>
        </w:rPr>
      </w:pPr>
      <w:r w:rsidRPr="007232E4">
        <w:rPr>
          <w:rFonts w:eastAsia="SimSun"/>
          <w:i/>
          <w:lang w:eastAsia="zh-CN"/>
        </w:rPr>
        <w:t>AVF3694g</w:t>
      </w:r>
    </w:p>
    <w:p w14:paraId="71ED837E" w14:textId="7B79E9F2" w:rsidR="00400398" w:rsidRPr="007232E4" w:rsidRDefault="00400398">
      <w:pPr>
        <w:rPr>
          <w:rFonts w:eastAsia="SimSun"/>
          <w:lang w:eastAsia="zh-CN"/>
        </w:rPr>
      </w:pPr>
      <w:r w:rsidRPr="007232E4">
        <w:rPr>
          <w:rFonts w:eastAsia="SimSun"/>
          <w:lang w:eastAsia="zh-CN"/>
        </w:rPr>
        <w:t xml:space="preserve">O estudo AVF3694g foi um ensaio de </w:t>
      </w:r>
      <w:r w:rsidR="00096F93">
        <w:rPr>
          <w:rFonts w:eastAsia="SimSun"/>
          <w:lang w:eastAsia="zh-CN"/>
        </w:rPr>
        <w:t>f</w:t>
      </w:r>
      <w:r w:rsidRPr="007232E4">
        <w:rPr>
          <w:rFonts w:eastAsia="SimSun"/>
          <w:lang w:eastAsia="zh-CN"/>
        </w:rPr>
        <w:t xml:space="preserve">ase III, multicêntrico, aleatorizado, controlado por placebo, desenhado para avaliar a eficácia e a segurança de </w:t>
      </w:r>
      <w:r w:rsidR="00066BFF">
        <w:rPr>
          <w:rFonts w:eastAsia="SimSun"/>
          <w:lang w:eastAsia="zh-CN"/>
        </w:rPr>
        <w:t>bevacizumab</w:t>
      </w:r>
      <w:r w:rsidR="00066BFF" w:rsidRPr="007232E4">
        <w:rPr>
          <w:rFonts w:eastAsia="SimSun"/>
          <w:lang w:eastAsia="zh-CN"/>
        </w:rPr>
        <w:t xml:space="preserve"> </w:t>
      </w:r>
      <w:r w:rsidRPr="007232E4">
        <w:rPr>
          <w:rFonts w:eastAsia="SimSun"/>
          <w:lang w:eastAsia="zh-CN"/>
        </w:rPr>
        <w:t xml:space="preserve">em associação com quimioterapia, em comparação com placebo mais quimioterapia, como tratamento de primeira linha para doentes com cancro da mama HER2 negativo metastizado ou localmente avançado. </w:t>
      </w:r>
    </w:p>
    <w:p w14:paraId="3FDA7049" w14:textId="77777777" w:rsidR="00400398" w:rsidRPr="007232E4" w:rsidRDefault="00400398">
      <w:pPr>
        <w:rPr>
          <w:rFonts w:eastAsia="SimSun"/>
          <w:lang w:eastAsia="zh-CN"/>
        </w:rPr>
      </w:pPr>
    </w:p>
    <w:p w14:paraId="3A126F92" w14:textId="77777777" w:rsidR="00400398" w:rsidRPr="007232E4" w:rsidRDefault="00400398">
      <w:pPr>
        <w:rPr>
          <w:rFonts w:eastAsia="SimSun"/>
          <w:lang w:eastAsia="zh-CN"/>
        </w:rPr>
      </w:pPr>
      <w:r w:rsidRPr="007232E4">
        <w:rPr>
          <w:rFonts w:eastAsia="SimSun"/>
          <w:lang w:eastAsia="zh-CN"/>
        </w:rPr>
        <w:t xml:space="preserve">A quimioterapia foi escolhida de acordo com o critério do investigador antes da aleatorização num rácio de 2:1 para receber </w:t>
      </w:r>
      <w:r w:rsidR="00066BFF">
        <w:rPr>
          <w:rFonts w:eastAsia="SimSun"/>
          <w:lang w:eastAsia="zh-CN"/>
        </w:rPr>
        <w:t>bevacizumab</w:t>
      </w:r>
      <w:r w:rsidR="00066BFF" w:rsidRPr="007232E4">
        <w:rPr>
          <w:rFonts w:eastAsia="SimSun"/>
          <w:lang w:eastAsia="zh-CN"/>
        </w:rPr>
        <w:t xml:space="preserve"> </w:t>
      </w:r>
      <w:r w:rsidRPr="007232E4">
        <w:rPr>
          <w:rFonts w:eastAsia="SimSun"/>
          <w:lang w:eastAsia="zh-CN"/>
        </w:rPr>
        <w:t>mais quimioterapia ou placebo mais quimioterapia. As escolhas da quimioterapia incluíram capecitabina, taxano (docetaxel, paclitaxel com ligação a proteína), regimes com base em antraciclina (doxorrubicina/ ciclofosfamida, epirrubicina/ ciclofosfamida, 5-fluorouracilo/ doxorrubicina/ ciclofosfamida, 5</w:t>
      </w:r>
      <w:r w:rsidR="00B24A23">
        <w:rPr>
          <w:rFonts w:eastAsia="SimSun"/>
          <w:lang w:eastAsia="zh-CN"/>
        </w:rPr>
        <w:t>­</w:t>
      </w:r>
      <w:r w:rsidRPr="007232E4">
        <w:rPr>
          <w:rFonts w:eastAsia="SimSun"/>
          <w:lang w:eastAsia="zh-CN"/>
        </w:rPr>
        <w:t>fluorouracilo/epirrubicina/ciclofosfamida)</w:t>
      </w:r>
      <w:r w:rsidR="008B03F5">
        <w:rPr>
          <w:rFonts w:eastAsia="SimSun"/>
          <w:lang w:eastAsia="zh-CN"/>
        </w:rPr>
        <w:t xml:space="preserve"> </w:t>
      </w:r>
      <w:r w:rsidRPr="007232E4">
        <w:rPr>
          <w:rFonts w:eastAsia="SimSun"/>
          <w:lang w:eastAsia="zh-CN"/>
        </w:rPr>
        <w:t xml:space="preserve">administrada a cada 3 semanas (q3w). O </w:t>
      </w:r>
      <w:r w:rsidR="00066BFF">
        <w:rPr>
          <w:rFonts w:eastAsia="SimSun"/>
          <w:lang w:eastAsia="zh-CN"/>
        </w:rPr>
        <w:t>bevacizumab</w:t>
      </w:r>
      <w:r w:rsidR="00066BFF" w:rsidRPr="007232E4">
        <w:rPr>
          <w:rFonts w:eastAsia="SimSun"/>
          <w:lang w:eastAsia="zh-CN"/>
        </w:rPr>
        <w:t xml:space="preserve"> </w:t>
      </w:r>
      <w:r w:rsidRPr="007232E4">
        <w:rPr>
          <w:rFonts w:eastAsia="SimSun"/>
          <w:lang w:eastAsia="zh-CN"/>
        </w:rPr>
        <w:t>ou o placebo foram administrados numa dose de 15 mg/kg q3w.</w:t>
      </w:r>
    </w:p>
    <w:p w14:paraId="704EFFB7" w14:textId="77777777" w:rsidR="00400398" w:rsidRPr="007232E4" w:rsidRDefault="00400398">
      <w:pPr>
        <w:rPr>
          <w:rFonts w:eastAsia="SimSun"/>
          <w:lang w:eastAsia="zh-CN"/>
        </w:rPr>
      </w:pPr>
    </w:p>
    <w:p w14:paraId="21B4FADB" w14:textId="77777777" w:rsidR="00400398" w:rsidRPr="007232E4" w:rsidRDefault="00400398">
      <w:pPr>
        <w:rPr>
          <w:rFonts w:eastAsia="SimSun"/>
          <w:sz w:val="20"/>
          <w:lang w:eastAsia="zh-CN"/>
        </w:rPr>
      </w:pPr>
      <w:r w:rsidRPr="007232E4">
        <w:rPr>
          <w:rFonts w:eastAsia="SimSun"/>
          <w:lang w:eastAsia="zh-CN"/>
        </w:rPr>
        <w:t>Este estudo incluiu uma fase cega de tratamento, uma fase pós</w:t>
      </w:r>
      <w:r w:rsidRPr="007232E4">
        <w:rPr>
          <w:rFonts w:eastAsia="SimSun"/>
          <w:lang w:eastAsia="zh-CN"/>
        </w:rPr>
        <w:noBreakHyphen/>
        <w:t xml:space="preserve">progressão em regime aberto opcional e uma fase de </w:t>
      </w:r>
      <w:r w:rsidRPr="007232E4">
        <w:rPr>
          <w:szCs w:val="22"/>
        </w:rPr>
        <w:t>acompanhamento</w:t>
      </w:r>
      <w:r w:rsidRPr="007232E4">
        <w:rPr>
          <w:rFonts w:eastAsia="SimSun"/>
          <w:lang w:eastAsia="zh-CN"/>
        </w:rPr>
        <w:t xml:space="preserve"> da sobrevivência. Durante a fase cega de tratamento os doentes receberam quimioterapia e medicamento (</w:t>
      </w:r>
      <w:r w:rsidR="00174055">
        <w:rPr>
          <w:rFonts w:eastAsia="SimSun"/>
          <w:lang w:eastAsia="zh-CN"/>
        </w:rPr>
        <w:t>bevacizumab</w:t>
      </w:r>
      <w:r w:rsidR="00174055" w:rsidRPr="007232E4">
        <w:rPr>
          <w:rFonts w:eastAsia="SimSun"/>
          <w:lang w:eastAsia="zh-CN"/>
        </w:rPr>
        <w:t xml:space="preserve"> </w:t>
      </w:r>
      <w:r w:rsidRPr="007232E4">
        <w:rPr>
          <w:rFonts w:eastAsia="SimSun"/>
          <w:lang w:eastAsia="zh-CN"/>
        </w:rPr>
        <w:t xml:space="preserve">ou placebo) a cada 3 semanas até à progressão da doença, toxicidade limitativa de tratamento ou morte. </w:t>
      </w:r>
      <w:r w:rsidRPr="007232E4">
        <w:rPr>
          <w:rFonts w:eastAsia="PMingLiU"/>
        </w:rPr>
        <w:t xml:space="preserve">Face a progressão da doença documentada os doentes que entraram na fase opcional aberta podiam receber </w:t>
      </w:r>
      <w:r w:rsidR="00174055">
        <w:rPr>
          <w:rFonts w:eastAsia="PMingLiU"/>
        </w:rPr>
        <w:t>bevacizumab</w:t>
      </w:r>
      <w:r w:rsidR="00174055" w:rsidRPr="007232E4">
        <w:rPr>
          <w:rFonts w:eastAsia="PMingLiU"/>
        </w:rPr>
        <w:t xml:space="preserve"> </w:t>
      </w:r>
      <w:r w:rsidRPr="007232E4">
        <w:rPr>
          <w:rFonts w:eastAsia="PMingLiU"/>
        </w:rPr>
        <w:t xml:space="preserve">em regime aberto em associação com diversas terapêuticas de segunda linha. </w:t>
      </w:r>
    </w:p>
    <w:p w14:paraId="37086246" w14:textId="77777777" w:rsidR="00400398" w:rsidRPr="007232E4" w:rsidRDefault="00400398">
      <w:pPr>
        <w:rPr>
          <w:rFonts w:eastAsia="SimSun"/>
          <w:sz w:val="20"/>
          <w:lang w:eastAsia="zh-CN"/>
        </w:rPr>
      </w:pPr>
    </w:p>
    <w:p w14:paraId="57AEF28B" w14:textId="77777777" w:rsidR="00400398" w:rsidRPr="007232E4" w:rsidRDefault="00400398">
      <w:pPr>
        <w:rPr>
          <w:rFonts w:eastAsia="SimSun"/>
          <w:lang w:eastAsia="zh-CN"/>
        </w:rPr>
      </w:pPr>
      <w:r w:rsidRPr="007232E4">
        <w:rPr>
          <w:rFonts w:eastAsia="SimSun"/>
          <w:lang w:eastAsia="zh-CN"/>
        </w:rPr>
        <w:t xml:space="preserve">Foram realizadas análises estatísticas independentes para 1) os doentes que receberam capecitabina em associação com </w:t>
      </w:r>
      <w:r w:rsidR="00174055">
        <w:rPr>
          <w:rFonts w:eastAsia="SimSun"/>
          <w:lang w:eastAsia="zh-CN"/>
        </w:rPr>
        <w:t>bevacizumab</w:t>
      </w:r>
      <w:r w:rsidR="00174055" w:rsidRPr="007232E4">
        <w:rPr>
          <w:rFonts w:eastAsia="SimSun"/>
          <w:lang w:eastAsia="zh-CN"/>
        </w:rPr>
        <w:t xml:space="preserve"> </w:t>
      </w:r>
      <w:r w:rsidRPr="007232E4">
        <w:rPr>
          <w:rFonts w:eastAsia="SimSun"/>
          <w:lang w:eastAsia="zh-CN"/>
        </w:rPr>
        <w:t xml:space="preserve">ou placebo; 2) os doentes que receberam quimioterapia baseada em taxanos ou baseada em antraciclina em combinação com </w:t>
      </w:r>
      <w:r w:rsidR="00174055">
        <w:rPr>
          <w:rFonts w:eastAsia="SimSun"/>
          <w:lang w:eastAsia="zh-CN"/>
        </w:rPr>
        <w:t>bevacizumab</w:t>
      </w:r>
      <w:r w:rsidR="00174055" w:rsidRPr="007232E4">
        <w:rPr>
          <w:rFonts w:eastAsia="SimSun"/>
          <w:lang w:eastAsia="zh-CN"/>
        </w:rPr>
        <w:t xml:space="preserve"> </w:t>
      </w:r>
      <w:r w:rsidRPr="007232E4">
        <w:rPr>
          <w:rFonts w:eastAsia="SimSun"/>
          <w:lang w:eastAsia="zh-CN"/>
        </w:rPr>
        <w:t>ou placebo. O objetivo primário do estudo foi a PFS baseada na avaliação do investigador. Adicionalmente, foi também realizada uma avaliação do objetivo primário por um comité de avaliação independente (IRC).</w:t>
      </w:r>
    </w:p>
    <w:p w14:paraId="6D9B938A" w14:textId="77777777" w:rsidR="00400398" w:rsidRPr="007232E4" w:rsidRDefault="00400398">
      <w:pPr>
        <w:rPr>
          <w:rFonts w:eastAsia="SimSun"/>
          <w:lang w:eastAsia="zh-CN"/>
        </w:rPr>
      </w:pPr>
    </w:p>
    <w:p w14:paraId="0477F532" w14:textId="77777777" w:rsidR="00400398" w:rsidRPr="007232E4" w:rsidRDefault="00400398">
      <w:pPr>
        <w:rPr>
          <w:rFonts w:eastAsia="PMingLiU"/>
        </w:rPr>
      </w:pPr>
      <w:r w:rsidRPr="007232E4">
        <w:t xml:space="preserve">Os resultados da análise final definida no protocolo deste estudo para </w:t>
      </w:r>
      <w:r w:rsidR="003F3D13">
        <w:t>PFS</w:t>
      </w:r>
      <w:r w:rsidRPr="007232E4">
        <w:t xml:space="preserve"> e taxas de resposta da coorte de capecitabina do Estudo AVF3694g com poder independente são apresentados na Tabela 1</w:t>
      </w:r>
      <w:r>
        <w:t>1</w:t>
      </w:r>
      <w:r w:rsidRPr="007232E4">
        <w:t xml:space="preserve">. São também apresentados os resultados de uma análise exploratória da </w:t>
      </w:r>
      <w:r w:rsidR="003F3D13">
        <w:t>OS</w:t>
      </w:r>
      <w:r w:rsidRPr="007232E4">
        <w:t xml:space="preserve">, que inclui 7 meses de </w:t>
      </w:r>
      <w:r w:rsidRPr="007232E4">
        <w:rPr>
          <w:szCs w:val="22"/>
        </w:rPr>
        <w:t>acompanhamento</w:t>
      </w:r>
      <w:r w:rsidRPr="007232E4">
        <w:t xml:space="preserve"> adicional (aproximadamente 46% dos doentes tinha morrido). </w:t>
      </w:r>
      <w:r w:rsidRPr="007232E4">
        <w:rPr>
          <w:rFonts w:eastAsia="PMingLiU"/>
        </w:rPr>
        <w:t xml:space="preserve">A percentagem de doentes que recebeu </w:t>
      </w:r>
      <w:r w:rsidR="00174055">
        <w:rPr>
          <w:rFonts w:eastAsia="PMingLiU"/>
        </w:rPr>
        <w:t>bevacizumab</w:t>
      </w:r>
      <w:r w:rsidR="00174055" w:rsidRPr="007232E4">
        <w:rPr>
          <w:rFonts w:eastAsia="PMingLiU"/>
        </w:rPr>
        <w:t xml:space="preserve"> </w:t>
      </w:r>
      <w:r w:rsidRPr="007232E4">
        <w:rPr>
          <w:rFonts w:eastAsia="PMingLiU"/>
        </w:rPr>
        <w:t xml:space="preserve">na fase em regime aberto foi de 62,1% no braço </w:t>
      </w:r>
      <w:r w:rsidRPr="007232E4">
        <w:rPr>
          <w:rFonts w:eastAsia="SimSun"/>
          <w:lang w:eastAsia="zh-CN"/>
        </w:rPr>
        <w:t xml:space="preserve">capecitabina + placebo e 49,9% no braço capecitabina + </w:t>
      </w:r>
      <w:r w:rsidR="00174055">
        <w:rPr>
          <w:rFonts w:eastAsia="SimSun"/>
          <w:lang w:eastAsia="zh-CN"/>
        </w:rPr>
        <w:t>bevacizumab</w:t>
      </w:r>
      <w:r w:rsidRPr="007232E4">
        <w:rPr>
          <w:rFonts w:eastAsia="SimSun"/>
          <w:lang w:eastAsia="zh-CN"/>
        </w:rPr>
        <w:t>.</w:t>
      </w:r>
    </w:p>
    <w:p w14:paraId="09062D8C" w14:textId="77777777" w:rsidR="00400398" w:rsidRPr="007232E4" w:rsidRDefault="00400398">
      <w:pPr>
        <w:rPr>
          <w:rFonts w:eastAsia="SimSun"/>
          <w:u w:val="single"/>
          <w:lang w:eastAsia="zh-CN"/>
        </w:rPr>
      </w:pPr>
      <w:r w:rsidRPr="007232E4">
        <w:t xml:space="preserve"> </w:t>
      </w:r>
      <w:bookmarkStart w:id="5" w:name="OLE_LINK12"/>
      <w:bookmarkEnd w:id="5"/>
    </w:p>
    <w:p w14:paraId="4D0E180B" w14:textId="77777777" w:rsidR="00400398" w:rsidRPr="007232E4" w:rsidRDefault="00400398" w:rsidP="001E05C2">
      <w:pPr>
        <w:keepNext/>
        <w:keepLines/>
        <w:ind w:left="1080" w:hanging="1080"/>
        <w:rPr>
          <w:rFonts w:eastAsia="SimSun"/>
          <w:u w:val="single"/>
        </w:rPr>
      </w:pPr>
      <w:r w:rsidRPr="007232E4">
        <w:rPr>
          <w:rFonts w:eastAsia="SimSun"/>
          <w:b/>
        </w:rPr>
        <w:t>Tabela 1</w:t>
      </w:r>
      <w:r>
        <w:rPr>
          <w:rFonts w:eastAsia="SimSun"/>
          <w:b/>
        </w:rPr>
        <w:t>1</w:t>
      </w:r>
      <w:r w:rsidRPr="007232E4">
        <w:rPr>
          <w:rFonts w:eastAsia="SimSun"/>
          <w:b/>
        </w:rPr>
        <w:t xml:space="preserve"> </w:t>
      </w:r>
      <w:r w:rsidRPr="007232E4">
        <w:rPr>
          <w:rFonts w:eastAsia="SimSun"/>
          <w:b/>
        </w:rPr>
        <w:tab/>
        <w:t>Resultados de eficácia do estudo AVF3694g: Capecitabina</w:t>
      </w:r>
      <w:r w:rsidRPr="007232E4">
        <w:rPr>
          <w:rFonts w:eastAsia="SimSun"/>
          <w:b/>
          <w:vertAlign w:val="superscript"/>
        </w:rPr>
        <w:t>a</w:t>
      </w:r>
      <w:r w:rsidRPr="007232E4">
        <w:rPr>
          <w:rFonts w:eastAsia="SimSun"/>
          <w:b/>
        </w:rPr>
        <w:t xml:space="preserve"> e </w:t>
      </w:r>
      <w:r w:rsidR="00174055">
        <w:rPr>
          <w:rFonts w:eastAsia="SimSun"/>
          <w:b/>
        </w:rPr>
        <w:t>bevacizumab</w:t>
      </w:r>
      <w:r w:rsidRPr="007232E4">
        <w:rPr>
          <w:rFonts w:eastAsia="SimSun"/>
          <w:b/>
        </w:rPr>
        <w:t xml:space="preserve">/Placebo (Cap + </w:t>
      </w:r>
      <w:r w:rsidR="00174055">
        <w:rPr>
          <w:rFonts w:eastAsia="SimSun"/>
          <w:b/>
        </w:rPr>
        <w:t>bevacizumab</w:t>
      </w:r>
      <w:r w:rsidRPr="007232E4">
        <w:rPr>
          <w:rFonts w:eastAsia="SimSun"/>
          <w:b/>
        </w:rPr>
        <w:t>/Pl)</w:t>
      </w:r>
    </w:p>
    <w:tbl>
      <w:tblPr>
        <w:tblW w:w="5000" w:type="pct"/>
        <w:tblCellMar>
          <w:left w:w="0" w:type="dxa"/>
          <w:right w:w="0" w:type="dxa"/>
        </w:tblCellMar>
        <w:tblLook w:val="0000" w:firstRow="0" w:lastRow="0" w:firstColumn="0" w:lastColumn="0" w:noHBand="0" w:noVBand="0"/>
      </w:tblPr>
      <w:tblGrid>
        <w:gridCol w:w="2368"/>
        <w:gridCol w:w="47"/>
        <w:gridCol w:w="1613"/>
        <w:gridCol w:w="1629"/>
        <w:gridCol w:w="1604"/>
        <w:gridCol w:w="1790"/>
      </w:tblGrid>
      <w:tr w:rsidR="00400398" w:rsidRPr="00215594" w14:paraId="67C30B03" w14:textId="77777777" w:rsidTr="00D91337">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BD4313" w14:textId="77777777" w:rsidR="00400398" w:rsidRPr="007232E4" w:rsidRDefault="00400398" w:rsidP="00654891">
            <w:pPr>
              <w:keepNext/>
              <w:keepLines/>
              <w:spacing w:before="60" w:after="170"/>
              <w:jc w:val="both"/>
              <w:rPr>
                <w:rFonts w:eastAsia="SimSun"/>
                <w:iCs/>
                <w:szCs w:val="22"/>
                <w:lang w:eastAsia="zh-CN"/>
              </w:rPr>
            </w:pPr>
            <w:r w:rsidRPr="007232E4">
              <w:rPr>
                <w:rFonts w:eastAsia="SimSun"/>
                <w:bCs/>
                <w:iCs/>
                <w:szCs w:val="22"/>
                <w:lang w:eastAsia="zh-CN"/>
              </w:rPr>
              <w:t>Sobrevivência livre de progressão</w:t>
            </w:r>
            <w:r w:rsidRPr="007232E4">
              <w:rPr>
                <w:rFonts w:eastAsia="SimSun"/>
                <w:bCs/>
                <w:iCs/>
                <w:szCs w:val="22"/>
                <w:vertAlign w:val="superscript"/>
                <w:lang w:eastAsia="zh-CN"/>
              </w:rPr>
              <w:t>b</w:t>
            </w:r>
          </w:p>
        </w:tc>
      </w:tr>
      <w:tr w:rsidR="00400398" w:rsidRPr="00215594" w14:paraId="26E90217" w14:textId="77777777" w:rsidTr="00D91337">
        <w:tc>
          <w:tcPr>
            <w:tcW w:w="133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8A6D7F" w14:textId="77777777" w:rsidR="00400398" w:rsidRPr="007232E4" w:rsidRDefault="00400398" w:rsidP="00654891">
            <w:pPr>
              <w:keepNext/>
              <w:keepLines/>
              <w:spacing w:before="60" w:after="170"/>
              <w:jc w:val="both"/>
              <w:rPr>
                <w:rFonts w:eastAsia="SimSun"/>
                <w:bCs/>
                <w:iCs/>
                <w:szCs w:val="22"/>
                <w:lang w:eastAsia="zh-CN"/>
              </w:rPr>
            </w:pPr>
          </w:p>
        </w:tc>
        <w:tc>
          <w:tcPr>
            <w:tcW w:w="1791" w:type="pct"/>
            <w:gridSpan w:val="2"/>
            <w:tcBorders>
              <w:top w:val="nil"/>
              <w:left w:val="nil"/>
              <w:bottom w:val="single" w:sz="8" w:space="0" w:color="auto"/>
              <w:right w:val="single" w:sz="8" w:space="0" w:color="auto"/>
            </w:tcBorders>
            <w:tcMar>
              <w:top w:w="0" w:type="dxa"/>
              <w:left w:w="108" w:type="dxa"/>
              <w:bottom w:w="0" w:type="dxa"/>
              <w:right w:w="108" w:type="dxa"/>
            </w:tcMar>
          </w:tcPr>
          <w:p w14:paraId="19978133" w14:textId="77777777" w:rsidR="00400398" w:rsidRPr="00C82494" w:rsidRDefault="00400398" w:rsidP="00654891">
            <w:pPr>
              <w:keepNext/>
              <w:keepLines/>
              <w:spacing w:before="60" w:after="170"/>
              <w:jc w:val="both"/>
              <w:rPr>
                <w:rFonts w:eastAsia="SimSun"/>
                <w:noProof/>
              </w:rPr>
            </w:pPr>
            <w:r w:rsidRPr="00C82494">
              <w:rPr>
                <w:rFonts w:eastAsia="SimSun"/>
                <w:noProof/>
              </w:rPr>
              <w:t>Avaliação pelo investigador</w:t>
            </w:r>
          </w:p>
        </w:tc>
        <w:tc>
          <w:tcPr>
            <w:tcW w:w="1874" w:type="pct"/>
            <w:gridSpan w:val="2"/>
            <w:tcBorders>
              <w:top w:val="nil"/>
              <w:left w:val="nil"/>
              <w:bottom w:val="single" w:sz="8" w:space="0" w:color="auto"/>
              <w:right w:val="single" w:sz="8" w:space="0" w:color="auto"/>
            </w:tcBorders>
            <w:tcMar>
              <w:top w:w="0" w:type="dxa"/>
              <w:left w:w="108" w:type="dxa"/>
              <w:bottom w:w="0" w:type="dxa"/>
              <w:right w:w="108" w:type="dxa"/>
            </w:tcMar>
          </w:tcPr>
          <w:p w14:paraId="64442FC2" w14:textId="77777777" w:rsidR="00400398" w:rsidRPr="00C82494" w:rsidRDefault="00400398" w:rsidP="00654891">
            <w:pPr>
              <w:keepNext/>
              <w:keepLines/>
              <w:spacing w:before="60" w:after="170"/>
              <w:jc w:val="both"/>
              <w:rPr>
                <w:rFonts w:eastAsia="SimSun"/>
                <w:noProof/>
              </w:rPr>
            </w:pPr>
            <w:r w:rsidRPr="00C82494">
              <w:rPr>
                <w:rFonts w:eastAsia="SimSun"/>
                <w:noProof/>
              </w:rPr>
              <w:t>Avaliação pelo IRC</w:t>
            </w:r>
          </w:p>
        </w:tc>
      </w:tr>
      <w:tr w:rsidR="00400398" w:rsidRPr="00215594" w14:paraId="327AA4D1" w14:textId="77777777" w:rsidTr="00D91337">
        <w:tc>
          <w:tcPr>
            <w:tcW w:w="133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01F350" w14:textId="77777777" w:rsidR="00400398" w:rsidRPr="00C82494" w:rsidRDefault="00400398" w:rsidP="00654891">
            <w:pPr>
              <w:keepNext/>
              <w:keepLines/>
              <w:spacing w:before="60" w:after="170"/>
              <w:jc w:val="both"/>
              <w:outlineLvl w:val="2"/>
              <w:rPr>
                <w:rFonts w:eastAsia="SimSun"/>
                <w:noProof/>
              </w:rPr>
            </w:pPr>
          </w:p>
        </w:tc>
        <w:tc>
          <w:tcPr>
            <w:tcW w:w="891" w:type="pct"/>
            <w:tcBorders>
              <w:top w:val="nil"/>
              <w:left w:val="nil"/>
              <w:bottom w:val="single" w:sz="8" w:space="0" w:color="auto"/>
              <w:right w:val="single" w:sz="8" w:space="0" w:color="auto"/>
            </w:tcBorders>
            <w:tcMar>
              <w:top w:w="0" w:type="dxa"/>
              <w:left w:w="108" w:type="dxa"/>
              <w:bottom w:w="0" w:type="dxa"/>
              <w:right w:w="108" w:type="dxa"/>
            </w:tcMar>
          </w:tcPr>
          <w:p w14:paraId="69E01E6C" w14:textId="77777777" w:rsidR="008B03F5" w:rsidRDefault="00400398" w:rsidP="008B03F5">
            <w:pPr>
              <w:keepNext/>
              <w:keepLines/>
              <w:spacing w:before="60"/>
              <w:jc w:val="center"/>
              <w:rPr>
                <w:rFonts w:eastAsia="SimSun"/>
                <w:noProof/>
              </w:rPr>
            </w:pPr>
            <w:r w:rsidRPr="00C82494">
              <w:rPr>
                <w:rFonts w:eastAsia="SimSun"/>
                <w:noProof/>
              </w:rPr>
              <w:t>Cap + Pl</w:t>
            </w:r>
          </w:p>
          <w:p w14:paraId="55FC17AF" w14:textId="77777777" w:rsidR="00400398" w:rsidRPr="00C82494" w:rsidRDefault="00400398" w:rsidP="008B03F5">
            <w:pPr>
              <w:keepNext/>
              <w:keepLines/>
              <w:spacing w:before="60"/>
              <w:jc w:val="center"/>
              <w:rPr>
                <w:rFonts w:eastAsia="SimSun"/>
                <w:noProof/>
              </w:rPr>
            </w:pPr>
            <w:r w:rsidRPr="00C82494">
              <w:rPr>
                <w:rFonts w:eastAsia="SimSun"/>
                <w:noProof/>
              </w:rPr>
              <w:t>(n = 206)</w:t>
            </w:r>
          </w:p>
        </w:tc>
        <w:tc>
          <w:tcPr>
            <w:tcW w:w="900" w:type="pct"/>
            <w:tcBorders>
              <w:top w:val="nil"/>
              <w:left w:val="nil"/>
              <w:bottom w:val="single" w:sz="8" w:space="0" w:color="auto"/>
              <w:right w:val="single" w:sz="8" w:space="0" w:color="auto"/>
            </w:tcBorders>
            <w:tcMar>
              <w:top w:w="0" w:type="dxa"/>
              <w:left w:w="108" w:type="dxa"/>
              <w:bottom w:w="0" w:type="dxa"/>
              <w:right w:w="108" w:type="dxa"/>
            </w:tcMar>
          </w:tcPr>
          <w:p w14:paraId="4325777B" w14:textId="77777777" w:rsidR="00400398" w:rsidRPr="00C82494" w:rsidRDefault="00400398" w:rsidP="00174055">
            <w:pPr>
              <w:keepNext/>
              <w:keepLines/>
              <w:spacing w:before="60"/>
              <w:jc w:val="center"/>
              <w:rPr>
                <w:rFonts w:eastAsia="SimSun"/>
                <w:noProof/>
              </w:rPr>
            </w:pPr>
            <w:r w:rsidRPr="00C82494">
              <w:rPr>
                <w:rFonts w:eastAsia="SimSun"/>
                <w:noProof/>
              </w:rPr>
              <w:t xml:space="preserve">Cap + </w:t>
            </w:r>
            <w:r w:rsidR="00174055">
              <w:rPr>
                <w:rFonts w:eastAsia="SimSun"/>
                <w:noProof/>
              </w:rPr>
              <w:t>bevacizumab</w:t>
            </w:r>
            <w:r w:rsidR="00174055" w:rsidRPr="00C82494">
              <w:rPr>
                <w:rFonts w:eastAsia="SimSun"/>
                <w:noProof/>
              </w:rPr>
              <w:t xml:space="preserve"> </w:t>
            </w:r>
            <w:r w:rsidRPr="00C82494">
              <w:rPr>
                <w:rFonts w:eastAsia="SimSun"/>
                <w:noProof/>
              </w:rPr>
              <w:t>(n = 409)</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0F657A89" w14:textId="77777777" w:rsidR="008B03F5" w:rsidRDefault="00400398" w:rsidP="008B03F5">
            <w:pPr>
              <w:keepNext/>
              <w:keepLines/>
              <w:spacing w:before="60"/>
              <w:jc w:val="center"/>
              <w:rPr>
                <w:rFonts w:eastAsia="SimSun"/>
                <w:noProof/>
              </w:rPr>
            </w:pPr>
            <w:r w:rsidRPr="00C82494">
              <w:rPr>
                <w:rFonts w:eastAsia="SimSun"/>
                <w:noProof/>
              </w:rPr>
              <w:t>Cap + Pl</w:t>
            </w:r>
          </w:p>
          <w:p w14:paraId="431A8CDF" w14:textId="77777777" w:rsidR="00400398" w:rsidRPr="00C82494" w:rsidRDefault="00400398" w:rsidP="008B03F5">
            <w:pPr>
              <w:keepNext/>
              <w:keepLines/>
              <w:spacing w:before="60"/>
              <w:jc w:val="center"/>
              <w:rPr>
                <w:rFonts w:eastAsia="SimSun"/>
                <w:noProof/>
              </w:rPr>
            </w:pPr>
            <w:r w:rsidRPr="00C82494">
              <w:rPr>
                <w:rFonts w:eastAsia="SimSun"/>
                <w:noProof/>
              </w:rPr>
              <w:t>(n = 206)</w:t>
            </w:r>
          </w:p>
        </w:tc>
        <w:tc>
          <w:tcPr>
            <w:tcW w:w="988" w:type="pct"/>
            <w:tcBorders>
              <w:top w:val="nil"/>
              <w:left w:val="nil"/>
              <w:bottom w:val="single" w:sz="8" w:space="0" w:color="auto"/>
              <w:right w:val="single" w:sz="8" w:space="0" w:color="auto"/>
            </w:tcBorders>
            <w:tcMar>
              <w:top w:w="0" w:type="dxa"/>
              <w:left w:w="108" w:type="dxa"/>
              <w:bottom w:w="0" w:type="dxa"/>
              <w:right w:w="108" w:type="dxa"/>
            </w:tcMar>
          </w:tcPr>
          <w:p w14:paraId="6C9B1C34" w14:textId="77777777" w:rsidR="00B24A23" w:rsidRDefault="00400398" w:rsidP="00174055">
            <w:pPr>
              <w:keepNext/>
              <w:keepLines/>
              <w:spacing w:before="60"/>
              <w:jc w:val="center"/>
              <w:rPr>
                <w:rFonts w:eastAsia="SimSun"/>
                <w:noProof/>
              </w:rPr>
            </w:pPr>
            <w:r w:rsidRPr="00C82494">
              <w:rPr>
                <w:rFonts w:eastAsia="SimSun"/>
                <w:noProof/>
              </w:rPr>
              <w:t xml:space="preserve">Cap + </w:t>
            </w:r>
            <w:r w:rsidR="00174055">
              <w:rPr>
                <w:rFonts w:eastAsia="SimSun"/>
                <w:noProof/>
              </w:rPr>
              <w:t>bevacizumab</w:t>
            </w:r>
            <w:r w:rsidR="00174055" w:rsidRPr="00C82494">
              <w:rPr>
                <w:rFonts w:eastAsia="SimSun"/>
                <w:noProof/>
              </w:rPr>
              <w:t xml:space="preserve"> </w:t>
            </w:r>
          </w:p>
          <w:p w14:paraId="1595E4E3" w14:textId="77777777" w:rsidR="00400398" w:rsidRPr="00C82494" w:rsidRDefault="00400398" w:rsidP="00174055">
            <w:pPr>
              <w:keepNext/>
              <w:keepLines/>
              <w:spacing w:before="60"/>
              <w:jc w:val="center"/>
              <w:rPr>
                <w:rFonts w:eastAsia="SimSun"/>
                <w:noProof/>
              </w:rPr>
            </w:pPr>
            <w:r w:rsidRPr="00C82494">
              <w:rPr>
                <w:rFonts w:eastAsia="SimSun"/>
                <w:noProof/>
              </w:rPr>
              <w:t>(n = 409)</w:t>
            </w:r>
          </w:p>
        </w:tc>
      </w:tr>
      <w:tr w:rsidR="00400398" w:rsidRPr="00215594" w14:paraId="0A9F95EF" w14:textId="77777777" w:rsidTr="00D91337">
        <w:tc>
          <w:tcPr>
            <w:tcW w:w="133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11C34A" w14:textId="77777777" w:rsidR="00400398" w:rsidRPr="00C82494" w:rsidRDefault="00400398" w:rsidP="00B4142B">
            <w:pPr>
              <w:pStyle w:val="TextTi12"/>
              <w:keepNext/>
              <w:keepLines/>
              <w:spacing w:after="0"/>
              <w:jc w:val="left"/>
              <w:rPr>
                <w:rFonts w:eastAsia="SimSun"/>
                <w:noProof/>
              </w:rPr>
            </w:pPr>
            <w:r w:rsidRPr="00215594">
              <w:rPr>
                <w:noProof/>
                <w:sz w:val="22"/>
              </w:rPr>
              <w:t xml:space="preserve">PFS </w:t>
            </w:r>
            <w:r w:rsidR="003F3D13">
              <w:rPr>
                <w:noProof/>
                <w:sz w:val="22"/>
              </w:rPr>
              <w:t>m</w:t>
            </w:r>
            <w:r w:rsidRPr="00215594">
              <w:rPr>
                <w:noProof/>
                <w:sz w:val="22"/>
              </w:rPr>
              <w:t>ediana (meses)</w:t>
            </w:r>
          </w:p>
        </w:tc>
        <w:tc>
          <w:tcPr>
            <w:tcW w:w="891" w:type="pct"/>
            <w:tcBorders>
              <w:top w:val="nil"/>
              <w:left w:val="nil"/>
              <w:bottom w:val="single" w:sz="8" w:space="0" w:color="auto"/>
              <w:right w:val="single" w:sz="8" w:space="0" w:color="auto"/>
            </w:tcBorders>
            <w:tcMar>
              <w:top w:w="0" w:type="dxa"/>
              <w:left w:w="108" w:type="dxa"/>
              <w:bottom w:w="0" w:type="dxa"/>
              <w:right w:w="108" w:type="dxa"/>
            </w:tcMar>
          </w:tcPr>
          <w:p w14:paraId="127DADCD" w14:textId="77777777" w:rsidR="00400398" w:rsidRPr="00C82494" w:rsidRDefault="00400398" w:rsidP="00654891">
            <w:pPr>
              <w:keepNext/>
              <w:keepLines/>
              <w:spacing w:before="60" w:after="170"/>
              <w:jc w:val="center"/>
              <w:rPr>
                <w:rFonts w:eastAsia="SimSun"/>
                <w:noProof/>
              </w:rPr>
            </w:pPr>
            <w:r w:rsidRPr="00C82494">
              <w:rPr>
                <w:rFonts w:eastAsia="SimSun"/>
                <w:noProof/>
              </w:rPr>
              <w:t>5,7</w:t>
            </w:r>
          </w:p>
        </w:tc>
        <w:tc>
          <w:tcPr>
            <w:tcW w:w="900" w:type="pct"/>
            <w:tcBorders>
              <w:top w:val="nil"/>
              <w:left w:val="nil"/>
              <w:bottom w:val="single" w:sz="8" w:space="0" w:color="auto"/>
              <w:right w:val="single" w:sz="8" w:space="0" w:color="auto"/>
            </w:tcBorders>
            <w:tcMar>
              <w:top w:w="0" w:type="dxa"/>
              <w:left w:w="108" w:type="dxa"/>
              <w:bottom w:w="0" w:type="dxa"/>
              <w:right w:w="108" w:type="dxa"/>
            </w:tcMar>
          </w:tcPr>
          <w:p w14:paraId="7A81429F" w14:textId="77777777" w:rsidR="00400398" w:rsidRPr="00C82494" w:rsidRDefault="00400398" w:rsidP="00654891">
            <w:pPr>
              <w:keepNext/>
              <w:keepLines/>
              <w:spacing w:before="60" w:after="170"/>
              <w:jc w:val="center"/>
              <w:rPr>
                <w:rFonts w:eastAsia="SimSun"/>
                <w:noProof/>
              </w:rPr>
            </w:pPr>
            <w:r w:rsidRPr="00C82494">
              <w:rPr>
                <w:rFonts w:eastAsia="SimSun"/>
                <w:noProof/>
              </w:rPr>
              <w:t>8,6</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4BE5D3F5" w14:textId="77777777" w:rsidR="00400398" w:rsidRPr="00C82494" w:rsidRDefault="00400398" w:rsidP="00654891">
            <w:pPr>
              <w:keepNext/>
              <w:keepLines/>
              <w:spacing w:before="60" w:after="170"/>
              <w:jc w:val="center"/>
              <w:rPr>
                <w:rFonts w:eastAsia="SimSun"/>
                <w:noProof/>
              </w:rPr>
            </w:pPr>
            <w:r w:rsidRPr="00C82494">
              <w:rPr>
                <w:rFonts w:eastAsia="SimSun"/>
                <w:noProof/>
              </w:rPr>
              <w:t>6,2</w:t>
            </w:r>
          </w:p>
        </w:tc>
        <w:tc>
          <w:tcPr>
            <w:tcW w:w="988" w:type="pct"/>
            <w:tcBorders>
              <w:top w:val="nil"/>
              <w:left w:val="nil"/>
              <w:bottom w:val="single" w:sz="8" w:space="0" w:color="auto"/>
              <w:right w:val="single" w:sz="8" w:space="0" w:color="auto"/>
            </w:tcBorders>
            <w:tcMar>
              <w:top w:w="0" w:type="dxa"/>
              <w:left w:w="108" w:type="dxa"/>
              <w:bottom w:w="0" w:type="dxa"/>
              <w:right w:w="108" w:type="dxa"/>
            </w:tcMar>
          </w:tcPr>
          <w:p w14:paraId="4B014421" w14:textId="77777777" w:rsidR="00400398" w:rsidRPr="00C82494" w:rsidRDefault="00400398" w:rsidP="00654891">
            <w:pPr>
              <w:keepNext/>
              <w:keepLines/>
              <w:spacing w:before="60" w:after="170"/>
              <w:jc w:val="center"/>
              <w:rPr>
                <w:rFonts w:eastAsia="SimSun"/>
                <w:noProof/>
              </w:rPr>
            </w:pPr>
            <w:r w:rsidRPr="00C82494">
              <w:rPr>
                <w:rFonts w:eastAsia="SimSun"/>
                <w:noProof/>
              </w:rPr>
              <w:t>9,8</w:t>
            </w:r>
          </w:p>
        </w:tc>
      </w:tr>
      <w:tr w:rsidR="00400398" w:rsidRPr="00215594" w14:paraId="60D224A1" w14:textId="77777777" w:rsidTr="00D91337">
        <w:trPr>
          <w:trHeight w:val="940"/>
        </w:trPr>
        <w:tc>
          <w:tcPr>
            <w:tcW w:w="133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47B38A" w14:textId="77777777" w:rsidR="00400398" w:rsidRPr="007232E4" w:rsidRDefault="00400398" w:rsidP="00B4142B">
            <w:pPr>
              <w:keepNext/>
              <w:keepLines/>
              <w:spacing w:before="60"/>
              <w:rPr>
                <w:rFonts w:eastAsia="SimSun"/>
                <w:bCs/>
                <w:iCs/>
                <w:szCs w:val="22"/>
                <w:lang w:eastAsia="zh-CN"/>
              </w:rPr>
            </w:pPr>
            <w:r w:rsidRPr="007232E4">
              <w:rPr>
                <w:rFonts w:eastAsia="SimSun"/>
                <w:bCs/>
                <w:i/>
                <w:iCs/>
                <w:szCs w:val="22"/>
                <w:lang w:eastAsia="zh-CN"/>
              </w:rPr>
              <w:t>Hazard ratio</w:t>
            </w:r>
            <w:r w:rsidRPr="007232E4">
              <w:rPr>
                <w:rFonts w:eastAsia="SimSun"/>
                <w:bCs/>
                <w:iCs/>
                <w:szCs w:val="22"/>
                <w:lang w:eastAsia="zh-CN"/>
              </w:rPr>
              <w:t xml:space="preserve"> </w:t>
            </w:r>
            <w:r w:rsidRPr="00215594">
              <w:rPr>
                <w:szCs w:val="22"/>
              </w:rPr>
              <w:t xml:space="preserve">(taxa de risco) </w:t>
            </w:r>
            <w:r w:rsidRPr="007232E4">
              <w:rPr>
                <w:rFonts w:eastAsia="SimSun"/>
                <w:bCs/>
                <w:i/>
                <w:iCs/>
                <w:szCs w:val="22"/>
                <w:lang w:eastAsia="zh-CN"/>
              </w:rPr>
              <w:t>vs</w:t>
            </w:r>
            <w:r w:rsidRPr="007232E4">
              <w:rPr>
                <w:rFonts w:eastAsia="SimSun"/>
                <w:bCs/>
                <w:iCs/>
                <w:szCs w:val="22"/>
                <w:lang w:eastAsia="zh-CN"/>
              </w:rPr>
              <w:t xml:space="preserve"> braço placebo (IC 95%)</w:t>
            </w:r>
          </w:p>
        </w:tc>
        <w:tc>
          <w:tcPr>
            <w:tcW w:w="1791" w:type="pct"/>
            <w:gridSpan w:val="2"/>
            <w:tcBorders>
              <w:top w:val="nil"/>
              <w:left w:val="nil"/>
              <w:bottom w:val="single" w:sz="8" w:space="0" w:color="auto"/>
              <w:right w:val="single" w:sz="8" w:space="0" w:color="auto"/>
            </w:tcBorders>
            <w:tcMar>
              <w:top w:w="0" w:type="dxa"/>
              <w:left w:w="108" w:type="dxa"/>
              <w:bottom w:w="0" w:type="dxa"/>
              <w:right w:w="108" w:type="dxa"/>
            </w:tcMar>
          </w:tcPr>
          <w:p w14:paraId="04BF7414" w14:textId="77777777" w:rsidR="00400398" w:rsidRPr="00C82494" w:rsidRDefault="00400398" w:rsidP="00654891">
            <w:pPr>
              <w:keepNext/>
              <w:keepLines/>
              <w:spacing w:before="60" w:after="170"/>
              <w:jc w:val="center"/>
              <w:rPr>
                <w:rFonts w:eastAsia="SimSun"/>
                <w:noProof/>
              </w:rPr>
            </w:pPr>
            <w:r w:rsidRPr="00C82494">
              <w:rPr>
                <w:rFonts w:eastAsia="SimSun"/>
                <w:noProof/>
              </w:rPr>
              <w:t>0,69 (0,56; 0,84)</w:t>
            </w:r>
          </w:p>
        </w:tc>
        <w:tc>
          <w:tcPr>
            <w:tcW w:w="1874" w:type="pct"/>
            <w:gridSpan w:val="2"/>
            <w:tcBorders>
              <w:top w:val="nil"/>
              <w:left w:val="nil"/>
              <w:bottom w:val="single" w:sz="8" w:space="0" w:color="auto"/>
              <w:right w:val="single" w:sz="8" w:space="0" w:color="auto"/>
            </w:tcBorders>
            <w:tcMar>
              <w:top w:w="0" w:type="dxa"/>
              <w:left w:w="108" w:type="dxa"/>
              <w:bottom w:w="0" w:type="dxa"/>
              <w:right w:w="108" w:type="dxa"/>
            </w:tcMar>
          </w:tcPr>
          <w:p w14:paraId="3FD4C68F" w14:textId="77777777" w:rsidR="00400398" w:rsidRPr="00C82494" w:rsidRDefault="00400398" w:rsidP="00654891">
            <w:pPr>
              <w:keepNext/>
              <w:keepLines/>
              <w:spacing w:before="60" w:after="170"/>
              <w:jc w:val="center"/>
              <w:rPr>
                <w:rFonts w:eastAsia="SimSun"/>
                <w:noProof/>
              </w:rPr>
            </w:pPr>
            <w:r w:rsidRPr="00C82494">
              <w:rPr>
                <w:rFonts w:eastAsia="SimSun"/>
                <w:noProof/>
              </w:rPr>
              <w:t>0,68 (0,54; 0,86)</w:t>
            </w:r>
          </w:p>
        </w:tc>
      </w:tr>
      <w:tr w:rsidR="00400398" w:rsidRPr="00215594" w14:paraId="5FF5D72F" w14:textId="77777777" w:rsidTr="00D91337">
        <w:tc>
          <w:tcPr>
            <w:tcW w:w="133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8D415AB" w14:textId="77777777" w:rsidR="00400398" w:rsidRPr="00C82494" w:rsidRDefault="00400398" w:rsidP="00654891">
            <w:pPr>
              <w:keepNext/>
              <w:keepLines/>
              <w:spacing w:before="60" w:after="170"/>
              <w:jc w:val="both"/>
              <w:rPr>
                <w:rFonts w:eastAsia="SimSun"/>
                <w:noProof/>
              </w:rPr>
            </w:pPr>
            <w:r w:rsidRPr="00C82494">
              <w:rPr>
                <w:rFonts w:eastAsia="SimSun"/>
                <w:noProof/>
              </w:rPr>
              <w:t>valor de p</w:t>
            </w:r>
          </w:p>
        </w:tc>
        <w:tc>
          <w:tcPr>
            <w:tcW w:w="1791" w:type="pct"/>
            <w:gridSpan w:val="2"/>
            <w:tcBorders>
              <w:top w:val="nil"/>
              <w:left w:val="nil"/>
              <w:bottom w:val="single" w:sz="8" w:space="0" w:color="auto"/>
              <w:right w:val="single" w:sz="8" w:space="0" w:color="auto"/>
            </w:tcBorders>
            <w:tcMar>
              <w:top w:w="0" w:type="dxa"/>
              <w:left w:w="108" w:type="dxa"/>
              <w:bottom w:w="0" w:type="dxa"/>
              <w:right w:w="108" w:type="dxa"/>
            </w:tcMar>
          </w:tcPr>
          <w:p w14:paraId="7B503183" w14:textId="77777777" w:rsidR="00400398" w:rsidRPr="00C82494" w:rsidRDefault="00400398" w:rsidP="00654891">
            <w:pPr>
              <w:keepNext/>
              <w:keepLines/>
              <w:spacing w:before="60" w:after="170"/>
              <w:jc w:val="center"/>
              <w:rPr>
                <w:rFonts w:eastAsia="SimSun"/>
                <w:noProof/>
              </w:rPr>
            </w:pPr>
            <w:r w:rsidRPr="00C82494">
              <w:rPr>
                <w:rFonts w:eastAsia="SimSun"/>
                <w:noProof/>
              </w:rPr>
              <w:t>0,0002</w:t>
            </w:r>
          </w:p>
        </w:tc>
        <w:tc>
          <w:tcPr>
            <w:tcW w:w="1874" w:type="pct"/>
            <w:gridSpan w:val="2"/>
            <w:tcBorders>
              <w:top w:val="nil"/>
              <w:left w:val="nil"/>
              <w:bottom w:val="single" w:sz="8" w:space="0" w:color="auto"/>
              <w:right w:val="single" w:sz="8" w:space="0" w:color="auto"/>
            </w:tcBorders>
            <w:tcMar>
              <w:top w:w="0" w:type="dxa"/>
              <w:left w:w="108" w:type="dxa"/>
              <w:bottom w:w="0" w:type="dxa"/>
              <w:right w:w="108" w:type="dxa"/>
            </w:tcMar>
          </w:tcPr>
          <w:p w14:paraId="4E885A1D" w14:textId="77777777" w:rsidR="00400398" w:rsidRPr="00C82494" w:rsidRDefault="00400398" w:rsidP="00654891">
            <w:pPr>
              <w:keepNext/>
              <w:keepLines/>
              <w:spacing w:before="60" w:after="170"/>
              <w:jc w:val="center"/>
              <w:rPr>
                <w:rFonts w:eastAsia="SimSun"/>
                <w:noProof/>
              </w:rPr>
            </w:pPr>
            <w:r w:rsidRPr="00C82494">
              <w:rPr>
                <w:rFonts w:eastAsia="SimSun"/>
                <w:noProof/>
              </w:rPr>
              <w:t>0,0011</w:t>
            </w:r>
          </w:p>
        </w:tc>
      </w:tr>
      <w:tr w:rsidR="00400398" w:rsidRPr="00215594" w14:paraId="2AB6EF7E" w14:textId="77777777" w:rsidTr="00D91337">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754D1F4E" w14:textId="77777777" w:rsidR="00400398" w:rsidRPr="007232E4" w:rsidRDefault="00400398">
            <w:pPr>
              <w:keepNext/>
              <w:keepLines/>
              <w:spacing w:before="60" w:after="170"/>
              <w:jc w:val="both"/>
              <w:rPr>
                <w:rFonts w:eastAsia="SimSun"/>
                <w:iCs/>
                <w:szCs w:val="22"/>
                <w:lang w:eastAsia="zh-CN"/>
              </w:rPr>
            </w:pPr>
            <w:r w:rsidRPr="007232E4">
              <w:rPr>
                <w:rFonts w:eastAsia="SimSun"/>
                <w:bCs/>
                <w:iCs/>
                <w:szCs w:val="22"/>
                <w:lang w:eastAsia="zh-CN"/>
              </w:rPr>
              <w:t>Taxa de resposta (para doentes com doença mensurável)</w:t>
            </w:r>
            <w:r w:rsidRPr="007232E4">
              <w:rPr>
                <w:rFonts w:eastAsia="SimSun"/>
                <w:bCs/>
                <w:iCs/>
                <w:szCs w:val="22"/>
                <w:vertAlign w:val="superscript"/>
                <w:lang w:eastAsia="zh-CN"/>
              </w:rPr>
              <w:t>b</w:t>
            </w:r>
          </w:p>
        </w:tc>
      </w:tr>
      <w:tr w:rsidR="00400398" w:rsidRPr="00215594" w14:paraId="166F7E30" w14:textId="77777777" w:rsidTr="00D91337">
        <w:tc>
          <w:tcPr>
            <w:tcW w:w="133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0E8DDD" w14:textId="77777777" w:rsidR="00400398" w:rsidRPr="007232E4" w:rsidRDefault="00400398">
            <w:pPr>
              <w:spacing w:before="60" w:after="170"/>
              <w:rPr>
                <w:rFonts w:eastAsia="SimSun"/>
                <w:bCs/>
                <w:iCs/>
                <w:szCs w:val="22"/>
                <w:lang w:eastAsia="zh-CN"/>
              </w:rPr>
            </w:pPr>
          </w:p>
        </w:tc>
        <w:tc>
          <w:tcPr>
            <w:tcW w:w="1791" w:type="pct"/>
            <w:gridSpan w:val="2"/>
            <w:tcBorders>
              <w:top w:val="nil"/>
              <w:left w:val="nil"/>
              <w:bottom w:val="single" w:sz="8" w:space="0" w:color="auto"/>
              <w:right w:val="single" w:sz="8" w:space="0" w:color="auto"/>
            </w:tcBorders>
            <w:tcMar>
              <w:top w:w="0" w:type="dxa"/>
              <w:left w:w="108" w:type="dxa"/>
              <w:bottom w:w="0" w:type="dxa"/>
              <w:right w:w="108" w:type="dxa"/>
            </w:tcMar>
          </w:tcPr>
          <w:p w14:paraId="14653001" w14:textId="77777777" w:rsidR="00400398" w:rsidRPr="00C82494" w:rsidRDefault="00400398">
            <w:pPr>
              <w:spacing w:before="60" w:after="170"/>
              <w:jc w:val="center"/>
              <w:rPr>
                <w:rFonts w:eastAsia="SimSun"/>
                <w:noProof/>
              </w:rPr>
            </w:pPr>
            <w:r w:rsidRPr="00C82494">
              <w:rPr>
                <w:rFonts w:eastAsia="SimSun"/>
                <w:noProof/>
              </w:rPr>
              <w:t>Cap + Pl (n = 161)</w:t>
            </w:r>
          </w:p>
        </w:tc>
        <w:tc>
          <w:tcPr>
            <w:tcW w:w="1874" w:type="pct"/>
            <w:gridSpan w:val="2"/>
            <w:tcBorders>
              <w:top w:val="nil"/>
              <w:left w:val="nil"/>
              <w:bottom w:val="single" w:sz="8" w:space="0" w:color="auto"/>
              <w:right w:val="single" w:sz="8" w:space="0" w:color="auto"/>
            </w:tcBorders>
            <w:tcMar>
              <w:top w:w="0" w:type="dxa"/>
              <w:left w:w="108" w:type="dxa"/>
              <w:bottom w:w="0" w:type="dxa"/>
              <w:right w:w="108" w:type="dxa"/>
            </w:tcMar>
          </w:tcPr>
          <w:p w14:paraId="08EF4C3E" w14:textId="77777777" w:rsidR="00B24A23" w:rsidRDefault="00400398" w:rsidP="00174055">
            <w:pPr>
              <w:spacing w:before="60" w:after="170"/>
              <w:jc w:val="center"/>
              <w:rPr>
                <w:rFonts w:eastAsia="SimSun"/>
                <w:noProof/>
              </w:rPr>
            </w:pPr>
            <w:r w:rsidRPr="00C82494">
              <w:rPr>
                <w:rFonts w:eastAsia="SimSun"/>
                <w:noProof/>
              </w:rPr>
              <w:t xml:space="preserve">Cap + </w:t>
            </w:r>
            <w:r w:rsidR="00174055">
              <w:rPr>
                <w:rFonts w:eastAsia="SimSun"/>
                <w:noProof/>
              </w:rPr>
              <w:t>bevacizumab</w:t>
            </w:r>
            <w:r w:rsidR="00174055" w:rsidRPr="00C82494">
              <w:rPr>
                <w:rFonts w:eastAsia="SimSun"/>
                <w:noProof/>
              </w:rPr>
              <w:t xml:space="preserve"> </w:t>
            </w:r>
          </w:p>
          <w:p w14:paraId="5F4C8AA3" w14:textId="77777777" w:rsidR="00400398" w:rsidRPr="00C82494" w:rsidRDefault="00400398" w:rsidP="00174055">
            <w:pPr>
              <w:spacing w:before="60" w:after="170"/>
              <w:jc w:val="center"/>
              <w:rPr>
                <w:rFonts w:eastAsia="SimSun"/>
                <w:noProof/>
              </w:rPr>
            </w:pPr>
            <w:r w:rsidRPr="00C82494">
              <w:rPr>
                <w:rFonts w:eastAsia="SimSun"/>
                <w:noProof/>
              </w:rPr>
              <w:t>(n = 325)</w:t>
            </w:r>
          </w:p>
        </w:tc>
      </w:tr>
      <w:tr w:rsidR="00400398" w:rsidRPr="00215594" w14:paraId="0A7AF330" w14:textId="77777777" w:rsidTr="00D91337">
        <w:tc>
          <w:tcPr>
            <w:tcW w:w="133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48AB4A" w14:textId="77777777" w:rsidR="00400398" w:rsidRPr="007232E4" w:rsidRDefault="00400398">
            <w:pPr>
              <w:spacing w:before="60" w:after="170"/>
              <w:rPr>
                <w:rFonts w:eastAsia="SimSun"/>
                <w:bCs/>
                <w:iCs/>
                <w:szCs w:val="22"/>
                <w:lang w:eastAsia="zh-CN"/>
              </w:rPr>
            </w:pPr>
            <w:r w:rsidRPr="007232E4">
              <w:rPr>
                <w:rFonts w:eastAsia="SimSun"/>
                <w:bCs/>
                <w:iCs/>
                <w:szCs w:val="22"/>
                <w:lang w:eastAsia="zh-CN"/>
              </w:rPr>
              <w:t>% doentes com resposta objetiva</w:t>
            </w:r>
          </w:p>
        </w:tc>
        <w:tc>
          <w:tcPr>
            <w:tcW w:w="17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4E00408" w14:textId="77777777" w:rsidR="00400398" w:rsidRPr="00C82494" w:rsidRDefault="00400398">
            <w:pPr>
              <w:spacing w:before="60" w:after="170"/>
              <w:jc w:val="center"/>
              <w:rPr>
                <w:rFonts w:eastAsia="SimSun"/>
                <w:noProof/>
              </w:rPr>
            </w:pPr>
            <w:r w:rsidRPr="00C82494">
              <w:rPr>
                <w:rFonts w:eastAsia="SimSun"/>
                <w:noProof/>
              </w:rPr>
              <w:t>23,6</w:t>
            </w:r>
          </w:p>
        </w:tc>
        <w:tc>
          <w:tcPr>
            <w:tcW w:w="187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107920E" w14:textId="77777777" w:rsidR="00400398" w:rsidRPr="00C82494" w:rsidRDefault="00400398">
            <w:pPr>
              <w:spacing w:before="60" w:after="170"/>
              <w:jc w:val="center"/>
              <w:rPr>
                <w:rFonts w:eastAsia="SimSun"/>
                <w:noProof/>
              </w:rPr>
            </w:pPr>
            <w:r w:rsidRPr="00C82494">
              <w:rPr>
                <w:rFonts w:eastAsia="SimSun"/>
                <w:noProof/>
              </w:rPr>
              <w:t>35,4</w:t>
            </w:r>
          </w:p>
        </w:tc>
      </w:tr>
      <w:tr w:rsidR="00400398" w:rsidRPr="00215594" w14:paraId="06C399E0" w14:textId="77777777" w:rsidTr="00D91337">
        <w:tc>
          <w:tcPr>
            <w:tcW w:w="133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D03295" w14:textId="77777777" w:rsidR="00400398" w:rsidRPr="00C82494" w:rsidRDefault="00400398">
            <w:pPr>
              <w:spacing w:before="60" w:after="170"/>
              <w:rPr>
                <w:rFonts w:eastAsia="SimSun"/>
                <w:noProof/>
              </w:rPr>
            </w:pPr>
            <w:r w:rsidRPr="00C82494">
              <w:rPr>
                <w:rFonts w:eastAsia="SimSun"/>
                <w:noProof/>
              </w:rPr>
              <w:t>valor de p</w:t>
            </w:r>
          </w:p>
        </w:tc>
        <w:tc>
          <w:tcPr>
            <w:tcW w:w="3666"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3331562C" w14:textId="77777777" w:rsidR="00400398" w:rsidRPr="00C82494" w:rsidRDefault="00400398">
            <w:pPr>
              <w:spacing w:before="60" w:after="170"/>
              <w:jc w:val="center"/>
              <w:rPr>
                <w:rFonts w:eastAsia="SimSun"/>
                <w:noProof/>
              </w:rPr>
            </w:pPr>
            <w:r w:rsidRPr="00C82494">
              <w:rPr>
                <w:rFonts w:eastAsia="SimSun"/>
                <w:noProof/>
              </w:rPr>
              <w:t>0,0097</w:t>
            </w:r>
          </w:p>
        </w:tc>
      </w:tr>
      <w:tr w:rsidR="00400398" w:rsidRPr="00215594" w14:paraId="351E2E94" w14:textId="77777777" w:rsidTr="00D91337">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F2C938" w14:textId="77777777" w:rsidR="00400398" w:rsidRPr="00C82494" w:rsidRDefault="00400398">
            <w:pPr>
              <w:spacing w:before="60" w:after="170"/>
              <w:rPr>
                <w:rFonts w:eastAsia="SimSun"/>
                <w:noProof/>
              </w:rPr>
            </w:pPr>
            <w:r w:rsidRPr="00C82494">
              <w:rPr>
                <w:rFonts w:eastAsia="SimSun"/>
                <w:noProof/>
              </w:rPr>
              <w:t>Sobrevivência global</w:t>
            </w:r>
            <w:r w:rsidRPr="00C82494">
              <w:rPr>
                <w:rFonts w:eastAsia="SimSun"/>
                <w:noProof/>
                <w:vertAlign w:val="superscript"/>
              </w:rPr>
              <w:t>b</w:t>
            </w:r>
          </w:p>
        </w:tc>
      </w:tr>
      <w:tr w:rsidR="00400398" w:rsidRPr="00215594" w14:paraId="71A9B6AB" w14:textId="77777777" w:rsidTr="00D91337">
        <w:tc>
          <w:tcPr>
            <w:tcW w:w="13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EDB74F" w14:textId="77777777" w:rsidR="00400398" w:rsidRPr="007232E4" w:rsidRDefault="00400398">
            <w:pPr>
              <w:pStyle w:val="textti120"/>
              <w:spacing w:after="0"/>
              <w:jc w:val="left"/>
              <w:rPr>
                <w:sz w:val="22"/>
                <w:szCs w:val="22"/>
              </w:rPr>
            </w:pPr>
            <w:r w:rsidRPr="007232E4">
              <w:rPr>
                <w:i/>
                <w:sz w:val="22"/>
                <w:szCs w:val="22"/>
              </w:rPr>
              <w:t xml:space="preserve">Hazard </w:t>
            </w:r>
            <w:r w:rsidR="003F3D13">
              <w:rPr>
                <w:i/>
                <w:sz w:val="22"/>
                <w:szCs w:val="22"/>
              </w:rPr>
              <w:t>r</w:t>
            </w:r>
            <w:r w:rsidRPr="007232E4">
              <w:rPr>
                <w:i/>
                <w:sz w:val="22"/>
                <w:szCs w:val="22"/>
              </w:rPr>
              <w:t>atio</w:t>
            </w:r>
            <w:r w:rsidRPr="007232E4">
              <w:rPr>
                <w:sz w:val="22"/>
                <w:szCs w:val="22"/>
              </w:rPr>
              <w:t xml:space="preserve"> (taxa de risco)</w:t>
            </w:r>
          </w:p>
          <w:p w14:paraId="779E3FD7" w14:textId="77777777" w:rsidR="00400398" w:rsidRPr="00215594" w:rsidRDefault="00400398">
            <w:pPr>
              <w:spacing w:before="60" w:after="170"/>
              <w:jc w:val="both"/>
              <w:rPr>
                <w:noProof/>
              </w:rPr>
            </w:pPr>
            <w:r w:rsidRPr="00215594">
              <w:rPr>
                <w:noProof/>
              </w:rPr>
              <w:t>(</w:t>
            </w:r>
            <w:r w:rsidRPr="007232E4">
              <w:rPr>
                <w:rFonts w:eastAsia="SimSun"/>
                <w:bCs/>
                <w:iCs/>
                <w:szCs w:val="22"/>
                <w:lang w:eastAsia="zh-CN"/>
              </w:rPr>
              <w:t>IC 95%</w:t>
            </w:r>
            <w:r w:rsidRPr="00215594">
              <w:rPr>
                <w:noProof/>
              </w:rPr>
              <w:t>)</w:t>
            </w:r>
          </w:p>
        </w:tc>
        <w:tc>
          <w:tcPr>
            <w:tcW w:w="3692"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041BC3" w14:textId="77777777" w:rsidR="00400398" w:rsidRPr="007232E4" w:rsidRDefault="00400398">
            <w:pPr>
              <w:spacing w:before="60" w:after="170"/>
              <w:jc w:val="center"/>
              <w:rPr>
                <w:rFonts w:eastAsia="SimSun"/>
                <w:bCs/>
                <w:iCs/>
                <w:szCs w:val="22"/>
                <w:lang w:eastAsia="zh-CN"/>
              </w:rPr>
            </w:pPr>
            <w:r w:rsidRPr="00215594">
              <w:rPr>
                <w:szCs w:val="22"/>
              </w:rPr>
              <w:t>0,88 (0,69; 1,13)</w:t>
            </w:r>
          </w:p>
        </w:tc>
      </w:tr>
      <w:tr w:rsidR="00400398" w:rsidRPr="00215594" w14:paraId="0C1CBF9D" w14:textId="77777777" w:rsidTr="00D91337">
        <w:tc>
          <w:tcPr>
            <w:tcW w:w="13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D1AC1E" w14:textId="77777777" w:rsidR="00400398" w:rsidRPr="00215594" w:rsidRDefault="00E66DED" w:rsidP="00E66DED">
            <w:pPr>
              <w:spacing w:before="60" w:after="170"/>
              <w:rPr>
                <w:szCs w:val="22"/>
                <w:lang w:eastAsia="de-DE"/>
              </w:rPr>
            </w:pPr>
            <w:r w:rsidRPr="00215594">
              <w:rPr>
                <w:szCs w:val="22"/>
              </w:rPr>
              <w:t>valor de p (</w:t>
            </w:r>
            <w:r w:rsidR="00400398" w:rsidRPr="00215594">
              <w:rPr>
                <w:szCs w:val="22"/>
              </w:rPr>
              <w:t>exploratório)</w:t>
            </w:r>
          </w:p>
        </w:tc>
        <w:tc>
          <w:tcPr>
            <w:tcW w:w="3692"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C4C741" w14:textId="77777777" w:rsidR="00400398" w:rsidRPr="007232E4" w:rsidRDefault="00400398">
            <w:pPr>
              <w:spacing w:before="60" w:after="170"/>
              <w:jc w:val="center"/>
              <w:rPr>
                <w:rFonts w:eastAsia="SimSun"/>
                <w:bCs/>
                <w:iCs/>
                <w:szCs w:val="22"/>
                <w:lang w:eastAsia="zh-CN"/>
              </w:rPr>
            </w:pPr>
            <w:r w:rsidRPr="00215594">
              <w:rPr>
                <w:szCs w:val="22"/>
              </w:rPr>
              <w:t>0,33</w:t>
            </w:r>
          </w:p>
        </w:tc>
      </w:tr>
    </w:tbl>
    <w:p w14:paraId="45EFA9F3" w14:textId="77777777" w:rsidR="00400398" w:rsidRPr="007232E4" w:rsidRDefault="00400398">
      <w:pPr>
        <w:ind w:left="142" w:hanging="142"/>
        <w:rPr>
          <w:sz w:val="20"/>
          <w:vertAlign w:val="superscript"/>
        </w:rPr>
      </w:pPr>
      <w:r w:rsidRPr="007232E4">
        <w:rPr>
          <w:sz w:val="20"/>
          <w:vertAlign w:val="superscript"/>
        </w:rPr>
        <w:t>a</w:t>
      </w:r>
      <w:r w:rsidRPr="007232E4">
        <w:rPr>
          <w:sz w:val="20"/>
        </w:rPr>
        <w:t>1000 mg/m</w:t>
      </w:r>
      <w:r w:rsidRPr="007232E4">
        <w:rPr>
          <w:sz w:val="20"/>
          <w:vertAlign w:val="superscript"/>
        </w:rPr>
        <w:t xml:space="preserve">2 </w:t>
      </w:r>
      <w:r w:rsidRPr="007232E4">
        <w:rPr>
          <w:sz w:val="20"/>
        </w:rPr>
        <w:t>oral duas vezes por dia durante 14 dias, administrados a cada 3 semanas</w:t>
      </w:r>
    </w:p>
    <w:p w14:paraId="1657A6CC" w14:textId="77777777" w:rsidR="00400398" w:rsidRPr="007232E4" w:rsidRDefault="00400398">
      <w:pPr>
        <w:ind w:left="142" w:hanging="142"/>
        <w:rPr>
          <w:sz w:val="20"/>
        </w:rPr>
      </w:pPr>
      <w:r w:rsidRPr="007232E4">
        <w:rPr>
          <w:sz w:val="20"/>
          <w:vertAlign w:val="superscript"/>
        </w:rPr>
        <w:t>b</w:t>
      </w:r>
      <w:r w:rsidRPr="007232E4">
        <w:rPr>
          <w:sz w:val="20"/>
        </w:rPr>
        <w:t xml:space="preserve">A análise estratificada incluiu todos os acontecimentos de progressão e morte, exceto os relacionados com a terapêutica fora do protocolo (NPT) iniciada antes de progressão documentada; os dados desses doentes foram censurados durante a última avaliação do tumor anterior ao início da NPT. </w:t>
      </w:r>
    </w:p>
    <w:p w14:paraId="3BA69994" w14:textId="77777777" w:rsidR="00400398" w:rsidRPr="007232E4" w:rsidRDefault="00400398">
      <w:pPr>
        <w:rPr>
          <w:rFonts w:eastAsia="SimSun"/>
          <w:sz w:val="20"/>
          <w:u w:val="single"/>
          <w:lang w:eastAsia="zh-CN"/>
        </w:rPr>
      </w:pPr>
    </w:p>
    <w:p w14:paraId="015EA8D2" w14:textId="77777777" w:rsidR="00400398" w:rsidRPr="007232E4" w:rsidRDefault="00400398">
      <w:pPr>
        <w:outlineLvl w:val="0"/>
        <w:rPr>
          <w:szCs w:val="22"/>
        </w:rPr>
      </w:pPr>
      <w:r w:rsidRPr="007232E4">
        <w:rPr>
          <w:rFonts w:eastAsia="SimSun"/>
          <w:lang w:eastAsia="zh-CN"/>
        </w:rPr>
        <w:lastRenderedPageBreak/>
        <w:t>Foi realizada uma análise não estratificad</w:t>
      </w:r>
      <w:r w:rsidRPr="007232E4">
        <w:rPr>
          <w:rFonts w:eastAsia="SimSun"/>
          <w:szCs w:val="22"/>
          <w:lang w:eastAsia="zh-CN"/>
        </w:rPr>
        <w:t>a da PFS (efetuada pelo investigador) que não censurou a t</w:t>
      </w:r>
      <w:r w:rsidRPr="007232E4">
        <w:rPr>
          <w:szCs w:val="22"/>
        </w:rPr>
        <w:t>erapêutica fora do protocolo (NPT) antes da progressão da doença. Os resultados destas análises foram muito semelhantes aos resultados primários da PFS.</w:t>
      </w:r>
    </w:p>
    <w:p w14:paraId="277F42E7" w14:textId="77777777" w:rsidR="00400398" w:rsidRPr="007232E4" w:rsidRDefault="00400398">
      <w:pPr>
        <w:outlineLvl w:val="0"/>
        <w:rPr>
          <w:b/>
        </w:rPr>
      </w:pPr>
    </w:p>
    <w:p w14:paraId="58365DC0" w14:textId="77777777" w:rsidR="00400398" w:rsidRDefault="00400398">
      <w:pPr>
        <w:outlineLvl w:val="0"/>
        <w:rPr>
          <w:i/>
          <w:u w:val="single"/>
        </w:rPr>
      </w:pPr>
      <w:r w:rsidRPr="000603E8">
        <w:rPr>
          <w:i/>
          <w:u w:val="single"/>
        </w:rPr>
        <w:t>Cancro do pulmão de células não pequenas (NSCLC)</w:t>
      </w:r>
    </w:p>
    <w:p w14:paraId="38B77F2E" w14:textId="77777777" w:rsidR="00BE10BE" w:rsidRDefault="00BE10BE">
      <w:pPr>
        <w:outlineLvl w:val="0"/>
        <w:rPr>
          <w:i/>
          <w:u w:val="single"/>
        </w:rPr>
      </w:pPr>
    </w:p>
    <w:p w14:paraId="7296E392" w14:textId="77777777" w:rsidR="00BE10BE" w:rsidRPr="00514928" w:rsidRDefault="00BE10BE">
      <w:pPr>
        <w:outlineLvl w:val="0"/>
        <w:rPr>
          <w:i/>
        </w:rPr>
      </w:pPr>
      <w:r w:rsidRPr="00514928">
        <w:rPr>
          <w:i/>
        </w:rPr>
        <w:t xml:space="preserve">Tratamento de primeira linha de NSCLC </w:t>
      </w:r>
      <w:r w:rsidR="00E66DED">
        <w:rPr>
          <w:i/>
        </w:rPr>
        <w:t xml:space="preserve">não </w:t>
      </w:r>
      <w:r w:rsidR="00FF62A5">
        <w:rPr>
          <w:i/>
        </w:rPr>
        <w:t>escamoso</w:t>
      </w:r>
      <w:r w:rsidR="00E66DED">
        <w:rPr>
          <w:i/>
        </w:rPr>
        <w:t xml:space="preserve"> </w:t>
      </w:r>
      <w:r w:rsidRPr="00514928">
        <w:rPr>
          <w:i/>
        </w:rPr>
        <w:t xml:space="preserve">em associação com quimioterapia baseada em </w:t>
      </w:r>
      <w:r w:rsidR="00233EB7">
        <w:rPr>
          <w:i/>
        </w:rPr>
        <w:t>platina</w:t>
      </w:r>
    </w:p>
    <w:p w14:paraId="21A54C68" w14:textId="77777777" w:rsidR="00400398" w:rsidRPr="007232E4" w:rsidRDefault="00400398">
      <w:pPr>
        <w:outlineLvl w:val="0"/>
        <w:rPr>
          <w:b/>
        </w:rPr>
      </w:pPr>
    </w:p>
    <w:p w14:paraId="5D70E8B4" w14:textId="77777777" w:rsidR="00400398" w:rsidRPr="007232E4" w:rsidRDefault="00400398">
      <w:pPr>
        <w:outlineLvl w:val="0"/>
      </w:pPr>
      <w:r w:rsidRPr="007232E4">
        <w:t xml:space="preserve">A segurança e eficácia de </w:t>
      </w:r>
      <w:r w:rsidR="00174055">
        <w:t>bevacizumab</w:t>
      </w:r>
      <w:r w:rsidR="00174055" w:rsidRPr="007232E4">
        <w:t xml:space="preserve"> </w:t>
      </w:r>
      <w:r w:rsidRPr="007232E4">
        <w:t xml:space="preserve">em associação a quimioterapia com base em </w:t>
      </w:r>
      <w:r w:rsidR="00233EB7">
        <w:t>platina</w:t>
      </w:r>
      <w:r w:rsidRPr="007232E4">
        <w:t xml:space="preserve">, no tratamento em primeira linha de doentes com cancro do pulmão de células não pequenas não escamosas </w:t>
      </w:r>
      <w:r w:rsidRPr="007232E4">
        <w:rPr>
          <w:i/>
        </w:rPr>
        <w:t>(NSCLC)</w:t>
      </w:r>
      <w:r w:rsidRPr="007232E4">
        <w:t xml:space="preserve">, foram estudadas nos ensaios E4599 e BO17704. No estudo E4599 foi demonstrado um benefício em termos de </w:t>
      </w:r>
      <w:r w:rsidR="003F3D13">
        <w:t>OS</w:t>
      </w:r>
      <w:r w:rsidRPr="007232E4">
        <w:t xml:space="preserve"> com uma dose </w:t>
      </w:r>
      <w:r w:rsidRPr="007232E4">
        <w:rPr>
          <w:szCs w:val="22"/>
        </w:rPr>
        <w:t>de bevacizumab</w:t>
      </w:r>
      <w:r w:rsidRPr="007232E4">
        <w:t xml:space="preserve"> de </w:t>
      </w:r>
      <w:r w:rsidRPr="007232E4">
        <w:rPr>
          <w:szCs w:val="22"/>
        </w:rPr>
        <w:t xml:space="preserve">15 mg/kg, administrada cada 3 semanas. </w:t>
      </w:r>
      <w:r w:rsidRPr="007232E4">
        <w:t xml:space="preserve">O ensaio BO17704 demonstrou o aumento da </w:t>
      </w:r>
      <w:r w:rsidR="003F3D13">
        <w:t>PFS</w:t>
      </w:r>
      <w:r w:rsidRPr="007232E4">
        <w:t xml:space="preserve"> e da taxa de resposta com ambas as doses de </w:t>
      </w:r>
      <w:r w:rsidRPr="007232E4">
        <w:rPr>
          <w:szCs w:val="22"/>
        </w:rPr>
        <w:t>bevacizumab, 7,5 mg/kg, administrada cada 3 semanas e 15 mg/kg, administrada cada 3 semanas.</w:t>
      </w:r>
    </w:p>
    <w:p w14:paraId="4F9C20B3" w14:textId="77777777" w:rsidR="00400398" w:rsidRPr="007232E4" w:rsidRDefault="00400398">
      <w:pPr>
        <w:outlineLvl w:val="0"/>
        <w:rPr>
          <w:b/>
        </w:rPr>
      </w:pPr>
    </w:p>
    <w:p w14:paraId="339F4EAA" w14:textId="77777777" w:rsidR="00400398" w:rsidRPr="007232E4" w:rsidRDefault="00400398">
      <w:pPr>
        <w:keepNext/>
        <w:outlineLvl w:val="0"/>
        <w:rPr>
          <w:i/>
        </w:rPr>
      </w:pPr>
      <w:r w:rsidRPr="007232E4">
        <w:rPr>
          <w:i/>
        </w:rPr>
        <w:t>E4599</w:t>
      </w:r>
    </w:p>
    <w:p w14:paraId="0199AF38" w14:textId="77777777" w:rsidR="00400398" w:rsidRPr="007232E4" w:rsidRDefault="00400398">
      <w:pPr>
        <w:keepNext/>
        <w:outlineLvl w:val="0"/>
      </w:pPr>
      <w:r w:rsidRPr="007232E4">
        <w:t xml:space="preserve">O estudo E4599 foi um estudo aberto, aleatorizado, controlado ativamente, multicêntrico para avaliação de </w:t>
      </w:r>
      <w:r w:rsidR="00174055">
        <w:t>bevacizumab</w:t>
      </w:r>
      <w:r w:rsidR="00174055" w:rsidRPr="007232E4">
        <w:t xml:space="preserve"> </w:t>
      </w:r>
      <w:r w:rsidRPr="007232E4">
        <w:t xml:space="preserve">no tratamento de primeira linha de doentes com cancro do pulmão de células não pequenas localmente avançado (estádio IIIb com derrame pleural maligno), </w:t>
      </w:r>
      <w:r w:rsidRPr="007232E4">
        <w:rPr>
          <w:rFonts w:eastAsia="SimSun"/>
          <w:szCs w:val="22"/>
          <w:lang w:eastAsia="zh-CN"/>
        </w:rPr>
        <w:t>metastizado</w:t>
      </w:r>
      <w:r w:rsidRPr="007232E4">
        <w:t xml:space="preserve"> ou recidivante, excluindo histologia com predomínio de células escamosas. </w:t>
      </w:r>
    </w:p>
    <w:p w14:paraId="7FE3BA8D" w14:textId="77777777" w:rsidR="00400398" w:rsidRPr="007232E4" w:rsidRDefault="00400398">
      <w:pPr>
        <w:outlineLvl w:val="0"/>
      </w:pPr>
    </w:p>
    <w:p w14:paraId="5E78B0CD" w14:textId="77777777" w:rsidR="00400398" w:rsidRPr="007232E4" w:rsidRDefault="00400398">
      <w:pPr>
        <w:outlineLvl w:val="0"/>
      </w:pPr>
      <w:r w:rsidRPr="007232E4">
        <w:t xml:space="preserve">Os doentes foram aleatoriamente distribuídos para o braço de quimioterapia à base de </w:t>
      </w:r>
      <w:r w:rsidR="00233EB7">
        <w:t>platina</w:t>
      </w:r>
      <w:r w:rsidRPr="007232E4">
        <w:t xml:space="preserve"> (200 mg/m</w:t>
      </w:r>
      <w:r w:rsidRPr="007232E4">
        <w:rPr>
          <w:vertAlign w:val="superscript"/>
        </w:rPr>
        <w:t>2</w:t>
      </w:r>
      <w:r w:rsidRPr="007232E4">
        <w:t xml:space="preserve"> de paclitaxel e carboplatina AUC = 6,0; ambos administrados por perfusão </w:t>
      </w:r>
      <w:r w:rsidR="003F3D13">
        <w:t>intravenosa</w:t>
      </w:r>
      <w:r w:rsidRPr="007232E4">
        <w:t xml:space="preserve">) (PC), administrada no dia 1 de cada ciclo de 3 semanas até um total de 6 ciclos ou para o braço com PC em associação com </w:t>
      </w:r>
      <w:r w:rsidR="00174055">
        <w:t>bevacizumab</w:t>
      </w:r>
      <w:r w:rsidR="00174055" w:rsidRPr="007232E4">
        <w:t xml:space="preserve"> </w:t>
      </w:r>
      <w:r w:rsidRPr="007232E4">
        <w:t xml:space="preserve">na dose de 15 mg/kg, administrado por perfusão </w:t>
      </w:r>
      <w:r w:rsidR="003F3D13">
        <w:t>intravenosa</w:t>
      </w:r>
      <w:r w:rsidRPr="007232E4">
        <w:t xml:space="preserve">, no dia 1 de cada ciclo de 3 semanas. Após a conclusão dos seis ciclos de quimioterapia com carboplatina - paclitaxel ou após descontinuação prematura da quimioterapia, os doentes no braço de </w:t>
      </w:r>
      <w:r w:rsidR="00174055">
        <w:t>bevacizumab</w:t>
      </w:r>
      <w:r w:rsidR="00174055" w:rsidRPr="007232E4">
        <w:t xml:space="preserve"> </w:t>
      </w:r>
      <w:r w:rsidRPr="007232E4">
        <w:t xml:space="preserve">+ carboplatina-paclitaxel continuaram a receber </w:t>
      </w:r>
      <w:r w:rsidR="00174055">
        <w:t>bevacizumab</w:t>
      </w:r>
      <w:r w:rsidR="00174055" w:rsidRPr="007232E4">
        <w:t xml:space="preserve"> </w:t>
      </w:r>
      <w:r w:rsidRPr="007232E4">
        <w:t>em monoterapia cada 3 semanas até progressão da doença. Foram randomizados para os dois braços de tratamento 878</w:t>
      </w:r>
      <w:r w:rsidR="00B24A23">
        <w:t> </w:t>
      </w:r>
      <w:r w:rsidRPr="007232E4">
        <w:t>doentes.</w:t>
      </w:r>
    </w:p>
    <w:p w14:paraId="57239E55" w14:textId="77777777" w:rsidR="00400398" w:rsidRPr="007232E4" w:rsidRDefault="00400398">
      <w:pPr>
        <w:outlineLvl w:val="0"/>
        <w:rPr>
          <w:b/>
        </w:rPr>
      </w:pPr>
    </w:p>
    <w:p w14:paraId="0C7E185F" w14:textId="77777777" w:rsidR="00400398" w:rsidRPr="007232E4" w:rsidRDefault="00400398">
      <w:pPr>
        <w:outlineLvl w:val="0"/>
      </w:pPr>
      <w:r w:rsidRPr="007232E4">
        <w:t>Durante o ensaio, dos doentes que receberam medicação de ensaio, 32,2% (136/422) receberam 7-12</w:t>
      </w:r>
      <w:r w:rsidR="00B24A23">
        <w:t> </w:t>
      </w:r>
      <w:r w:rsidRPr="007232E4">
        <w:t xml:space="preserve">administrações de </w:t>
      </w:r>
      <w:r w:rsidR="00174055">
        <w:t>bevacizumab</w:t>
      </w:r>
      <w:r w:rsidR="00174055" w:rsidRPr="007232E4">
        <w:t xml:space="preserve"> </w:t>
      </w:r>
      <w:r w:rsidRPr="007232E4">
        <w:t xml:space="preserve">e 21,1% (89/422) receberam 13 ou mais administrações de </w:t>
      </w:r>
      <w:r w:rsidR="00174055">
        <w:t>bevacizumab</w:t>
      </w:r>
      <w:r w:rsidRPr="007232E4">
        <w:t>.</w:t>
      </w:r>
    </w:p>
    <w:p w14:paraId="5C79A0CB" w14:textId="77777777" w:rsidR="00400398" w:rsidRPr="007232E4" w:rsidRDefault="00400398">
      <w:pPr>
        <w:outlineLvl w:val="0"/>
        <w:rPr>
          <w:b/>
        </w:rPr>
      </w:pPr>
    </w:p>
    <w:p w14:paraId="411A72FF" w14:textId="77777777" w:rsidR="00400398" w:rsidRPr="007232E4" w:rsidRDefault="00400398">
      <w:pPr>
        <w:outlineLvl w:val="0"/>
      </w:pPr>
      <w:r w:rsidRPr="007232E4">
        <w:t>O objetivo primário foi a duração da sobrevivência. Os resultados são apresentados na Tabela 1</w:t>
      </w:r>
      <w:r>
        <w:t>2</w:t>
      </w:r>
      <w:r w:rsidRPr="007232E4">
        <w:t>.</w:t>
      </w:r>
    </w:p>
    <w:p w14:paraId="2EBA8604" w14:textId="77777777" w:rsidR="00400398" w:rsidRPr="007232E4" w:rsidRDefault="00400398" w:rsidP="00FD1111">
      <w:pPr>
        <w:outlineLvl w:val="0"/>
        <w:rPr>
          <w:b/>
        </w:rPr>
      </w:pPr>
    </w:p>
    <w:p w14:paraId="44B41813" w14:textId="77777777" w:rsidR="00400398" w:rsidRPr="007232E4" w:rsidRDefault="00400398" w:rsidP="00CA5962">
      <w:pPr>
        <w:keepNext/>
        <w:keepLines/>
        <w:ind w:left="1559" w:hanging="1559"/>
      </w:pPr>
      <w:r w:rsidRPr="007232E4">
        <w:rPr>
          <w:b/>
        </w:rPr>
        <w:lastRenderedPageBreak/>
        <w:t>Tabela 1</w:t>
      </w:r>
      <w:r>
        <w:rPr>
          <w:b/>
        </w:rPr>
        <w:t>2</w:t>
      </w:r>
      <w:r w:rsidRPr="007232E4">
        <w:rPr>
          <w:b/>
        </w:rPr>
        <w:tab/>
        <w:t xml:space="preserve">Resultados de eficácia do ensaio E4599 </w:t>
      </w:r>
    </w:p>
    <w:tbl>
      <w:tblPr>
        <w:tblW w:w="5000" w:type="pct"/>
        <w:tblCellMar>
          <w:left w:w="57" w:type="dxa"/>
          <w:right w:w="57" w:type="dxa"/>
        </w:tblCellMar>
        <w:tblLook w:val="0000" w:firstRow="0" w:lastRow="0" w:firstColumn="0" w:lastColumn="0" w:noHBand="0" w:noVBand="0"/>
      </w:tblPr>
      <w:tblGrid>
        <w:gridCol w:w="3155"/>
        <w:gridCol w:w="2064"/>
        <w:gridCol w:w="3832"/>
      </w:tblGrid>
      <w:tr w:rsidR="00400398" w:rsidRPr="00215594" w14:paraId="7398B22A" w14:textId="77777777" w:rsidTr="00D91337">
        <w:trPr>
          <w:cantSplit/>
          <w:tblHeader/>
        </w:trPr>
        <w:tc>
          <w:tcPr>
            <w:tcW w:w="1743" w:type="pct"/>
            <w:tcBorders>
              <w:top w:val="single" w:sz="8" w:space="0" w:color="auto"/>
              <w:left w:val="single" w:sz="8" w:space="0" w:color="auto"/>
              <w:bottom w:val="single" w:sz="8" w:space="0" w:color="auto"/>
              <w:right w:val="single" w:sz="8" w:space="0" w:color="auto"/>
            </w:tcBorders>
            <w:vAlign w:val="bottom"/>
          </w:tcPr>
          <w:p w14:paraId="4C0C7BD3" w14:textId="77777777" w:rsidR="00400398" w:rsidRPr="00215594" w:rsidRDefault="00400398" w:rsidP="000C3BFB">
            <w:pPr>
              <w:pStyle w:val="TextTi10"/>
              <w:keepNext/>
              <w:keepLines/>
              <w:jc w:val="center"/>
              <w:rPr>
                <w:sz w:val="22"/>
                <w:szCs w:val="22"/>
              </w:rPr>
            </w:pPr>
          </w:p>
        </w:tc>
        <w:tc>
          <w:tcPr>
            <w:tcW w:w="1140" w:type="pct"/>
            <w:tcBorders>
              <w:top w:val="single" w:sz="8" w:space="0" w:color="auto"/>
              <w:left w:val="single" w:sz="8" w:space="0" w:color="auto"/>
              <w:bottom w:val="single" w:sz="8" w:space="0" w:color="auto"/>
              <w:right w:val="single" w:sz="8" w:space="0" w:color="auto"/>
            </w:tcBorders>
          </w:tcPr>
          <w:p w14:paraId="15F72F36" w14:textId="77777777" w:rsidR="00400398" w:rsidRPr="001E05C2" w:rsidRDefault="00400398" w:rsidP="000C3BFB">
            <w:pPr>
              <w:pStyle w:val="TextTi10"/>
              <w:keepNext/>
              <w:keepLines/>
              <w:jc w:val="center"/>
              <w:rPr>
                <w:b/>
                <w:sz w:val="22"/>
                <w:szCs w:val="22"/>
              </w:rPr>
            </w:pPr>
            <w:r w:rsidRPr="001E05C2">
              <w:rPr>
                <w:b/>
                <w:sz w:val="22"/>
                <w:szCs w:val="22"/>
              </w:rPr>
              <w:t>Braço 1</w:t>
            </w:r>
          </w:p>
          <w:p w14:paraId="46DAF120" w14:textId="77777777" w:rsidR="00400398" w:rsidRPr="001E05C2" w:rsidRDefault="00400398" w:rsidP="000C3BFB">
            <w:pPr>
              <w:pStyle w:val="TextTi10"/>
              <w:keepNext/>
              <w:keepLines/>
              <w:jc w:val="center"/>
              <w:rPr>
                <w:b/>
                <w:sz w:val="22"/>
                <w:szCs w:val="22"/>
              </w:rPr>
            </w:pPr>
          </w:p>
          <w:p w14:paraId="58612F8A" w14:textId="77777777" w:rsidR="00400398" w:rsidRPr="001E05C2" w:rsidRDefault="00400398" w:rsidP="000C3BFB">
            <w:pPr>
              <w:pStyle w:val="TextTi10"/>
              <w:keepNext/>
              <w:keepLines/>
              <w:jc w:val="center"/>
              <w:rPr>
                <w:b/>
                <w:sz w:val="22"/>
                <w:szCs w:val="22"/>
              </w:rPr>
            </w:pPr>
            <w:r w:rsidRPr="001E05C2">
              <w:rPr>
                <w:b/>
                <w:sz w:val="22"/>
                <w:szCs w:val="22"/>
              </w:rPr>
              <w:t>Carboplatina/</w:t>
            </w:r>
          </w:p>
          <w:p w14:paraId="2369B5F3" w14:textId="77777777" w:rsidR="00400398" w:rsidRPr="001E05C2" w:rsidRDefault="00400398" w:rsidP="000C3BFB">
            <w:pPr>
              <w:pStyle w:val="TextTi10"/>
              <w:keepNext/>
              <w:keepLines/>
              <w:jc w:val="center"/>
              <w:rPr>
                <w:b/>
                <w:sz w:val="22"/>
                <w:szCs w:val="22"/>
              </w:rPr>
            </w:pPr>
            <w:r w:rsidRPr="001E05C2">
              <w:rPr>
                <w:b/>
                <w:sz w:val="22"/>
                <w:szCs w:val="22"/>
              </w:rPr>
              <w:t>Paclitaxel</w:t>
            </w:r>
          </w:p>
          <w:p w14:paraId="2975E593" w14:textId="77777777" w:rsidR="00400398" w:rsidRPr="001E05C2" w:rsidRDefault="00400398" w:rsidP="000C3BFB">
            <w:pPr>
              <w:pStyle w:val="TextTi10"/>
              <w:keepNext/>
              <w:keepLines/>
              <w:jc w:val="center"/>
              <w:rPr>
                <w:b/>
                <w:sz w:val="22"/>
                <w:szCs w:val="22"/>
              </w:rPr>
            </w:pPr>
          </w:p>
          <w:p w14:paraId="2AF4F805" w14:textId="77777777" w:rsidR="00400398" w:rsidRPr="001E05C2" w:rsidRDefault="00400398" w:rsidP="000C3BFB">
            <w:pPr>
              <w:pStyle w:val="TextTi10"/>
              <w:keepNext/>
              <w:keepLines/>
              <w:jc w:val="center"/>
              <w:rPr>
                <w:b/>
                <w:sz w:val="22"/>
                <w:szCs w:val="22"/>
              </w:rPr>
            </w:pPr>
          </w:p>
        </w:tc>
        <w:tc>
          <w:tcPr>
            <w:tcW w:w="2117" w:type="pct"/>
            <w:tcBorders>
              <w:top w:val="single" w:sz="8" w:space="0" w:color="auto"/>
              <w:left w:val="single" w:sz="8" w:space="0" w:color="auto"/>
              <w:bottom w:val="single" w:sz="8" w:space="0" w:color="auto"/>
              <w:right w:val="single" w:sz="8" w:space="0" w:color="auto"/>
            </w:tcBorders>
            <w:vAlign w:val="bottom"/>
          </w:tcPr>
          <w:p w14:paraId="12DB9376" w14:textId="77777777" w:rsidR="00400398" w:rsidRPr="001E05C2" w:rsidRDefault="00400398" w:rsidP="000C3BFB">
            <w:pPr>
              <w:pStyle w:val="TextTi10"/>
              <w:keepNext/>
              <w:keepLines/>
              <w:jc w:val="center"/>
              <w:rPr>
                <w:b/>
                <w:sz w:val="22"/>
                <w:szCs w:val="22"/>
              </w:rPr>
            </w:pPr>
            <w:r w:rsidRPr="001E05C2">
              <w:rPr>
                <w:b/>
                <w:sz w:val="22"/>
                <w:szCs w:val="22"/>
              </w:rPr>
              <w:t>Braço 2</w:t>
            </w:r>
          </w:p>
          <w:p w14:paraId="0CB4DFD3" w14:textId="77777777" w:rsidR="00400398" w:rsidRPr="001E05C2" w:rsidRDefault="00400398" w:rsidP="000C3BFB">
            <w:pPr>
              <w:pStyle w:val="TextTi10"/>
              <w:keepNext/>
              <w:keepLines/>
              <w:jc w:val="center"/>
              <w:rPr>
                <w:b/>
                <w:sz w:val="22"/>
                <w:szCs w:val="22"/>
              </w:rPr>
            </w:pPr>
          </w:p>
          <w:p w14:paraId="11FB5FD9" w14:textId="77777777" w:rsidR="00400398" w:rsidRPr="001E05C2" w:rsidRDefault="00400398" w:rsidP="00174055">
            <w:pPr>
              <w:pStyle w:val="TextTi10"/>
              <w:keepNext/>
              <w:keepLines/>
              <w:jc w:val="center"/>
              <w:rPr>
                <w:b/>
                <w:sz w:val="22"/>
                <w:szCs w:val="22"/>
              </w:rPr>
            </w:pPr>
            <w:r w:rsidRPr="001E05C2">
              <w:rPr>
                <w:b/>
                <w:sz w:val="22"/>
                <w:szCs w:val="22"/>
              </w:rPr>
              <w:t xml:space="preserve">Carboplatina/ Paclitaxel + </w:t>
            </w:r>
            <w:r w:rsidRPr="001E05C2">
              <w:rPr>
                <w:b/>
                <w:sz w:val="22"/>
                <w:szCs w:val="22"/>
              </w:rPr>
              <w:br/>
            </w:r>
            <w:r w:rsidR="00174055" w:rsidRPr="001E05C2">
              <w:rPr>
                <w:b/>
                <w:sz w:val="22"/>
                <w:szCs w:val="22"/>
              </w:rPr>
              <w:t>bevacizumab</w:t>
            </w:r>
            <w:r w:rsidRPr="001E05C2">
              <w:rPr>
                <w:b/>
                <w:sz w:val="22"/>
                <w:szCs w:val="22"/>
              </w:rPr>
              <w:br/>
              <w:t>15 mg/kg cada 3</w:t>
            </w:r>
            <w:r w:rsidR="00174055" w:rsidRPr="00215594">
              <w:rPr>
                <w:b/>
                <w:sz w:val="22"/>
                <w:szCs w:val="22"/>
              </w:rPr>
              <w:t> </w:t>
            </w:r>
            <w:r w:rsidRPr="001E05C2">
              <w:rPr>
                <w:b/>
                <w:sz w:val="22"/>
                <w:szCs w:val="22"/>
              </w:rPr>
              <w:t>semanas</w:t>
            </w:r>
          </w:p>
        </w:tc>
      </w:tr>
      <w:tr w:rsidR="00400398" w:rsidRPr="00215594" w14:paraId="441B602D" w14:textId="77777777" w:rsidTr="00D91337">
        <w:trPr>
          <w:cantSplit/>
          <w:trHeight w:val="409"/>
        </w:trPr>
        <w:tc>
          <w:tcPr>
            <w:tcW w:w="1743" w:type="pct"/>
            <w:tcBorders>
              <w:top w:val="single" w:sz="8" w:space="0" w:color="auto"/>
              <w:left w:val="single" w:sz="8" w:space="0" w:color="auto"/>
              <w:bottom w:val="single" w:sz="4" w:space="0" w:color="auto"/>
              <w:right w:val="single" w:sz="8" w:space="0" w:color="auto"/>
            </w:tcBorders>
          </w:tcPr>
          <w:p w14:paraId="43F7E726" w14:textId="77777777" w:rsidR="00400398" w:rsidRPr="00215594" w:rsidRDefault="00400398" w:rsidP="000C3BFB">
            <w:pPr>
              <w:pStyle w:val="TableCellHead"/>
              <w:spacing w:before="40" w:after="40" w:line="240" w:lineRule="auto"/>
              <w:rPr>
                <w:sz w:val="22"/>
                <w:szCs w:val="22"/>
                <w:u w:val="none"/>
              </w:rPr>
            </w:pPr>
            <w:r w:rsidRPr="00215594">
              <w:rPr>
                <w:sz w:val="22"/>
                <w:szCs w:val="22"/>
                <w:u w:val="none"/>
              </w:rPr>
              <w:t>Número de doentes</w:t>
            </w:r>
          </w:p>
        </w:tc>
        <w:tc>
          <w:tcPr>
            <w:tcW w:w="1140" w:type="pct"/>
            <w:tcBorders>
              <w:top w:val="single" w:sz="8" w:space="0" w:color="auto"/>
              <w:left w:val="single" w:sz="8" w:space="0" w:color="auto"/>
              <w:bottom w:val="single" w:sz="4" w:space="0" w:color="auto"/>
              <w:right w:val="single" w:sz="8" w:space="0" w:color="auto"/>
            </w:tcBorders>
          </w:tcPr>
          <w:p w14:paraId="186B7A3E" w14:textId="77777777" w:rsidR="00400398" w:rsidRPr="00215594" w:rsidRDefault="00400398" w:rsidP="000C3BFB">
            <w:pPr>
              <w:pStyle w:val="TextTi10"/>
              <w:keepNext/>
              <w:keepLines/>
              <w:ind w:left="240"/>
              <w:jc w:val="center"/>
              <w:rPr>
                <w:sz w:val="22"/>
                <w:szCs w:val="22"/>
              </w:rPr>
            </w:pPr>
            <w:r w:rsidRPr="00215594">
              <w:rPr>
                <w:sz w:val="22"/>
                <w:szCs w:val="22"/>
              </w:rPr>
              <w:t>444</w:t>
            </w:r>
          </w:p>
        </w:tc>
        <w:tc>
          <w:tcPr>
            <w:tcW w:w="2117" w:type="pct"/>
            <w:tcBorders>
              <w:top w:val="single" w:sz="8" w:space="0" w:color="auto"/>
              <w:left w:val="single" w:sz="8" w:space="0" w:color="auto"/>
              <w:bottom w:val="single" w:sz="4" w:space="0" w:color="auto"/>
              <w:right w:val="single" w:sz="8" w:space="0" w:color="auto"/>
            </w:tcBorders>
          </w:tcPr>
          <w:p w14:paraId="6E3D6367" w14:textId="77777777" w:rsidR="00400398" w:rsidRPr="00215594" w:rsidRDefault="00400398" w:rsidP="000C3BFB">
            <w:pPr>
              <w:pStyle w:val="TextTi10"/>
              <w:keepNext/>
              <w:keepLines/>
              <w:ind w:left="240"/>
              <w:jc w:val="center"/>
              <w:rPr>
                <w:sz w:val="22"/>
                <w:szCs w:val="22"/>
              </w:rPr>
            </w:pPr>
            <w:r w:rsidRPr="00215594">
              <w:rPr>
                <w:sz w:val="22"/>
                <w:szCs w:val="22"/>
              </w:rPr>
              <w:t>434</w:t>
            </w:r>
          </w:p>
        </w:tc>
      </w:tr>
      <w:tr w:rsidR="00400398" w:rsidRPr="00215594" w14:paraId="2A17CFFD" w14:textId="77777777" w:rsidTr="00D91337">
        <w:trPr>
          <w:cantSplit/>
        </w:trPr>
        <w:tc>
          <w:tcPr>
            <w:tcW w:w="5000" w:type="pct"/>
            <w:gridSpan w:val="3"/>
            <w:tcBorders>
              <w:top w:val="single" w:sz="4" w:space="0" w:color="auto"/>
              <w:left w:val="single" w:sz="8" w:space="0" w:color="auto"/>
              <w:bottom w:val="single" w:sz="4" w:space="0" w:color="auto"/>
              <w:right w:val="single" w:sz="8" w:space="0" w:color="auto"/>
            </w:tcBorders>
          </w:tcPr>
          <w:p w14:paraId="69457EA1" w14:textId="77777777" w:rsidR="00400398" w:rsidRPr="00215594" w:rsidRDefault="00400398" w:rsidP="000C3BFB">
            <w:pPr>
              <w:pStyle w:val="TextTi10"/>
              <w:keepNext/>
              <w:keepLines/>
              <w:ind w:left="240"/>
              <w:rPr>
                <w:sz w:val="22"/>
                <w:szCs w:val="22"/>
              </w:rPr>
            </w:pPr>
            <w:r w:rsidRPr="00215594">
              <w:rPr>
                <w:sz w:val="22"/>
                <w:szCs w:val="22"/>
              </w:rPr>
              <w:t>Sobrevivência global</w:t>
            </w:r>
          </w:p>
        </w:tc>
      </w:tr>
      <w:tr w:rsidR="00400398" w:rsidRPr="00215594" w14:paraId="09EFB324" w14:textId="77777777" w:rsidTr="00D91337">
        <w:trPr>
          <w:cantSplit/>
        </w:trPr>
        <w:tc>
          <w:tcPr>
            <w:tcW w:w="1743" w:type="pct"/>
            <w:tcBorders>
              <w:top w:val="single" w:sz="4" w:space="0" w:color="auto"/>
              <w:left w:val="single" w:sz="8" w:space="0" w:color="auto"/>
              <w:bottom w:val="single" w:sz="4" w:space="0" w:color="auto"/>
              <w:right w:val="single" w:sz="8" w:space="0" w:color="auto"/>
            </w:tcBorders>
          </w:tcPr>
          <w:p w14:paraId="6E92ED28" w14:textId="77777777" w:rsidR="00400398" w:rsidRPr="00215594" w:rsidRDefault="00400398" w:rsidP="000C3BFB">
            <w:pPr>
              <w:pStyle w:val="TextTi10"/>
              <w:keepNext/>
              <w:keepLines/>
              <w:ind w:left="240"/>
              <w:rPr>
                <w:sz w:val="22"/>
                <w:szCs w:val="22"/>
              </w:rPr>
            </w:pPr>
            <w:r w:rsidRPr="00215594">
              <w:rPr>
                <w:sz w:val="22"/>
                <w:szCs w:val="22"/>
              </w:rPr>
              <w:t>Mediana (meses)</w:t>
            </w:r>
          </w:p>
        </w:tc>
        <w:tc>
          <w:tcPr>
            <w:tcW w:w="1140" w:type="pct"/>
            <w:tcBorders>
              <w:top w:val="single" w:sz="4" w:space="0" w:color="auto"/>
              <w:left w:val="single" w:sz="8" w:space="0" w:color="auto"/>
              <w:bottom w:val="single" w:sz="4" w:space="0" w:color="auto"/>
              <w:right w:val="single" w:sz="8" w:space="0" w:color="auto"/>
            </w:tcBorders>
          </w:tcPr>
          <w:p w14:paraId="15A105FA" w14:textId="77777777" w:rsidR="00400398" w:rsidRPr="00215594" w:rsidRDefault="00400398" w:rsidP="000C3BFB">
            <w:pPr>
              <w:pStyle w:val="TextTi10"/>
              <w:keepNext/>
              <w:keepLines/>
              <w:ind w:left="240"/>
              <w:jc w:val="center"/>
              <w:rPr>
                <w:sz w:val="22"/>
                <w:szCs w:val="22"/>
              </w:rPr>
            </w:pPr>
            <w:r w:rsidRPr="00215594">
              <w:rPr>
                <w:sz w:val="22"/>
                <w:szCs w:val="22"/>
              </w:rPr>
              <w:t>10,3</w:t>
            </w:r>
          </w:p>
        </w:tc>
        <w:tc>
          <w:tcPr>
            <w:tcW w:w="2117" w:type="pct"/>
            <w:tcBorders>
              <w:top w:val="single" w:sz="4" w:space="0" w:color="auto"/>
              <w:left w:val="single" w:sz="8" w:space="0" w:color="auto"/>
              <w:bottom w:val="single" w:sz="4" w:space="0" w:color="auto"/>
              <w:right w:val="single" w:sz="8" w:space="0" w:color="auto"/>
            </w:tcBorders>
          </w:tcPr>
          <w:p w14:paraId="5D6F17C4" w14:textId="77777777" w:rsidR="00400398" w:rsidRPr="00215594" w:rsidRDefault="00400398" w:rsidP="000C3BFB">
            <w:pPr>
              <w:pStyle w:val="TextTi10"/>
              <w:keepNext/>
              <w:keepLines/>
              <w:ind w:left="240"/>
              <w:jc w:val="center"/>
              <w:rPr>
                <w:sz w:val="22"/>
                <w:szCs w:val="22"/>
              </w:rPr>
            </w:pPr>
            <w:r w:rsidRPr="00215594">
              <w:rPr>
                <w:sz w:val="22"/>
                <w:szCs w:val="22"/>
              </w:rPr>
              <w:t>12,3</w:t>
            </w:r>
          </w:p>
        </w:tc>
      </w:tr>
      <w:tr w:rsidR="00400398" w:rsidRPr="00215594" w14:paraId="49236D3B" w14:textId="77777777" w:rsidTr="00D91337">
        <w:trPr>
          <w:cantSplit/>
        </w:trPr>
        <w:tc>
          <w:tcPr>
            <w:tcW w:w="1743" w:type="pct"/>
            <w:tcBorders>
              <w:top w:val="single" w:sz="4" w:space="0" w:color="auto"/>
              <w:left w:val="single" w:sz="8" w:space="0" w:color="auto"/>
              <w:bottom w:val="single" w:sz="4" w:space="0" w:color="auto"/>
              <w:right w:val="single" w:sz="8" w:space="0" w:color="auto"/>
            </w:tcBorders>
          </w:tcPr>
          <w:p w14:paraId="4BB825FF" w14:textId="77777777" w:rsidR="00400398" w:rsidRPr="00215594" w:rsidRDefault="00400398" w:rsidP="000C3BFB">
            <w:pPr>
              <w:pStyle w:val="TextTi10"/>
              <w:keepNext/>
              <w:keepLines/>
              <w:ind w:left="240"/>
              <w:rPr>
                <w:sz w:val="22"/>
                <w:szCs w:val="22"/>
              </w:rPr>
            </w:pPr>
            <w:r w:rsidRPr="00215594">
              <w:rPr>
                <w:i/>
                <w:sz w:val="22"/>
                <w:szCs w:val="22"/>
              </w:rPr>
              <w:t xml:space="preserve">Hazard </w:t>
            </w:r>
            <w:r w:rsidR="003F3D13">
              <w:rPr>
                <w:i/>
                <w:sz w:val="22"/>
                <w:szCs w:val="22"/>
              </w:rPr>
              <w:t>r</w:t>
            </w:r>
            <w:r w:rsidRPr="00215594">
              <w:rPr>
                <w:i/>
                <w:sz w:val="22"/>
                <w:szCs w:val="22"/>
              </w:rPr>
              <w:t xml:space="preserve">atio </w:t>
            </w:r>
            <w:r w:rsidRPr="00215594">
              <w:rPr>
                <w:sz w:val="22"/>
                <w:szCs w:val="22"/>
              </w:rPr>
              <w:t>(taxa de risco)</w:t>
            </w:r>
          </w:p>
          <w:p w14:paraId="72969122" w14:textId="77777777" w:rsidR="00400398" w:rsidRPr="00215594" w:rsidRDefault="00400398" w:rsidP="000C3BFB">
            <w:pPr>
              <w:pStyle w:val="TextTi10"/>
              <w:keepNext/>
              <w:keepLines/>
              <w:ind w:left="240"/>
              <w:rPr>
                <w:sz w:val="22"/>
                <w:szCs w:val="22"/>
              </w:rPr>
            </w:pPr>
          </w:p>
        </w:tc>
        <w:tc>
          <w:tcPr>
            <w:tcW w:w="3257" w:type="pct"/>
            <w:gridSpan w:val="2"/>
            <w:tcBorders>
              <w:top w:val="single" w:sz="4" w:space="0" w:color="auto"/>
              <w:left w:val="single" w:sz="8" w:space="0" w:color="auto"/>
              <w:bottom w:val="single" w:sz="4" w:space="0" w:color="auto"/>
              <w:right w:val="single" w:sz="8" w:space="0" w:color="auto"/>
            </w:tcBorders>
          </w:tcPr>
          <w:p w14:paraId="154ABBF7" w14:textId="77777777" w:rsidR="00400398" w:rsidRPr="00215594" w:rsidRDefault="00400398" w:rsidP="000C3BFB">
            <w:pPr>
              <w:pStyle w:val="TextTi10"/>
              <w:keepNext/>
              <w:keepLines/>
              <w:ind w:left="240"/>
              <w:jc w:val="center"/>
              <w:rPr>
                <w:sz w:val="22"/>
                <w:szCs w:val="22"/>
              </w:rPr>
            </w:pPr>
            <w:r w:rsidRPr="00215594">
              <w:rPr>
                <w:sz w:val="22"/>
                <w:szCs w:val="22"/>
              </w:rPr>
              <w:t>0,80 (p = 0,003)</w:t>
            </w:r>
          </w:p>
          <w:p w14:paraId="6F19BAE2" w14:textId="77777777" w:rsidR="00400398" w:rsidRPr="00215594" w:rsidRDefault="00400398" w:rsidP="000C3BFB">
            <w:pPr>
              <w:pStyle w:val="TextTi10"/>
              <w:keepNext/>
              <w:keepLines/>
              <w:ind w:left="240"/>
              <w:jc w:val="center"/>
              <w:rPr>
                <w:sz w:val="22"/>
                <w:szCs w:val="22"/>
              </w:rPr>
            </w:pPr>
            <w:r w:rsidRPr="00215594">
              <w:rPr>
                <w:sz w:val="22"/>
                <w:szCs w:val="22"/>
              </w:rPr>
              <w:t>IC 95% (0,69; 0,93)</w:t>
            </w:r>
          </w:p>
        </w:tc>
      </w:tr>
      <w:tr w:rsidR="00400398" w:rsidRPr="00215594" w14:paraId="13821A58" w14:textId="77777777" w:rsidTr="00D91337">
        <w:trPr>
          <w:cantSplit/>
        </w:trPr>
        <w:tc>
          <w:tcPr>
            <w:tcW w:w="5000" w:type="pct"/>
            <w:gridSpan w:val="3"/>
            <w:tcBorders>
              <w:top w:val="single" w:sz="4" w:space="0" w:color="auto"/>
              <w:left w:val="single" w:sz="8" w:space="0" w:color="auto"/>
              <w:bottom w:val="single" w:sz="4" w:space="0" w:color="auto"/>
              <w:right w:val="single" w:sz="8" w:space="0" w:color="auto"/>
            </w:tcBorders>
          </w:tcPr>
          <w:p w14:paraId="6F225775" w14:textId="77777777" w:rsidR="00400398" w:rsidRPr="00215594" w:rsidRDefault="00400398" w:rsidP="000C3BFB">
            <w:pPr>
              <w:pStyle w:val="TextTi10"/>
              <w:keepNext/>
              <w:keepLines/>
              <w:ind w:left="240"/>
              <w:rPr>
                <w:sz w:val="22"/>
                <w:szCs w:val="22"/>
              </w:rPr>
            </w:pPr>
            <w:r w:rsidRPr="00215594">
              <w:rPr>
                <w:sz w:val="22"/>
                <w:szCs w:val="22"/>
              </w:rPr>
              <w:t>Sobrevivência livre de progressão</w:t>
            </w:r>
          </w:p>
        </w:tc>
      </w:tr>
      <w:tr w:rsidR="00400398" w:rsidRPr="00215594" w14:paraId="7D20CB3F" w14:textId="77777777" w:rsidTr="00D91337">
        <w:trPr>
          <w:cantSplit/>
        </w:trPr>
        <w:tc>
          <w:tcPr>
            <w:tcW w:w="1743" w:type="pct"/>
            <w:tcBorders>
              <w:top w:val="single" w:sz="4" w:space="0" w:color="auto"/>
              <w:left w:val="single" w:sz="8" w:space="0" w:color="auto"/>
              <w:bottom w:val="single" w:sz="4" w:space="0" w:color="auto"/>
              <w:right w:val="single" w:sz="8" w:space="0" w:color="auto"/>
            </w:tcBorders>
            <w:vAlign w:val="center"/>
          </w:tcPr>
          <w:p w14:paraId="013958BF" w14:textId="77777777" w:rsidR="00400398" w:rsidRPr="00215594" w:rsidRDefault="00400398" w:rsidP="000C3BFB">
            <w:pPr>
              <w:pStyle w:val="TextTi10"/>
              <w:keepNext/>
              <w:keepLines/>
              <w:ind w:left="240"/>
              <w:rPr>
                <w:sz w:val="22"/>
                <w:szCs w:val="22"/>
              </w:rPr>
            </w:pPr>
            <w:r w:rsidRPr="00215594">
              <w:rPr>
                <w:sz w:val="22"/>
                <w:szCs w:val="22"/>
              </w:rPr>
              <w:t>Mediana (meses)</w:t>
            </w:r>
          </w:p>
        </w:tc>
        <w:tc>
          <w:tcPr>
            <w:tcW w:w="1140" w:type="pct"/>
            <w:tcBorders>
              <w:top w:val="single" w:sz="4" w:space="0" w:color="auto"/>
              <w:left w:val="single" w:sz="8" w:space="0" w:color="auto"/>
              <w:bottom w:val="single" w:sz="4" w:space="0" w:color="auto"/>
              <w:right w:val="single" w:sz="8" w:space="0" w:color="auto"/>
            </w:tcBorders>
            <w:vAlign w:val="center"/>
          </w:tcPr>
          <w:p w14:paraId="100E4266" w14:textId="77777777" w:rsidR="00400398" w:rsidRPr="00215594" w:rsidRDefault="00400398" w:rsidP="000C3BFB">
            <w:pPr>
              <w:pStyle w:val="TextTi10"/>
              <w:keepNext/>
              <w:keepLines/>
              <w:ind w:left="240"/>
              <w:jc w:val="center"/>
              <w:rPr>
                <w:sz w:val="22"/>
                <w:szCs w:val="22"/>
              </w:rPr>
            </w:pPr>
            <w:r w:rsidRPr="00215594">
              <w:rPr>
                <w:sz w:val="22"/>
                <w:szCs w:val="22"/>
              </w:rPr>
              <w:t>4,8</w:t>
            </w:r>
          </w:p>
        </w:tc>
        <w:tc>
          <w:tcPr>
            <w:tcW w:w="2117" w:type="pct"/>
            <w:tcBorders>
              <w:top w:val="single" w:sz="4" w:space="0" w:color="auto"/>
              <w:left w:val="single" w:sz="8" w:space="0" w:color="auto"/>
              <w:bottom w:val="single" w:sz="4" w:space="0" w:color="auto"/>
              <w:right w:val="single" w:sz="8" w:space="0" w:color="auto"/>
            </w:tcBorders>
            <w:vAlign w:val="center"/>
          </w:tcPr>
          <w:p w14:paraId="0E160093" w14:textId="77777777" w:rsidR="00400398" w:rsidRPr="00215594" w:rsidRDefault="00400398" w:rsidP="000C3BFB">
            <w:pPr>
              <w:pStyle w:val="TextTi10"/>
              <w:keepNext/>
              <w:keepLines/>
              <w:ind w:left="240"/>
              <w:jc w:val="center"/>
              <w:rPr>
                <w:sz w:val="22"/>
                <w:szCs w:val="22"/>
              </w:rPr>
            </w:pPr>
            <w:r w:rsidRPr="00215594">
              <w:rPr>
                <w:sz w:val="22"/>
                <w:szCs w:val="22"/>
              </w:rPr>
              <w:t>6,4</w:t>
            </w:r>
          </w:p>
        </w:tc>
      </w:tr>
      <w:tr w:rsidR="00400398" w:rsidRPr="00215594" w14:paraId="6255308E" w14:textId="77777777" w:rsidTr="00D91337">
        <w:trPr>
          <w:cantSplit/>
        </w:trPr>
        <w:tc>
          <w:tcPr>
            <w:tcW w:w="1743" w:type="pct"/>
            <w:tcBorders>
              <w:top w:val="single" w:sz="4" w:space="0" w:color="auto"/>
              <w:left w:val="single" w:sz="8" w:space="0" w:color="auto"/>
              <w:bottom w:val="single" w:sz="4" w:space="0" w:color="auto"/>
              <w:right w:val="single" w:sz="8" w:space="0" w:color="auto"/>
            </w:tcBorders>
          </w:tcPr>
          <w:p w14:paraId="6E222F26" w14:textId="77777777" w:rsidR="00400398" w:rsidRPr="00215594" w:rsidRDefault="00400398" w:rsidP="000C3BFB">
            <w:pPr>
              <w:pStyle w:val="TextTi10"/>
              <w:keepNext/>
              <w:keepLines/>
              <w:ind w:left="240"/>
              <w:rPr>
                <w:sz w:val="22"/>
                <w:szCs w:val="22"/>
              </w:rPr>
            </w:pPr>
            <w:r w:rsidRPr="00215594">
              <w:rPr>
                <w:i/>
                <w:sz w:val="22"/>
                <w:szCs w:val="22"/>
              </w:rPr>
              <w:t xml:space="preserve">Hazard </w:t>
            </w:r>
            <w:r w:rsidR="003F3D13">
              <w:rPr>
                <w:i/>
                <w:sz w:val="22"/>
                <w:szCs w:val="22"/>
              </w:rPr>
              <w:t>r</w:t>
            </w:r>
            <w:r w:rsidRPr="00215594">
              <w:rPr>
                <w:i/>
                <w:sz w:val="22"/>
                <w:szCs w:val="22"/>
              </w:rPr>
              <w:t xml:space="preserve">atio </w:t>
            </w:r>
            <w:r w:rsidRPr="00215594">
              <w:rPr>
                <w:sz w:val="22"/>
                <w:szCs w:val="22"/>
              </w:rPr>
              <w:t>(taxa de risco)</w:t>
            </w:r>
          </w:p>
          <w:p w14:paraId="3077C5C2" w14:textId="77777777" w:rsidR="00400398" w:rsidRPr="00215594" w:rsidRDefault="00400398" w:rsidP="000C3BFB">
            <w:pPr>
              <w:pStyle w:val="TextTi10"/>
              <w:keepNext/>
              <w:keepLines/>
              <w:ind w:left="240"/>
              <w:rPr>
                <w:sz w:val="22"/>
                <w:szCs w:val="22"/>
              </w:rPr>
            </w:pPr>
          </w:p>
        </w:tc>
        <w:tc>
          <w:tcPr>
            <w:tcW w:w="3257" w:type="pct"/>
            <w:gridSpan w:val="2"/>
            <w:tcBorders>
              <w:top w:val="single" w:sz="4" w:space="0" w:color="auto"/>
              <w:left w:val="single" w:sz="8" w:space="0" w:color="auto"/>
              <w:bottom w:val="single" w:sz="4" w:space="0" w:color="auto"/>
              <w:right w:val="single" w:sz="8" w:space="0" w:color="auto"/>
            </w:tcBorders>
          </w:tcPr>
          <w:p w14:paraId="7DEA6E2D" w14:textId="77777777" w:rsidR="00400398" w:rsidRPr="00215594" w:rsidRDefault="00400398" w:rsidP="000C3BFB">
            <w:pPr>
              <w:pStyle w:val="TextTi10"/>
              <w:keepNext/>
              <w:keepLines/>
              <w:ind w:left="240"/>
              <w:jc w:val="center"/>
              <w:rPr>
                <w:sz w:val="22"/>
                <w:szCs w:val="22"/>
              </w:rPr>
            </w:pPr>
            <w:r w:rsidRPr="00215594">
              <w:rPr>
                <w:sz w:val="22"/>
                <w:szCs w:val="22"/>
              </w:rPr>
              <w:t>0,65 (p &lt; 0,0001)</w:t>
            </w:r>
          </w:p>
          <w:p w14:paraId="2591B839" w14:textId="77777777" w:rsidR="00400398" w:rsidRPr="00215594" w:rsidRDefault="00400398" w:rsidP="000C3BFB">
            <w:pPr>
              <w:pStyle w:val="TextTi10"/>
              <w:keepNext/>
              <w:keepLines/>
              <w:ind w:left="240"/>
              <w:jc w:val="center"/>
              <w:rPr>
                <w:sz w:val="22"/>
                <w:szCs w:val="22"/>
              </w:rPr>
            </w:pPr>
            <w:r w:rsidRPr="00215594">
              <w:rPr>
                <w:sz w:val="22"/>
                <w:szCs w:val="22"/>
              </w:rPr>
              <w:t>IC 95% (0,56; 0,76)</w:t>
            </w:r>
          </w:p>
        </w:tc>
      </w:tr>
      <w:tr w:rsidR="00400398" w:rsidRPr="00215594" w14:paraId="74E64449" w14:textId="77777777" w:rsidTr="00D91337">
        <w:trPr>
          <w:cantSplit/>
        </w:trPr>
        <w:tc>
          <w:tcPr>
            <w:tcW w:w="5000" w:type="pct"/>
            <w:gridSpan w:val="3"/>
            <w:tcBorders>
              <w:top w:val="single" w:sz="4" w:space="0" w:color="auto"/>
              <w:left w:val="single" w:sz="8" w:space="0" w:color="auto"/>
              <w:bottom w:val="single" w:sz="4" w:space="0" w:color="auto"/>
              <w:right w:val="single" w:sz="8" w:space="0" w:color="auto"/>
            </w:tcBorders>
          </w:tcPr>
          <w:p w14:paraId="7934AD38" w14:textId="77777777" w:rsidR="00400398" w:rsidRPr="00215594" w:rsidRDefault="00400398" w:rsidP="000C3BFB">
            <w:pPr>
              <w:pStyle w:val="TextTi10"/>
              <w:keepNext/>
              <w:keepLines/>
              <w:ind w:left="240"/>
              <w:rPr>
                <w:sz w:val="22"/>
                <w:szCs w:val="22"/>
              </w:rPr>
            </w:pPr>
            <w:r w:rsidRPr="00215594">
              <w:rPr>
                <w:sz w:val="22"/>
                <w:szCs w:val="22"/>
              </w:rPr>
              <w:t>Taxa de resposta global</w:t>
            </w:r>
          </w:p>
        </w:tc>
      </w:tr>
      <w:tr w:rsidR="00400398" w:rsidRPr="00215594" w14:paraId="10AE534D" w14:textId="77777777" w:rsidTr="00D91337">
        <w:trPr>
          <w:cantSplit/>
          <w:trHeight w:val="379"/>
        </w:trPr>
        <w:tc>
          <w:tcPr>
            <w:tcW w:w="1743" w:type="pct"/>
            <w:tcBorders>
              <w:top w:val="single" w:sz="4" w:space="0" w:color="auto"/>
              <w:left w:val="single" w:sz="8" w:space="0" w:color="auto"/>
              <w:bottom w:val="single" w:sz="8" w:space="0" w:color="auto"/>
              <w:right w:val="single" w:sz="8" w:space="0" w:color="auto"/>
            </w:tcBorders>
          </w:tcPr>
          <w:p w14:paraId="40D6A9F8" w14:textId="77777777" w:rsidR="00400398" w:rsidRPr="00215594" w:rsidRDefault="00400398" w:rsidP="000C3BFB">
            <w:pPr>
              <w:pStyle w:val="TextTi10"/>
              <w:keepNext/>
              <w:keepLines/>
              <w:ind w:left="240"/>
              <w:rPr>
                <w:sz w:val="22"/>
                <w:szCs w:val="22"/>
              </w:rPr>
            </w:pPr>
            <w:r w:rsidRPr="00215594">
              <w:rPr>
                <w:sz w:val="22"/>
                <w:szCs w:val="22"/>
              </w:rPr>
              <w:t>Taxa (percentagem)</w:t>
            </w:r>
          </w:p>
        </w:tc>
        <w:tc>
          <w:tcPr>
            <w:tcW w:w="1140" w:type="pct"/>
            <w:tcBorders>
              <w:top w:val="single" w:sz="4" w:space="0" w:color="auto"/>
              <w:left w:val="single" w:sz="8" w:space="0" w:color="auto"/>
              <w:bottom w:val="single" w:sz="8" w:space="0" w:color="auto"/>
              <w:right w:val="single" w:sz="8" w:space="0" w:color="auto"/>
            </w:tcBorders>
          </w:tcPr>
          <w:p w14:paraId="064355E8" w14:textId="77777777" w:rsidR="00400398" w:rsidRPr="00215594" w:rsidRDefault="00400398" w:rsidP="000C3BFB">
            <w:pPr>
              <w:pStyle w:val="TextTi10"/>
              <w:keepNext/>
              <w:keepLines/>
              <w:ind w:left="240"/>
              <w:jc w:val="center"/>
              <w:rPr>
                <w:sz w:val="22"/>
                <w:szCs w:val="22"/>
              </w:rPr>
            </w:pPr>
            <w:r w:rsidRPr="00215594">
              <w:rPr>
                <w:sz w:val="22"/>
                <w:szCs w:val="22"/>
              </w:rPr>
              <w:t>12,9</w:t>
            </w:r>
          </w:p>
        </w:tc>
        <w:tc>
          <w:tcPr>
            <w:tcW w:w="2117" w:type="pct"/>
            <w:tcBorders>
              <w:top w:val="single" w:sz="4" w:space="0" w:color="auto"/>
              <w:left w:val="single" w:sz="8" w:space="0" w:color="auto"/>
              <w:bottom w:val="single" w:sz="8" w:space="0" w:color="auto"/>
              <w:right w:val="single" w:sz="8" w:space="0" w:color="auto"/>
            </w:tcBorders>
          </w:tcPr>
          <w:p w14:paraId="60434B58" w14:textId="77777777" w:rsidR="00400398" w:rsidRPr="00215594" w:rsidRDefault="00400398" w:rsidP="000C3BFB">
            <w:pPr>
              <w:pStyle w:val="TextTi10"/>
              <w:keepNext/>
              <w:keepLines/>
              <w:ind w:left="240"/>
              <w:jc w:val="center"/>
              <w:rPr>
                <w:sz w:val="22"/>
                <w:szCs w:val="22"/>
              </w:rPr>
            </w:pPr>
            <w:r w:rsidRPr="00215594">
              <w:rPr>
                <w:sz w:val="22"/>
                <w:szCs w:val="22"/>
              </w:rPr>
              <w:t>29,0 (p &lt; 0,0001)</w:t>
            </w:r>
          </w:p>
        </w:tc>
      </w:tr>
    </w:tbl>
    <w:p w14:paraId="0ABE6CC5" w14:textId="77777777" w:rsidR="00400398" w:rsidRPr="007232E4" w:rsidRDefault="00400398" w:rsidP="000C3BFB">
      <w:pPr>
        <w:keepNext/>
        <w:keepLines/>
        <w:outlineLvl w:val="0"/>
        <w:rPr>
          <w:b/>
        </w:rPr>
      </w:pPr>
    </w:p>
    <w:p w14:paraId="465F7318" w14:textId="77777777" w:rsidR="00400398" w:rsidRPr="007232E4" w:rsidRDefault="00400398">
      <w:pPr>
        <w:outlineLvl w:val="0"/>
      </w:pPr>
      <w:r w:rsidRPr="007232E4">
        <w:t>Numa análise expl</w:t>
      </w:r>
      <w:r w:rsidR="00E66DED">
        <w:t>or</w:t>
      </w:r>
      <w:r w:rsidRPr="007232E4">
        <w:t xml:space="preserve">atória, a magnitude do benefício de </w:t>
      </w:r>
      <w:r w:rsidR="00174055">
        <w:t>bevacizumab</w:t>
      </w:r>
      <w:r w:rsidR="00174055" w:rsidRPr="007232E4">
        <w:t xml:space="preserve"> </w:t>
      </w:r>
      <w:r w:rsidRPr="007232E4">
        <w:t>na sobrevivência global foi menos pronunciada no subgrupo de doentes que não apresentava histologia de adenocarcinoma.</w:t>
      </w:r>
    </w:p>
    <w:p w14:paraId="56CF3C08" w14:textId="77777777" w:rsidR="00400398" w:rsidRPr="007232E4" w:rsidRDefault="00400398">
      <w:pPr>
        <w:outlineLvl w:val="0"/>
        <w:rPr>
          <w:b/>
        </w:rPr>
      </w:pPr>
    </w:p>
    <w:p w14:paraId="673ED05A" w14:textId="77777777" w:rsidR="00400398" w:rsidRPr="007232E4" w:rsidRDefault="00400398" w:rsidP="00996CDB">
      <w:pPr>
        <w:keepNext/>
        <w:keepLines/>
        <w:outlineLvl w:val="0"/>
        <w:rPr>
          <w:i/>
        </w:rPr>
      </w:pPr>
      <w:r w:rsidRPr="007232E4">
        <w:rPr>
          <w:i/>
        </w:rPr>
        <w:t>BO17704</w:t>
      </w:r>
    </w:p>
    <w:p w14:paraId="6FCBF78A" w14:textId="77777777" w:rsidR="00400398" w:rsidRPr="007232E4" w:rsidRDefault="00400398">
      <w:pPr>
        <w:outlineLvl w:val="0"/>
      </w:pPr>
      <w:r w:rsidRPr="007232E4">
        <w:t xml:space="preserve">O ensaio BO17704 foi um ensaio de fase III, aleatorizado, duplamente cego, com </w:t>
      </w:r>
      <w:r w:rsidR="00174055">
        <w:t>bevacizumab</w:t>
      </w:r>
      <w:r w:rsidR="00174055" w:rsidRPr="007232E4">
        <w:t xml:space="preserve"> </w:t>
      </w:r>
      <w:r w:rsidRPr="007232E4">
        <w:t xml:space="preserve">em associação a cisplatina e gemcitabina </w:t>
      </w:r>
      <w:r w:rsidRPr="007232E4">
        <w:rPr>
          <w:i/>
        </w:rPr>
        <w:t>versus</w:t>
      </w:r>
      <w:r w:rsidRPr="007232E4">
        <w:t xml:space="preserve"> placebo, cisplatina e gemcitabina, em doentes com cancro do pulmão de células não pequenas não escamosas, localmente avançado (estádio IIIb com metástases no gânglio linfático supraclavicular ou com derrame pleural ou pericárdico maligno), </w:t>
      </w:r>
      <w:r w:rsidRPr="007232E4">
        <w:rPr>
          <w:rFonts w:eastAsia="SimSun"/>
          <w:szCs w:val="22"/>
          <w:lang w:eastAsia="zh-CN"/>
        </w:rPr>
        <w:t>metastizado</w:t>
      </w:r>
      <w:r w:rsidRPr="007232E4">
        <w:t xml:space="preserve"> ou recidivante, que não foram previamente tratados com quimioterapia. O objetivo primário foi a </w:t>
      </w:r>
      <w:r w:rsidR="003F3D13">
        <w:t>PFS</w:t>
      </w:r>
      <w:r w:rsidRPr="007232E4">
        <w:t>; os objetivos</w:t>
      </w:r>
      <w:r w:rsidRPr="007232E4">
        <w:rPr>
          <w:i/>
        </w:rPr>
        <w:t xml:space="preserve"> </w:t>
      </w:r>
      <w:r w:rsidRPr="007232E4">
        <w:t xml:space="preserve">secundários do ensaio incluíram a duração da </w:t>
      </w:r>
      <w:r w:rsidR="003F3D13">
        <w:t>OS</w:t>
      </w:r>
      <w:r w:rsidRPr="007232E4">
        <w:t>.</w:t>
      </w:r>
    </w:p>
    <w:p w14:paraId="7EE46A15" w14:textId="77777777" w:rsidR="00400398" w:rsidRPr="007232E4" w:rsidRDefault="00400398">
      <w:pPr>
        <w:outlineLvl w:val="0"/>
      </w:pPr>
    </w:p>
    <w:p w14:paraId="1BC698B3" w14:textId="77777777" w:rsidR="00400398" w:rsidRPr="007232E4" w:rsidRDefault="00400398" w:rsidP="002759BA">
      <w:pPr>
        <w:keepNext/>
        <w:keepLines/>
        <w:outlineLvl w:val="0"/>
      </w:pPr>
      <w:r w:rsidRPr="007232E4">
        <w:t xml:space="preserve">Os doentes foram aleatoriamente distribuídos para o braço de quimioterapia à base de </w:t>
      </w:r>
      <w:r w:rsidR="00233EB7">
        <w:t>platina</w:t>
      </w:r>
      <w:r w:rsidRPr="007232E4">
        <w:t>, cisplatina 80 mg/m</w:t>
      </w:r>
      <w:r w:rsidRPr="007232E4">
        <w:rPr>
          <w:vertAlign w:val="superscript"/>
        </w:rPr>
        <w:t>2</w:t>
      </w:r>
      <w:r w:rsidRPr="007232E4">
        <w:t>, administrada por perfusão intravenosa no dia 1 e 1250 mg/m</w:t>
      </w:r>
      <w:r w:rsidRPr="007232E4">
        <w:rPr>
          <w:vertAlign w:val="superscript"/>
        </w:rPr>
        <w:t xml:space="preserve">2 </w:t>
      </w:r>
      <w:r w:rsidRPr="007232E4">
        <w:t>de gemcitabina, administrada por perfusão intravenosa, nos dias 1 e 8 de cada ciclo de 3 semanas até um total de 6</w:t>
      </w:r>
      <w:r w:rsidR="00B24A23">
        <w:t> </w:t>
      </w:r>
      <w:r w:rsidRPr="007232E4">
        <w:t xml:space="preserve">ciclos (CG) com placebo ou para o braço de CG com </w:t>
      </w:r>
      <w:r w:rsidR="00174055">
        <w:t>bevacizumab</w:t>
      </w:r>
      <w:r w:rsidR="00174055" w:rsidRPr="007232E4">
        <w:t xml:space="preserve"> </w:t>
      </w:r>
      <w:r w:rsidRPr="007232E4">
        <w:t xml:space="preserve">na dose de 7,5 mg/kg ou 15 mg/kg, administrado por perfusão </w:t>
      </w:r>
      <w:r w:rsidR="003F3D13">
        <w:t>intravenosa</w:t>
      </w:r>
      <w:r w:rsidRPr="007232E4">
        <w:t xml:space="preserve">, no dia 1 de cada ciclo de 3 semanas. Nos braços contendo </w:t>
      </w:r>
      <w:r w:rsidR="00174055">
        <w:t>bevacizumab</w:t>
      </w:r>
      <w:r w:rsidRPr="007232E4">
        <w:t xml:space="preserve">, os doentes podiam receber </w:t>
      </w:r>
      <w:r w:rsidR="00174055">
        <w:t>bevacizumab</w:t>
      </w:r>
      <w:r w:rsidR="00174055" w:rsidRPr="007232E4">
        <w:t xml:space="preserve"> </w:t>
      </w:r>
      <w:r w:rsidRPr="007232E4">
        <w:t>em monoterapia cada 3</w:t>
      </w:r>
      <w:r w:rsidR="00B24A23">
        <w:t> </w:t>
      </w:r>
      <w:r w:rsidRPr="007232E4">
        <w:t>semanas até progressão de doença ou toxicidade inaceitável. Os resultados do ensaio mostram que 94% (277/296) dos doentes elegíveis continuaram a receber bevacizumab em monoterapia no ciclo 7. Uma maior proporção de doentes</w:t>
      </w:r>
      <w:r w:rsidRPr="007232E4">
        <w:rPr>
          <w:rFonts w:eastAsia="SimSun"/>
          <w:lang w:eastAsia="zh-CN"/>
        </w:rPr>
        <w:t xml:space="preserve"> (aproximadamente 62%) continuou a receber uma variedade de terapêuticas anti</w:t>
      </w:r>
      <w:r w:rsidRPr="007232E4">
        <w:rPr>
          <w:rFonts w:eastAsia="SimSun"/>
          <w:lang w:eastAsia="zh-CN"/>
        </w:rPr>
        <w:noBreakHyphen/>
        <w:t xml:space="preserve">neoplásicas específicas fora do protocolo do ensaio, o que poderá ter afetado a análise da </w:t>
      </w:r>
      <w:r w:rsidR="003F3D13">
        <w:rPr>
          <w:rFonts w:eastAsia="SimSun"/>
          <w:lang w:eastAsia="zh-CN"/>
        </w:rPr>
        <w:t>OS</w:t>
      </w:r>
      <w:r w:rsidRPr="007232E4">
        <w:rPr>
          <w:rFonts w:eastAsia="SimSun"/>
          <w:lang w:eastAsia="zh-CN"/>
        </w:rPr>
        <w:t>.</w:t>
      </w:r>
    </w:p>
    <w:p w14:paraId="2CDCC240" w14:textId="77777777" w:rsidR="00400398" w:rsidRPr="007232E4" w:rsidRDefault="00400398">
      <w:pPr>
        <w:outlineLvl w:val="0"/>
      </w:pPr>
    </w:p>
    <w:p w14:paraId="2C14E612" w14:textId="77777777" w:rsidR="00400398" w:rsidRPr="007232E4" w:rsidRDefault="00400398">
      <w:pPr>
        <w:outlineLvl w:val="0"/>
      </w:pPr>
      <w:r w:rsidRPr="007232E4">
        <w:t>Os resultados de eficácia são apresentados na Tabela 1</w:t>
      </w:r>
      <w:r>
        <w:t>3</w:t>
      </w:r>
      <w:r w:rsidRPr="007232E4">
        <w:t>.</w:t>
      </w:r>
    </w:p>
    <w:p w14:paraId="38CB0BB1" w14:textId="77777777" w:rsidR="00400398" w:rsidRPr="007232E4" w:rsidRDefault="00400398">
      <w:pPr>
        <w:outlineLvl w:val="0"/>
      </w:pPr>
    </w:p>
    <w:p w14:paraId="608C6642" w14:textId="77777777" w:rsidR="00400398" w:rsidRPr="007232E4" w:rsidRDefault="00400398">
      <w:pPr>
        <w:keepNext/>
        <w:keepLines/>
        <w:rPr>
          <w:b/>
        </w:rPr>
      </w:pPr>
      <w:r w:rsidRPr="007232E4">
        <w:rPr>
          <w:b/>
        </w:rPr>
        <w:lastRenderedPageBreak/>
        <w:t>Tabela 1</w:t>
      </w:r>
      <w:r>
        <w:rPr>
          <w:b/>
        </w:rPr>
        <w:t>3</w:t>
      </w:r>
      <w:r w:rsidRPr="007232E4">
        <w:rPr>
          <w:b/>
        </w:rPr>
        <w:tab/>
        <w:t xml:space="preserve">Resultados de eficácia do ensaio BO17704 </w:t>
      </w:r>
    </w:p>
    <w:tbl>
      <w:tblPr>
        <w:tblW w:w="5000" w:type="pct"/>
        <w:jc w:val="center"/>
        <w:tblCellMar>
          <w:left w:w="57" w:type="dxa"/>
          <w:right w:w="57" w:type="dxa"/>
        </w:tblCellMar>
        <w:tblLook w:val="0000" w:firstRow="0" w:lastRow="0" w:firstColumn="0" w:lastColumn="0" w:noHBand="0" w:noVBand="0"/>
      </w:tblPr>
      <w:tblGrid>
        <w:gridCol w:w="1880"/>
        <w:gridCol w:w="2391"/>
        <w:gridCol w:w="2391"/>
        <w:gridCol w:w="2389"/>
      </w:tblGrid>
      <w:tr w:rsidR="00400398" w:rsidRPr="00215594" w14:paraId="01994D73" w14:textId="77777777" w:rsidTr="00D91337">
        <w:trPr>
          <w:cantSplit/>
          <w:jc w:val="center"/>
        </w:trPr>
        <w:tc>
          <w:tcPr>
            <w:tcW w:w="1038" w:type="pct"/>
            <w:tcBorders>
              <w:top w:val="single" w:sz="8" w:space="0" w:color="auto"/>
              <w:left w:val="single" w:sz="8" w:space="0" w:color="auto"/>
              <w:bottom w:val="single" w:sz="8" w:space="0" w:color="auto"/>
              <w:right w:val="single" w:sz="8" w:space="0" w:color="auto"/>
            </w:tcBorders>
            <w:vAlign w:val="bottom"/>
          </w:tcPr>
          <w:p w14:paraId="053BCD78" w14:textId="77777777" w:rsidR="00400398" w:rsidRPr="00215594" w:rsidRDefault="00400398">
            <w:pPr>
              <w:pStyle w:val="TableCellCenter"/>
              <w:rPr>
                <w:sz w:val="22"/>
                <w:szCs w:val="22"/>
              </w:rPr>
            </w:pPr>
          </w:p>
        </w:tc>
        <w:tc>
          <w:tcPr>
            <w:tcW w:w="1321" w:type="pct"/>
            <w:tcBorders>
              <w:top w:val="single" w:sz="8" w:space="0" w:color="auto"/>
              <w:left w:val="single" w:sz="8" w:space="0" w:color="auto"/>
              <w:bottom w:val="single" w:sz="8" w:space="0" w:color="auto"/>
              <w:right w:val="single" w:sz="8" w:space="0" w:color="auto"/>
            </w:tcBorders>
            <w:vAlign w:val="bottom"/>
          </w:tcPr>
          <w:p w14:paraId="62461FC0" w14:textId="77777777" w:rsidR="00400398" w:rsidRPr="001E05C2" w:rsidRDefault="00400398" w:rsidP="00B4142B">
            <w:pPr>
              <w:pStyle w:val="TableCellCenter"/>
              <w:spacing w:line="240" w:lineRule="auto"/>
              <w:jc w:val="left"/>
              <w:rPr>
                <w:b/>
                <w:bCs/>
                <w:sz w:val="22"/>
                <w:szCs w:val="22"/>
              </w:rPr>
            </w:pPr>
            <w:r w:rsidRPr="001E05C2">
              <w:rPr>
                <w:b/>
                <w:bCs/>
                <w:sz w:val="22"/>
                <w:szCs w:val="22"/>
              </w:rPr>
              <w:t xml:space="preserve">Cisplatina/Gemcitabina </w:t>
            </w:r>
            <w:r w:rsidRPr="001E05C2">
              <w:rPr>
                <w:b/>
                <w:bCs/>
                <w:sz w:val="22"/>
                <w:szCs w:val="22"/>
              </w:rPr>
              <w:br/>
              <w:t>+ placebo</w:t>
            </w:r>
          </w:p>
        </w:tc>
        <w:tc>
          <w:tcPr>
            <w:tcW w:w="1321" w:type="pct"/>
            <w:tcBorders>
              <w:top w:val="single" w:sz="8" w:space="0" w:color="auto"/>
              <w:left w:val="single" w:sz="8" w:space="0" w:color="auto"/>
              <w:bottom w:val="single" w:sz="8" w:space="0" w:color="auto"/>
              <w:right w:val="single" w:sz="8" w:space="0" w:color="auto"/>
            </w:tcBorders>
            <w:vAlign w:val="bottom"/>
          </w:tcPr>
          <w:p w14:paraId="373CFA91" w14:textId="77777777" w:rsidR="00400398" w:rsidRPr="001E05C2" w:rsidRDefault="00400398" w:rsidP="009728E9">
            <w:pPr>
              <w:pStyle w:val="TableCellCenter"/>
              <w:spacing w:line="240" w:lineRule="auto"/>
              <w:jc w:val="left"/>
              <w:rPr>
                <w:b/>
                <w:bCs/>
                <w:sz w:val="22"/>
                <w:szCs w:val="22"/>
              </w:rPr>
            </w:pPr>
            <w:r w:rsidRPr="001E05C2">
              <w:rPr>
                <w:b/>
                <w:bCs/>
                <w:sz w:val="22"/>
                <w:szCs w:val="22"/>
              </w:rPr>
              <w:t xml:space="preserve">Cisplatina/Gemcitabina  + </w:t>
            </w:r>
            <w:r w:rsidR="009728E9" w:rsidRPr="001E05C2">
              <w:rPr>
                <w:b/>
                <w:bCs/>
                <w:sz w:val="22"/>
                <w:szCs w:val="22"/>
              </w:rPr>
              <w:t>bevacizumab</w:t>
            </w:r>
            <w:r w:rsidRPr="001E05C2">
              <w:rPr>
                <w:b/>
                <w:bCs/>
                <w:sz w:val="22"/>
                <w:szCs w:val="22"/>
              </w:rPr>
              <w:br/>
              <w:t>7,5 mg/kg cada 3 semanas</w:t>
            </w:r>
          </w:p>
        </w:tc>
        <w:tc>
          <w:tcPr>
            <w:tcW w:w="1321" w:type="pct"/>
            <w:tcBorders>
              <w:top w:val="single" w:sz="8" w:space="0" w:color="auto"/>
              <w:left w:val="single" w:sz="8" w:space="0" w:color="auto"/>
              <w:bottom w:val="single" w:sz="8" w:space="0" w:color="auto"/>
              <w:right w:val="single" w:sz="8" w:space="0" w:color="auto"/>
            </w:tcBorders>
            <w:vAlign w:val="bottom"/>
          </w:tcPr>
          <w:p w14:paraId="39656325" w14:textId="77777777" w:rsidR="00400398" w:rsidRPr="001E05C2" w:rsidRDefault="00400398" w:rsidP="009728E9">
            <w:pPr>
              <w:pStyle w:val="TableCellCenter"/>
              <w:spacing w:line="240" w:lineRule="auto"/>
              <w:jc w:val="left"/>
              <w:rPr>
                <w:b/>
                <w:bCs/>
                <w:sz w:val="22"/>
                <w:szCs w:val="22"/>
              </w:rPr>
            </w:pPr>
            <w:r w:rsidRPr="001E05C2">
              <w:rPr>
                <w:b/>
                <w:bCs/>
                <w:sz w:val="22"/>
                <w:szCs w:val="22"/>
              </w:rPr>
              <w:t>Cisplatina/Gemcitabina</w:t>
            </w:r>
            <w:r w:rsidRPr="001E05C2">
              <w:rPr>
                <w:b/>
                <w:bCs/>
                <w:sz w:val="22"/>
                <w:szCs w:val="22"/>
              </w:rPr>
              <w:br/>
              <w:t xml:space="preserve">+ </w:t>
            </w:r>
            <w:r w:rsidR="009728E9" w:rsidRPr="001E05C2">
              <w:rPr>
                <w:b/>
                <w:bCs/>
                <w:sz w:val="22"/>
                <w:szCs w:val="22"/>
              </w:rPr>
              <w:t>bevacizumab</w:t>
            </w:r>
            <w:r w:rsidRPr="001E05C2">
              <w:rPr>
                <w:b/>
                <w:bCs/>
                <w:sz w:val="22"/>
                <w:szCs w:val="22"/>
              </w:rPr>
              <w:br/>
              <w:t>15 mg/kg cada 3 semanas</w:t>
            </w:r>
          </w:p>
        </w:tc>
      </w:tr>
      <w:tr w:rsidR="00400398" w:rsidRPr="00215594" w14:paraId="3E95A13D" w14:textId="77777777" w:rsidTr="00D91337">
        <w:trPr>
          <w:cantSplit/>
          <w:jc w:val="center"/>
        </w:trPr>
        <w:tc>
          <w:tcPr>
            <w:tcW w:w="1038" w:type="pct"/>
            <w:tcBorders>
              <w:top w:val="single" w:sz="8" w:space="0" w:color="auto"/>
              <w:left w:val="single" w:sz="8" w:space="0" w:color="auto"/>
              <w:bottom w:val="single" w:sz="4" w:space="0" w:color="auto"/>
              <w:right w:val="single" w:sz="8" w:space="0" w:color="auto"/>
            </w:tcBorders>
          </w:tcPr>
          <w:p w14:paraId="713CE16F" w14:textId="77777777" w:rsidR="00400398" w:rsidRPr="00215594" w:rsidRDefault="00400398">
            <w:pPr>
              <w:pStyle w:val="TableCellLeft"/>
              <w:spacing w:after="120"/>
              <w:rPr>
                <w:sz w:val="22"/>
                <w:szCs w:val="22"/>
              </w:rPr>
            </w:pPr>
            <w:r w:rsidRPr="00215594">
              <w:rPr>
                <w:sz w:val="22"/>
                <w:szCs w:val="22"/>
              </w:rPr>
              <w:t>Número de doentes</w:t>
            </w:r>
          </w:p>
        </w:tc>
        <w:tc>
          <w:tcPr>
            <w:tcW w:w="1321" w:type="pct"/>
            <w:tcBorders>
              <w:top w:val="single" w:sz="8" w:space="0" w:color="auto"/>
              <w:left w:val="single" w:sz="8" w:space="0" w:color="auto"/>
              <w:bottom w:val="single" w:sz="4" w:space="0" w:color="auto"/>
              <w:right w:val="single" w:sz="8" w:space="0" w:color="auto"/>
            </w:tcBorders>
          </w:tcPr>
          <w:p w14:paraId="47A1430E" w14:textId="77777777" w:rsidR="00400398" w:rsidRPr="00215594" w:rsidRDefault="00400398">
            <w:pPr>
              <w:pStyle w:val="TableCellHead"/>
              <w:jc w:val="center"/>
              <w:rPr>
                <w:sz w:val="22"/>
                <w:szCs w:val="22"/>
                <w:u w:val="none"/>
              </w:rPr>
            </w:pPr>
            <w:r w:rsidRPr="00215594">
              <w:rPr>
                <w:sz w:val="22"/>
                <w:szCs w:val="22"/>
                <w:u w:val="none"/>
              </w:rPr>
              <w:t>347</w:t>
            </w:r>
          </w:p>
        </w:tc>
        <w:tc>
          <w:tcPr>
            <w:tcW w:w="1321" w:type="pct"/>
            <w:tcBorders>
              <w:top w:val="single" w:sz="8" w:space="0" w:color="auto"/>
              <w:left w:val="single" w:sz="8" w:space="0" w:color="auto"/>
              <w:bottom w:val="single" w:sz="4" w:space="0" w:color="auto"/>
              <w:right w:val="single" w:sz="8" w:space="0" w:color="auto"/>
            </w:tcBorders>
          </w:tcPr>
          <w:p w14:paraId="10964C7A" w14:textId="77777777" w:rsidR="00400398" w:rsidRPr="00215594" w:rsidRDefault="00400398">
            <w:pPr>
              <w:pStyle w:val="TableCellHead"/>
              <w:jc w:val="center"/>
              <w:rPr>
                <w:sz w:val="22"/>
                <w:szCs w:val="22"/>
                <w:u w:val="none"/>
              </w:rPr>
            </w:pPr>
            <w:r w:rsidRPr="00215594">
              <w:rPr>
                <w:sz w:val="22"/>
                <w:szCs w:val="22"/>
                <w:u w:val="none"/>
              </w:rPr>
              <w:t>345</w:t>
            </w:r>
          </w:p>
        </w:tc>
        <w:tc>
          <w:tcPr>
            <w:tcW w:w="1321" w:type="pct"/>
            <w:tcBorders>
              <w:top w:val="single" w:sz="8" w:space="0" w:color="auto"/>
              <w:left w:val="single" w:sz="8" w:space="0" w:color="auto"/>
              <w:bottom w:val="single" w:sz="4" w:space="0" w:color="auto"/>
              <w:right w:val="single" w:sz="8" w:space="0" w:color="auto"/>
            </w:tcBorders>
          </w:tcPr>
          <w:p w14:paraId="7100965F" w14:textId="77777777" w:rsidR="00400398" w:rsidRPr="00215594" w:rsidRDefault="00400398">
            <w:pPr>
              <w:pStyle w:val="TableCellHead"/>
              <w:jc w:val="center"/>
              <w:rPr>
                <w:sz w:val="22"/>
                <w:szCs w:val="22"/>
                <w:u w:val="none"/>
              </w:rPr>
            </w:pPr>
            <w:r w:rsidRPr="00215594">
              <w:rPr>
                <w:sz w:val="22"/>
                <w:szCs w:val="22"/>
                <w:u w:val="none"/>
              </w:rPr>
              <w:t>351</w:t>
            </w:r>
          </w:p>
        </w:tc>
      </w:tr>
      <w:tr w:rsidR="00400398" w:rsidRPr="00215594" w14:paraId="014D0F7A" w14:textId="77777777" w:rsidTr="00D91337">
        <w:trPr>
          <w:cantSplit/>
          <w:jc w:val="center"/>
        </w:trPr>
        <w:tc>
          <w:tcPr>
            <w:tcW w:w="1038" w:type="pct"/>
            <w:tcBorders>
              <w:top w:val="single" w:sz="4" w:space="0" w:color="auto"/>
              <w:left w:val="single" w:sz="8" w:space="0" w:color="auto"/>
              <w:right w:val="single" w:sz="8" w:space="0" w:color="auto"/>
            </w:tcBorders>
          </w:tcPr>
          <w:p w14:paraId="0D577C34" w14:textId="77777777" w:rsidR="00400398" w:rsidRPr="00215594" w:rsidRDefault="00400398">
            <w:pPr>
              <w:pStyle w:val="TableCellHead"/>
              <w:rPr>
                <w:sz w:val="22"/>
                <w:szCs w:val="22"/>
                <w:u w:val="none"/>
              </w:rPr>
            </w:pPr>
            <w:r w:rsidRPr="00215594">
              <w:rPr>
                <w:sz w:val="22"/>
                <w:szCs w:val="22"/>
                <w:u w:val="none"/>
              </w:rPr>
              <w:t>Sobrevivência livre de progressão</w:t>
            </w:r>
          </w:p>
        </w:tc>
        <w:tc>
          <w:tcPr>
            <w:tcW w:w="1321" w:type="pct"/>
            <w:tcBorders>
              <w:top w:val="single" w:sz="4" w:space="0" w:color="auto"/>
              <w:left w:val="single" w:sz="8" w:space="0" w:color="auto"/>
              <w:right w:val="single" w:sz="8" w:space="0" w:color="auto"/>
            </w:tcBorders>
          </w:tcPr>
          <w:p w14:paraId="70447E9A" w14:textId="77777777" w:rsidR="00400398" w:rsidRPr="00215594" w:rsidRDefault="00400398">
            <w:pPr>
              <w:pStyle w:val="TableCellHead"/>
              <w:jc w:val="center"/>
              <w:rPr>
                <w:sz w:val="22"/>
                <w:szCs w:val="22"/>
              </w:rPr>
            </w:pPr>
          </w:p>
        </w:tc>
        <w:tc>
          <w:tcPr>
            <w:tcW w:w="1321" w:type="pct"/>
            <w:tcBorders>
              <w:top w:val="single" w:sz="4" w:space="0" w:color="auto"/>
              <w:left w:val="single" w:sz="8" w:space="0" w:color="auto"/>
              <w:right w:val="single" w:sz="8" w:space="0" w:color="auto"/>
            </w:tcBorders>
          </w:tcPr>
          <w:p w14:paraId="0EB9BE21" w14:textId="77777777" w:rsidR="00400398" w:rsidRPr="00215594" w:rsidRDefault="00400398">
            <w:pPr>
              <w:pStyle w:val="TableCellHead"/>
              <w:jc w:val="center"/>
              <w:rPr>
                <w:sz w:val="22"/>
                <w:szCs w:val="22"/>
              </w:rPr>
            </w:pPr>
          </w:p>
        </w:tc>
        <w:tc>
          <w:tcPr>
            <w:tcW w:w="1321" w:type="pct"/>
            <w:tcBorders>
              <w:top w:val="single" w:sz="4" w:space="0" w:color="auto"/>
              <w:left w:val="single" w:sz="8" w:space="0" w:color="auto"/>
              <w:right w:val="single" w:sz="8" w:space="0" w:color="auto"/>
            </w:tcBorders>
          </w:tcPr>
          <w:p w14:paraId="06BFA5EC" w14:textId="77777777" w:rsidR="00400398" w:rsidRPr="00215594" w:rsidRDefault="00400398">
            <w:pPr>
              <w:pStyle w:val="TableCellHead"/>
              <w:jc w:val="center"/>
              <w:rPr>
                <w:sz w:val="22"/>
                <w:szCs w:val="22"/>
              </w:rPr>
            </w:pPr>
          </w:p>
        </w:tc>
      </w:tr>
      <w:tr w:rsidR="00400398" w:rsidRPr="00215594" w14:paraId="702F5BE7" w14:textId="77777777" w:rsidTr="00D91337">
        <w:trPr>
          <w:cantSplit/>
          <w:jc w:val="center"/>
        </w:trPr>
        <w:tc>
          <w:tcPr>
            <w:tcW w:w="1038" w:type="pct"/>
            <w:tcBorders>
              <w:left w:val="single" w:sz="8" w:space="0" w:color="auto"/>
              <w:right w:val="single" w:sz="8" w:space="0" w:color="auto"/>
            </w:tcBorders>
            <w:vAlign w:val="center"/>
          </w:tcPr>
          <w:p w14:paraId="04576C67" w14:textId="77777777" w:rsidR="00400398" w:rsidRPr="00215594" w:rsidRDefault="00400398">
            <w:pPr>
              <w:pStyle w:val="TableCellLeft"/>
              <w:jc w:val="center"/>
              <w:rPr>
                <w:sz w:val="22"/>
                <w:szCs w:val="22"/>
              </w:rPr>
            </w:pPr>
            <w:r w:rsidRPr="00215594">
              <w:rPr>
                <w:sz w:val="22"/>
                <w:szCs w:val="22"/>
              </w:rPr>
              <w:t>Mediana (meses)</w:t>
            </w:r>
          </w:p>
        </w:tc>
        <w:tc>
          <w:tcPr>
            <w:tcW w:w="1321" w:type="pct"/>
            <w:tcBorders>
              <w:left w:val="single" w:sz="8" w:space="0" w:color="auto"/>
              <w:right w:val="single" w:sz="8" w:space="0" w:color="auto"/>
            </w:tcBorders>
          </w:tcPr>
          <w:p w14:paraId="28E65DEC" w14:textId="77777777" w:rsidR="00400398" w:rsidRPr="00215594" w:rsidRDefault="00400398">
            <w:pPr>
              <w:pStyle w:val="TableCellHead"/>
              <w:jc w:val="center"/>
              <w:rPr>
                <w:sz w:val="22"/>
                <w:szCs w:val="22"/>
                <w:u w:val="none"/>
              </w:rPr>
            </w:pPr>
            <w:r w:rsidRPr="00215594">
              <w:rPr>
                <w:sz w:val="22"/>
                <w:szCs w:val="22"/>
                <w:u w:val="none"/>
              </w:rPr>
              <w:t>6,1</w:t>
            </w:r>
          </w:p>
        </w:tc>
        <w:tc>
          <w:tcPr>
            <w:tcW w:w="1321" w:type="pct"/>
            <w:tcBorders>
              <w:left w:val="single" w:sz="8" w:space="0" w:color="auto"/>
              <w:right w:val="single" w:sz="8" w:space="0" w:color="auto"/>
            </w:tcBorders>
          </w:tcPr>
          <w:p w14:paraId="28ADF60B" w14:textId="77777777" w:rsidR="00400398" w:rsidRPr="00215594" w:rsidRDefault="00400398">
            <w:pPr>
              <w:pStyle w:val="TableCellHead"/>
              <w:jc w:val="center"/>
              <w:rPr>
                <w:sz w:val="22"/>
                <w:szCs w:val="22"/>
                <w:u w:val="none"/>
              </w:rPr>
            </w:pPr>
            <w:r w:rsidRPr="00215594">
              <w:rPr>
                <w:sz w:val="22"/>
                <w:szCs w:val="22"/>
                <w:u w:val="none"/>
              </w:rPr>
              <w:t>6,7</w:t>
            </w:r>
          </w:p>
          <w:p w14:paraId="34C4CD3D" w14:textId="77777777" w:rsidR="00400398" w:rsidRPr="00215594" w:rsidRDefault="00400398">
            <w:pPr>
              <w:keepNext/>
              <w:keepLines/>
              <w:jc w:val="center"/>
              <w:rPr>
                <w:szCs w:val="22"/>
                <w:lang w:eastAsia="da-DK"/>
              </w:rPr>
            </w:pPr>
            <w:r w:rsidRPr="00215594">
              <w:rPr>
                <w:szCs w:val="22"/>
                <w:lang w:eastAsia="da-DK"/>
              </w:rPr>
              <w:t>(p = 0,0026)</w:t>
            </w:r>
          </w:p>
        </w:tc>
        <w:tc>
          <w:tcPr>
            <w:tcW w:w="1321" w:type="pct"/>
            <w:tcBorders>
              <w:left w:val="single" w:sz="8" w:space="0" w:color="auto"/>
              <w:right w:val="single" w:sz="8" w:space="0" w:color="auto"/>
            </w:tcBorders>
          </w:tcPr>
          <w:p w14:paraId="7D02790E" w14:textId="77777777" w:rsidR="00400398" w:rsidRPr="00215594" w:rsidRDefault="00400398">
            <w:pPr>
              <w:pStyle w:val="TableCellHead"/>
              <w:jc w:val="center"/>
              <w:rPr>
                <w:sz w:val="22"/>
                <w:szCs w:val="22"/>
                <w:u w:val="none"/>
              </w:rPr>
            </w:pPr>
            <w:r w:rsidRPr="00215594">
              <w:rPr>
                <w:sz w:val="22"/>
                <w:szCs w:val="22"/>
                <w:u w:val="none"/>
              </w:rPr>
              <w:t>6,5</w:t>
            </w:r>
          </w:p>
          <w:p w14:paraId="62EB191D" w14:textId="77777777" w:rsidR="00400398" w:rsidRPr="00215594" w:rsidRDefault="00400398">
            <w:pPr>
              <w:keepNext/>
              <w:keepLines/>
              <w:jc w:val="center"/>
              <w:rPr>
                <w:szCs w:val="22"/>
                <w:lang w:eastAsia="da-DK"/>
              </w:rPr>
            </w:pPr>
            <w:r w:rsidRPr="00215594">
              <w:rPr>
                <w:szCs w:val="22"/>
                <w:lang w:eastAsia="da-DK"/>
              </w:rPr>
              <w:t>(p = 0,0301)</w:t>
            </w:r>
          </w:p>
        </w:tc>
      </w:tr>
      <w:tr w:rsidR="00400398" w:rsidRPr="00215594" w14:paraId="123D1D5C" w14:textId="77777777" w:rsidTr="00D91337">
        <w:trPr>
          <w:cantSplit/>
          <w:jc w:val="center"/>
        </w:trPr>
        <w:tc>
          <w:tcPr>
            <w:tcW w:w="1038" w:type="pct"/>
            <w:tcBorders>
              <w:left w:val="single" w:sz="8" w:space="0" w:color="auto"/>
              <w:bottom w:val="single" w:sz="4" w:space="0" w:color="auto"/>
              <w:right w:val="single" w:sz="8" w:space="0" w:color="auto"/>
            </w:tcBorders>
          </w:tcPr>
          <w:p w14:paraId="63E59C1C" w14:textId="77777777" w:rsidR="00400398" w:rsidRPr="00215594" w:rsidRDefault="00400398">
            <w:pPr>
              <w:pStyle w:val="TableCellLeft"/>
              <w:keepLines w:val="0"/>
              <w:spacing w:after="120"/>
              <w:ind w:left="180"/>
              <w:rPr>
                <w:sz w:val="22"/>
                <w:szCs w:val="22"/>
              </w:rPr>
            </w:pPr>
            <w:r w:rsidRPr="00215594">
              <w:rPr>
                <w:i/>
                <w:sz w:val="22"/>
                <w:szCs w:val="22"/>
              </w:rPr>
              <w:t xml:space="preserve">Hazard </w:t>
            </w:r>
            <w:r w:rsidR="003F3D13">
              <w:rPr>
                <w:i/>
                <w:sz w:val="22"/>
                <w:szCs w:val="22"/>
              </w:rPr>
              <w:t>r</w:t>
            </w:r>
            <w:r w:rsidRPr="00215594">
              <w:rPr>
                <w:i/>
                <w:sz w:val="22"/>
                <w:szCs w:val="22"/>
              </w:rPr>
              <w:t xml:space="preserve">atio </w:t>
            </w:r>
            <w:r w:rsidRPr="00215594">
              <w:rPr>
                <w:sz w:val="22"/>
                <w:szCs w:val="22"/>
              </w:rPr>
              <w:t>(taxa de risco)</w:t>
            </w:r>
          </w:p>
        </w:tc>
        <w:tc>
          <w:tcPr>
            <w:tcW w:w="1321" w:type="pct"/>
            <w:tcBorders>
              <w:left w:val="single" w:sz="8" w:space="0" w:color="auto"/>
              <w:bottom w:val="single" w:sz="4" w:space="0" w:color="auto"/>
              <w:right w:val="single" w:sz="8" w:space="0" w:color="auto"/>
            </w:tcBorders>
          </w:tcPr>
          <w:p w14:paraId="7AA2CD4A" w14:textId="77777777" w:rsidR="00400398" w:rsidRPr="00215594" w:rsidRDefault="00400398">
            <w:pPr>
              <w:keepNext/>
              <w:jc w:val="center"/>
              <w:rPr>
                <w:szCs w:val="22"/>
              </w:rPr>
            </w:pPr>
          </w:p>
        </w:tc>
        <w:tc>
          <w:tcPr>
            <w:tcW w:w="1321" w:type="pct"/>
            <w:tcBorders>
              <w:left w:val="single" w:sz="8" w:space="0" w:color="auto"/>
              <w:bottom w:val="single" w:sz="4" w:space="0" w:color="auto"/>
              <w:right w:val="single" w:sz="8" w:space="0" w:color="auto"/>
            </w:tcBorders>
          </w:tcPr>
          <w:p w14:paraId="52AA7808" w14:textId="77777777" w:rsidR="00400398" w:rsidRPr="00215594" w:rsidRDefault="00400398">
            <w:pPr>
              <w:pStyle w:val="TableCellHead"/>
              <w:jc w:val="center"/>
              <w:rPr>
                <w:sz w:val="22"/>
                <w:szCs w:val="22"/>
                <w:u w:val="none"/>
              </w:rPr>
            </w:pPr>
            <w:r w:rsidRPr="00215594">
              <w:rPr>
                <w:sz w:val="22"/>
                <w:szCs w:val="22"/>
                <w:u w:val="none"/>
              </w:rPr>
              <w:t>0,75</w:t>
            </w:r>
          </w:p>
          <w:p w14:paraId="70CBB753" w14:textId="77777777" w:rsidR="00400398" w:rsidRPr="00215594" w:rsidRDefault="00400398">
            <w:pPr>
              <w:keepNext/>
              <w:jc w:val="center"/>
              <w:rPr>
                <w:szCs w:val="22"/>
                <w:lang w:eastAsia="da-DK"/>
              </w:rPr>
            </w:pPr>
            <w:r w:rsidRPr="00215594">
              <w:rPr>
                <w:szCs w:val="22"/>
                <w:lang w:eastAsia="da-DK"/>
              </w:rPr>
              <w:t>[0,62; 0,91]</w:t>
            </w:r>
          </w:p>
        </w:tc>
        <w:tc>
          <w:tcPr>
            <w:tcW w:w="1321" w:type="pct"/>
            <w:tcBorders>
              <w:left w:val="single" w:sz="8" w:space="0" w:color="auto"/>
              <w:bottom w:val="single" w:sz="4" w:space="0" w:color="auto"/>
              <w:right w:val="single" w:sz="8" w:space="0" w:color="auto"/>
            </w:tcBorders>
          </w:tcPr>
          <w:p w14:paraId="5244E4FC" w14:textId="77777777" w:rsidR="00400398" w:rsidRPr="00215594" w:rsidRDefault="00400398">
            <w:pPr>
              <w:pStyle w:val="TableCellHead"/>
              <w:jc w:val="center"/>
              <w:rPr>
                <w:sz w:val="22"/>
                <w:szCs w:val="22"/>
                <w:u w:val="none"/>
              </w:rPr>
            </w:pPr>
            <w:r w:rsidRPr="00215594">
              <w:rPr>
                <w:sz w:val="22"/>
                <w:szCs w:val="22"/>
                <w:u w:val="none"/>
              </w:rPr>
              <w:t>0,82</w:t>
            </w:r>
          </w:p>
          <w:p w14:paraId="38117EE0" w14:textId="77777777" w:rsidR="00400398" w:rsidRPr="00215594" w:rsidRDefault="00400398">
            <w:pPr>
              <w:keepNext/>
              <w:jc w:val="center"/>
              <w:rPr>
                <w:szCs w:val="22"/>
                <w:lang w:eastAsia="da-DK"/>
              </w:rPr>
            </w:pPr>
            <w:r w:rsidRPr="00215594">
              <w:rPr>
                <w:szCs w:val="22"/>
              </w:rPr>
              <w:t>[0,68; 0,98]</w:t>
            </w:r>
          </w:p>
        </w:tc>
      </w:tr>
      <w:tr w:rsidR="00400398" w:rsidRPr="00215594" w14:paraId="1BA316F6" w14:textId="77777777" w:rsidTr="00D91337">
        <w:trPr>
          <w:cantSplit/>
          <w:trHeight w:val="930"/>
          <w:jc w:val="center"/>
        </w:trPr>
        <w:tc>
          <w:tcPr>
            <w:tcW w:w="1038" w:type="pct"/>
            <w:tcBorders>
              <w:top w:val="single" w:sz="4" w:space="0" w:color="auto"/>
              <w:left w:val="single" w:sz="8" w:space="0" w:color="auto"/>
              <w:bottom w:val="single" w:sz="4" w:space="0" w:color="auto"/>
              <w:right w:val="single" w:sz="8" w:space="0" w:color="auto"/>
            </w:tcBorders>
          </w:tcPr>
          <w:p w14:paraId="4D9C1EEC" w14:textId="77777777" w:rsidR="00400398" w:rsidRPr="00215594" w:rsidRDefault="00400398">
            <w:pPr>
              <w:pStyle w:val="TableCellHead"/>
              <w:keepLines w:val="0"/>
              <w:rPr>
                <w:sz w:val="22"/>
                <w:szCs w:val="22"/>
                <w:u w:val="none"/>
              </w:rPr>
            </w:pPr>
            <w:r w:rsidRPr="00215594">
              <w:rPr>
                <w:sz w:val="22"/>
                <w:szCs w:val="22"/>
                <w:u w:val="none"/>
              </w:rPr>
              <w:t xml:space="preserve">Melhor taxa de resposta global </w:t>
            </w:r>
            <w:r w:rsidRPr="00215594">
              <w:rPr>
                <w:sz w:val="22"/>
                <w:szCs w:val="22"/>
                <w:u w:val="none"/>
                <w:vertAlign w:val="superscript"/>
              </w:rPr>
              <w:t>a</w:t>
            </w:r>
          </w:p>
          <w:p w14:paraId="795B2F07" w14:textId="77777777" w:rsidR="00400398" w:rsidRPr="00215594" w:rsidRDefault="00400398">
            <w:pPr>
              <w:pStyle w:val="TableCellLeft"/>
              <w:keepLines w:val="0"/>
              <w:spacing w:after="120"/>
              <w:ind w:left="180"/>
              <w:rPr>
                <w:sz w:val="22"/>
                <w:szCs w:val="22"/>
              </w:rPr>
            </w:pPr>
          </w:p>
        </w:tc>
        <w:tc>
          <w:tcPr>
            <w:tcW w:w="1321" w:type="pct"/>
            <w:tcBorders>
              <w:top w:val="single" w:sz="4" w:space="0" w:color="auto"/>
              <w:left w:val="single" w:sz="8" w:space="0" w:color="auto"/>
              <w:bottom w:val="single" w:sz="4" w:space="0" w:color="auto"/>
              <w:right w:val="single" w:sz="8" w:space="0" w:color="auto"/>
            </w:tcBorders>
          </w:tcPr>
          <w:p w14:paraId="3A2823F1" w14:textId="77777777" w:rsidR="00400398" w:rsidRPr="00215594" w:rsidRDefault="00400398">
            <w:pPr>
              <w:pStyle w:val="TableCellHead"/>
              <w:jc w:val="center"/>
              <w:rPr>
                <w:sz w:val="22"/>
                <w:szCs w:val="22"/>
                <w:u w:val="none"/>
              </w:rPr>
            </w:pPr>
            <w:r w:rsidRPr="00215594">
              <w:rPr>
                <w:sz w:val="22"/>
                <w:szCs w:val="22"/>
                <w:u w:val="none"/>
              </w:rPr>
              <w:t>20,1%</w:t>
            </w:r>
          </w:p>
        </w:tc>
        <w:tc>
          <w:tcPr>
            <w:tcW w:w="1321" w:type="pct"/>
            <w:tcBorders>
              <w:top w:val="single" w:sz="4" w:space="0" w:color="auto"/>
              <w:left w:val="single" w:sz="8" w:space="0" w:color="auto"/>
              <w:bottom w:val="single" w:sz="4" w:space="0" w:color="auto"/>
              <w:right w:val="single" w:sz="8" w:space="0" w:color="auto"/>
            </w:tcBorders>
          </w:tcPr>
          <w:p w14:paraId="30F7ACE4" w14:textId="77777777" w:rsidR="00400398" w:rsidRPr="00215594" w:rsidRDefault="00400398">
            <w:pPr>
              <w:pStyle w:val="TableCellHead"/>
              <w:jc w:val="center"/>
              <w:rPr>
                <w:sz w:val="22"/>
                <w:szCs w:val="22"/>
                <w:u w:val="none"/>
              </w:rPr>
            </w:pPr>
            <w:r w:rsidRPr="00215594">
              <w:rPr>
                <w:sz w:val="22"/>
                <w:szCs w:val="22"/>
                <w:u w:val="none"/>
              </w:rPr>
              <w:t>34,1%</w:t>
            </w:r>
          </w:p>
          <w:p w14:paraId="28B08697" w14:textId="77777777" w:rsidR="00400398" w:rsidRPr="00215594" w:rsidRDefault="00400398">
            <w:pPr>
              <w:keepNext/>
              <w:jc w:val="center"/>
              <w:rPr>
                <w:szCs w:val="22"/>
                <w:lang w:eastAsia="da-DK"/>
              </w:rPr>
            </w:pPr>
            <w:r w:rsidRPr="00215594">
              <w:rPr>
                <w:szCs w:val="22"/>
              </w:rPr>
              <w:t>(p &lt; 0,0001)</w:t>
            </w:r>
          </w:p>
        </w:tc>
        <w:tc>
          <w:tcPr>
            <w:tcW w:w="1321" w:type="pct"/>
            <w:tcBorders>
              <w:top w:val="single" w:sz="4" w:space="0" w:color="auto"/>
              <w:left w:val="single" w:sz="8" w:space="0" w:color="auto"/>
              <w:bottom w:val="single" w:sz="4" w:space="0" w:color="auto"/>
              <w:right w:val="single" w:sz="8" w:space="0" w:color="auto"/>
            </w:tcBorders>
          </w:tcPr>
          <w:p w14:paraId="17280794" w14:textId="77777777" w:rsidR="00400398" w:rsidRPr="00215594" w:rsidRDefault="00400398">
            <w:pPr>
              <w:pStyle w:val="TableCellHead"/>
              <w:jc w:val="center"/>
              <w:rPr>
                <w:sz w:val="22"/>
                <w:szCs w:val="22"/>
                <w:u w:val="none"/>
              </w:rPr>
            </w:pPr>
            <w:r w:rsidRPr="00215594">
              <w:rPr>
                <w:sz w:val="22"/>
                <w:szCs w:val="22"/>
                <w:u w:val="none"/>
              </w:rPr>
              <w:t>30,4%</w:t>
            </w:r>
          </w:p>
          <w:p w14:paraId="75B77F7F" w14:textId="77777777" w:rsidR="00400398" w:rsidRPr="00215594" w:rsidRDefault="00400398">
            <w:pPr>
              <w:keepNext/>
              <w:jc w:val="center"/>
              <w:rPr>
                <w:szCs w:val="22"/>
                <w:lang w:eastAsia="da-DK"/>
              </w:rPr>
            </w:pPr>
            <w:r w:rsidRPr="00215594">
              <w:rPr>
                <w:szCs w:val="22"/>
                <w:lang w:eastAsia="da-DK"/>
              </w:rPr>
              <w:t>(</w:t>
            </w:r>
            <w:r w:rsidRPr="00215594">
              <w:rPr>
                <w:szCs w:val="22"/>
              </w:rPr>
              <w:t>p = 0,0023)</w:t>
            </w:r>
          </w:p>
        </w:tc>
      </w:tr>
    </w:tbl>
    <w:p w14:paraId="5AB49D87" w14:textId="77777777" w:rsidR="00400398" w:rsidRPr="007232E4" w:rsidRDefault="00400398">
      <w:pPr>
        <w:keepNext/>
        <w:ind w:left="360"/>
        <w:rPr>
          <w:i/>
          <w:sz w:val="20"/>
        </w:rPr>
      </w:pPr>
      <w:r w:rsidRPr="007232E4">
        <w:rPr>
          <w:sz w:val="20"/>
          <w:vertAlign w:val="superscript"/>
        </w:rPr>
        <w:t>a</w:t>
      </w:r>
      <w:r w:rsidRPr="007232E4">
        <w:rPr>
          <w:sz w:val="20"/>
        </w:rPr>
        <w:t xml:space="preserve"> </w:t>
      </w:r>
      <w:r w:rsidRPr="007232E4">
        <w:rPr>
          <w:sz w:val="20"/>
        </w:rPr>
        <w:tab/>
        <w:t xml:space="preserve">doentes com doença mensurável na </w:t>
      </w:r>
      <w:r w:rsidR="00E66DED">
        <w:rPr>
          <w:i/>
          <w:sz w:val="20"/>
        </w:rPr>
        <w:t>linha de base</w:t>
      </w:r>
    </w:p>
    <w:p w14:paraId="5E0C2CCB" w14:textId="77777777" w:rsidR="00400398" w:rsidRPr="007232E4" w:rsidRDefault="00400398">
      <w:pPr>
        <w:outlineLvl w:val="0"/>
        <w:rPr>
          <w:b/>
        </w:rPr>
      </w:pPr>
    </w:p>
    <w:tbl>
      <w:tblPr>
        <w:tblW w:w="5000" w:type="pct"/>
        <w:jc w:val="center"/>
        <w:tblCellMar>
          <w:left w:w="57" w:type="dxa"/>
          <w:right w:w="57" w:type="dxa"/>
        </w:tblCellMar>
        <w:tblLook w:val="0000" w:firstRow="0" w:lastRow="0" w:firstColumn="0" w:lastColumn="0" w:noHBand="0" w:noVBand="0"/>
      </w:tblPr>
      <w:tblGrid>
        <w:gridCol w:w="1830"/>
        <w:gridCol w:w="2484"/>
        <w:gridCol w:w="2306"/>
        <w:gridCol w:w="2431"/>
      </w:tblGrid>
      <w:tr w:rsidR="00400398" w:rsidRPr="00215594" w14:paraId="0DC22D91" w14:textId="77777777" w:rsidTr="00D91337">
        <w:trPr>
          <w:cantSplit/>
          <w:jc w:val="center"/>
        </w:trPr>
        <w:tc>
          <w:tcPr>
            <w:tcW w:w="5000" w:type="pct"/>
            <w:gridSpan w:val="4"/>
            <w:tcBorders>
              <w:top w:val="single" w:sz="8" w:space="0" w:color="auto"/>
              <w:left w:val="single" w:sz="8" w:space="0" w:color="auto"/>
              <w:bottom w:val="single" w:sz="4" w:space="0" w:color="auto"/>
              <w:right w:val="single" w:sz="8" w:space="0" w:color="auto"/>
            </w:tcBorders>
          </w:tcPr>
          <w:p w14:paraId="141F3F0A" w14:textId="77777777" w:rsidR="00400398" w:rsidRPr="00215594" w:rsidRDefault="00400398" w:rsidP="00487D6F">
            <w:pPr>
              <w:pStyle w:val="TableCellHead"/>
              <w:rPr>
                <w:noProof/>
                <w:sz w:val="22"/>
                <w:szCs w:val="22"/>
                <w:u w:val="none"/>
              </w:rPr>
            </w:pPr>
            <w:r w:rsidRPr="00215594">
              <w:rPr>
                <w:noProof/>
                <w:sz w:val="22"/>
                <w:szCs w:val="22"/>
                <w:u w:val="none"/>
              </w:rPr>
              <w:t>Sobrevivência global</w:t>
            </w:r>
          </w:p>
        </w:tc>
      </w:tr>
      <w:tr w:rsidR="00400398" w:rsidRPr="00215594" w14:paraId="3D1D9D3E" w14:textId="77777777" w:rsidTr="00D91337">
        <w:trPr>
          <w:cantSplit/>
          <w:jc w:val="center"/>
        </w:trPr>
        <w:tc>
          <w:tcPr>
            <w:tcW w:w="1011" w:type="pct"/>
            <w:tcBorders>
              <w:top w:val="single" w:sz="4" w:space="0" w:color="auto"/>
              <w:left w:val="single" w:sz="8" w:space="0" w:color="auto"/>
              <w:right w:val="single" w:sz="8" w:space="0" w:color="auto"/>
            </w:tcBorders>
            <w:vAlign w:val="center"/>
          </w:tcPr>
          <w:p w14:paraId="6D5AB95D" w14:textId="77777777" w:rsidR="00400398" w:rsidRPr="00215594" w:rsidRDefault="00400398" w:rsidP="00487D6F">
            <w:pPr>
              <w:pStyle w:val="TableCellHead"/>
              <w:jc w:val="center"/>
              <w:rPr>
                <w:noProof/>
                <w:sz w:val="22"/>
                <w:szCs w:val="22"/>
                <w:u w:val="none"/>
              </w:rPr>
            </w:pPr>
            <w:r w:rsidRPr="00215594">
              <w:rPr>
                <w:noProof/>
                <w:sz w:val="22"/>
                <w:szCs w:val="22"/>
                <w:u w:val="none"/>
              </w:rPr>
              <w:t>Mediana (meses)</w:t>
            </w:r>
          </w:p>
        </w:tc>
        <w:tc>
          <w:tcPr>
            <w:tcW w:w="1372" w:type="pct"/>
            <w:tcBorders>
              <w:top w:val="single" w:sz="4" w:space="0" w:color="auto"/>
              <w:left w:val="single" w:sz="8" w:space="0" w:color="auto"/>
              <w:right w:val="single" w:sz="8" w:space="0" w:color="auto"/>
            </w:tcBorders>
          </w:tcPr>
          <w:p w14:paraId="4C860CA3" w14:textId="77777777" w:rsidR="00400398" w:rsidRPr="00215594" w:rsidRDefault="00400398" w:rsidP="00487D6F">
            <w:pPr>
              <w:pStyle w:val="TableCellHead"/>
              <w:jc w:val="center"/>
              <w:rPr>
                <w:noProof/>
                <w:sz w:val="22"/>
                <w:szCs w:val="22"/>
                <w:u w:val="none"/>
              </w:rPr>
            </w:pPr>
            <w:r w:rsidRPr="00215594">
              <w:rPr>
                <w:noProof/>
                <w:sz w:val="22"/>
                <w:szCs w:val="22"/>
                <w:u w:val="none"/>
              </w:rPr>
              <w:t>13,1</w:t>
            </w:r>
          </w:p>
        </w:tc>
        <w:tc>
          <w:tcPr>
            <w:tcW w:w="1274" w:type="pct"/>
            <w:tcBorders>
              <w:top w:val="single" w:sz="4" w:space="0" w:color="auto"/>
              <w:left w:val="single" w:sz="8" w:space="0" w:color="auto"/>
              <w:right w:val="single" w:sz="8" w:space="0" w:color="auto"/>
            </w:tcBorders>
          </w:tcPr>
          <w:p w14:paraId="4D9F99C3" w14:textId="77777777" w:rsidR="00400398" w:rsidRPr="00215594" w:rsidRDefault="00400398" w:rsidP="00487D6F">
            <w:pPr>
              <w:pStyle w:val="TableCellHead"/>
              <w:jc w:val="center"/>
              <w:rPr>
                <w:noProof/>
                <w:sz w:val="22"/>
                <w:szCs w:val="22"/>
                <w:u w:val="none"/>
              </w:rPr>
            </w:pPr>
            <w:r w:rsidRPr="00215594">
              <w:rPr>
                <w:noProof/>
                <w:sz w:val="22"/>
                <w:szCs w:val="22"/>
                <w:u w:val="none"/>
              </w:rPr>
              <w:t>13,6</w:t>
            </w:r>
          </w:p>
          <w:p w14:paraId="7EDAB1CA" w14:textId="77777777" w:rsidR="00400398" w:rsidRPr="00215594" w:rsidRDefault="00400398" w:rsidP="00487D6F">
            <w:pPr>
              <w:pStyle w:val="TableCellHead"/>
              <w:spacing w:after="120"/>
              <w:jc w:val="center"/>
              <w:rPr>
                <w:noProof/>
                <w:sz w:val="22"/>
                <w:szCs w:val="22"/>
                <w:u w:val="none"/>
              </w:rPr>
            </w:pPr>
            <w:r w:rsidRPr="00215594">
              <w:rPr>
                <w:noProof/>
                <w:sz w:val="22"/>
                <w:szCs w:val="22"/>
                <w:u w:val="none"/>
              </w:rPr>
              <w:t>(p = 0,4203)</w:t>
            </w:r>
          </w:p>
        </w:tc>
        <w:tc>
          <w:tcPr>
            <w:tcW w:w="1343" w:type="pct"/>
            <w:tcBorders>
              <w:top w:val="single" w:sz="4" w:space="0" w:color="auto"/>
              <w:left w:val="single" w:sz="8" w:space="0" w:color="auto"/>
              <w:right w:val="single" w:sz="8" w:space="0" w:color="auto"/>
            </w:tcBorders>
          </w:tcPr>
          <w:p w14:paraId="26E39E6D" w14:textId="77777777" w:rsidR="00400398" w:rsidRPr="00215594" w:rsidRDefault="00400398" w:rsidP="00487D6F">
            <w:pPr>
              <w:pStyle w:val="TableCellHead"/>
              <w:jc w:val="center"/>
              <w:rPr>
                <w:noProof/>
                <w:sz w:val="22"/>
                <w:szCs w:val="22"/>
                <w:u w:val="none"/>
              </w:rPr>
            </w:pPr>
            <w:r w:rsidRPr="00215594">
              <w:rPr>
                <w:noProof/>
                <w:sz w:val="22"/>
                <w:szCs w:val="22"/>
                <w:u w:val="none"/>
              </w:rPr>
              <w:t>13,4</w:t>
            </w:r>
          </w:p>
          <w:p w14:paraId="054181CF" w14:textId="77777777" w:rsidR="00400398" w:rsidRPr="00215594" w:rsidRDefault="00400398" w:rsidP="00487D6F">
            <w:pPr>
              <w:pStyle w:val="TableCellHead"/>
              <w:jc w:val="center"/>
              <w:rPr>
                <w:noProof/>
                <w:sz w:val="22"/>
                <w:szCs w:val="22"/>
                <w:u w:val="none"/>
              </w:rPr>
            </w:pPr>
            <w:r w:rsidRPr="00215594">
              <w:rPr>
                <w:noProof/>
                <w:sz w:val="22"/>
                <w:szCs w:val="22"/>
                <w:u w:val="none"/>
              </w:rPr>
              <w:t>(p = 0,7613)</w:t>
            </w:r>
          </w:p>
        </w:tc>
      </w:tr>
      <w:tr w:rsidR="00400398" w:rsidRPr="00215594" w14:paraId="6498F7B7" w14:textId="77777777" w:rsidTr="00D91337">
        <w:trPr>
          <w:cantSplit/>
          <w:jc w:val="center"/>
        </w:trPr>
        <w:tc>
          <w:tcPr>
            <w:tcW w:w="1011" w:type="pct"/>
            <w:tcBorders>
              <w:left w:val="single" w:sz="8" w:space="0" w:color="auto"/>
              <w:bottom w:val="single" w:sz="4" w:space="0" w:color="auto"/>
              <w:right w:val="single" w:sz="8" w:space="0" w:color="auto"/>
            </w:tcBorders>
          </w:tcPr>
          <w:p w14:paraId="34263275" w14:textId="77777777" w:rsidR="00400398" w:rsidRPr="00215594" w:rsidRDefault="00400398">
            <w:pPr>
              <w:pStyle w:val="TableCellLeft"/>
              <w:keepNext w:val="0"/>
              <w:keepLines w:val="0"/>
              <w:spacing w:after="120"/>
              <w:ind w:left="180"/>
              <w:rPr>
                <w:i/>
                <w:sz w:val="22"/>
                <w:szCs w:val="22"/>
              </w:rPr>
            </w:pPr>
            <w:r w:rsidRPr="00215594">
              <w:rPr>
                <w:i/>
                <w:sz w:val="22"/>
                <w:szCs w:val="22"/>
              </w:rPr>
              <w:t xml:space="preserve">Hazard ratio </w:t>
            </w:r>
            <w:r w:rsidRPr="00215594">
              <w:rPr>
                <w:sz w:val="22"/>
                <w:szCs w:val="22"/>
              </w:rPr>
              <w:t>(taxa de risco)</w:t>
            </w:r>
          </w:p>
        </w:tc>
        <w:tc>
          <w:tcPr>
            <w:tcW w:w="1372" w:type="pct"/>
            <w:tcBorders>
              <w:left w:val="single" w:sz="8" w:space="0" w:color="auto"/>
              <w:bottom w:val="single" w:sz="4" w:space="0" w:color="auto"/>
              <w:right w:val="single" w:sz="8" w:space="0" w:color="auto"/>
            </w:tcBorders>
          </w:tcPr>
          <w:p w14:paraId="386A91AA" w14:textId="77777777" w:rsidR="00400398" w:rsidRPr="00215594" w:rsidRDefault="00400398">
            <w:pPr>
              <w:jc w:val="center"/>
              <w:rPr>
                <w:szCs w:val="22"/>
              </w:rPr>
            </w:pPr>
          </w:p>
        </w:tc>
        <w:tc>
          <w:tcPr>
            <w:tcW w:w="1274" w:type="pct"/>
            <w:tcBorders>
              <w:left w:val="single" w:sz="8" w:space="0" w:color="auto"/>
              <w:bottom w:val="single" w:sz="4" w:space="0" w:color="auto"/>
              <w:right w:val="single" w:sz="8" w:space="0" w:color="auto"/>
            </w:tcBorders>
          </w:tcPr>
          <w:p w14:paraId="6B62F475" w14:textId="77777777" w:rsidR="00400398" w:rsidRPr="00215594" w:rsidRDefault="00400398">
            <w:pPr>
              <w:pStyle w:val="TableCellHead"/>
              <w:keepNext w:val="0"/>
              <w:keepLines w:val="0"/>
              <w:spacing w:after="120"/>
              <w:jc w:val="center"/>
              <w:rPr>
                <w:noProof/>
                <w:sz w:val="22"/>
                <w:szCs w:val="22"/>
                <w:u w:val="none"/>
              </w:rPr>
            </w:pPr>
            <w:r w:rsidRPr="00215594">
              <w:rPr>
                <w:noProof/>
                <w:sz w:val="22"/>
                <w:szCs w:val="22"/>
                <w:u w:val="none"/>
              </w:rPr>
              <w:t>0,93</w:t>
            </w:r>
            <w:r w:rsidRPr="00215594">
              <w:rPr>
                <w:noProof/>
                <w:sz w:val="22"/>
                <w:szCs w:val="22"/>
                <w:u w:val="none"/>
              </w:rPr>
              <w:br/>
              <w:t>[0,78; 1,11]</w:t>
            </w:r>
          </w:p>
        </w:tc>
        <w:tc>
          <w:tcPr>
            <w:tcW w:w="1343" w:type="pct"/>
            <w:tcBorders>
              <w:left w:val="single" w:sz="8" w:space="0" w:color="auto"/>
              <w:bottom w:val="single" w:sz="4" w:space="0" w:color="auto"/>
              <w:right w:val="single" w:sz="8" w:space="0" w:color="auto"/>
            </w:tcBorders>
          </w:tcPr>
          <w:p w14:paraId="4E491434" w14:textId="77777777" w:rsidR="00400398" w:rsidRPr="00215594" w:rsidRDefault="00400398">
            <w:pPr>
              <w:pStyle w:val="TableCellHead"/>
              <w:keepNext w:val="0"/>
              <w:keepLines w:val="0"/>
              <w:spacing w:after="120"/>
              <w:jc w:val="center"/>
              <w:rPr>
                <w:noProof/>
                <w:sz w:val="22"/>
                <w:szCs w:val="22"/>
                <w:u w:val="none"/>
              </w:rPr>
            </w:pPr>
            <w:r w:rsidRPr="00215594">
              <w:rPr>
                <w:noProof/>
                <w:sz w:val="22"/>
                <w:szCs w:val="22"/>
                <w:u w:val="none"/>
              </w:rPr>
              <w:t>1,03</w:t>
            </w:r>
            <w:r w:rsidRPr="00215594">
              <w:rPr>
                <w:noProof/>
                <w:sz w:val="22"/>
                <w:szCs w:val="22"/>
                <w:u w:val="none"/>
              </w:rPr>
              <w:br/>
              <w:t>[0,86; 1,23]</w:t>
            </w:r>
          </w:p>
        </w:tc>
      </w:tr>
    </w:tbl>
    <w:p w14:paraId="5B6405BD" w14:textId="77777777" w:rsidR="00400398" w:rsidRPr="007232E4" w:rsidRDefault="00400398">
      <w:pPr>
        <w:outlineLvl w:val="0"/>
        <w:rPr>
          <w:b/>
        </w:rPr>
      </w:pPr>
    </w:p>
    <w:p w14:paraId="273D10D5" w14:textId="77777777" w:rsidR="004A5C89" w:rsidRDefault="004A5C89" w:rsidP="000C3BFB">
      <w:pPr>
        <w:rPr>
          <w:i/>
        </w:rPr>
      </w:pPr>
      <w:r>
        <w:rPr>
          <w:i/>
        </w:rPr>
        <w:t xml:space="preserve">Tratamento de primeira linha de NSCLC </w:t>
      </w:r>
      <w:r w:rsidR="009A6D83">
        <w:rPr>
          <w:i/>
        </w:rPr>
        <w:t xml:space="preserve">não </w:t>
      </w:r>
      <w:r w:rsidR="00FF62A5">
        <w:rPr>
          <w:i/>
        </w:rPr>
        <w:t>escamoso</w:t>
      </w:r>
      <w:r w:rsidR="009A6D83">
        <w:rPr>
          <w:i/>
        </w:rPr>
        <w:t xml:space="preserve"> </w:t>
      </w:r>
      <w:r>
        <w:rPr>
          <w:i/>
        </w:rPr>
        <w:t>com mutações ativadoras do EGFR em associação com erlotinib</w:t>
      </w:r>
    </w:p>
    <w:p w14:paraId="6CBB87CE" w14:textId="77777777" w:rsidR="004A5C89" w:rsidRDefault="004A5C89" w:rsidP="000C3BFB">
      <w:pPr>
        <w:rPr>
          <w:i/>
        </w:rPr>
      </w:pPr>
    </w:p>
    <w:p w14:paraId="7155CE2A" w14:textId="77777777" w:rsidR="004A5C89" w:rsidRDefault="004A5C89" w:rsidP="000C3BFB">
      <w:pPr>
        <w:rPr>
          <w:i/>
        </w:rPr>
      </w:pPr>
      <w:r>
        <w:rPr>
          <w:i/>
        </w:rPr>
        <w:t>JO25567</w:t>
      </w:r>
    </w:p>
    <w:p w14:paraId="03D3037E" w14:textId="77777777" w:rsidR="004A5C89" w:rsidRDefault="004A5C89" w:rsidP="000C3BFB">
      <w:r>
        <w:t>O estudo JO25567 foi um estudo de fase II, aleatorizado, aberto, multicêntrico</w:t>
      </w:r>
      <w:r w:rsidR="007B565D">
        <w:t>,</w:t>
      </w:r>
      <w:r>
        <w:t xml:space="preserve"> conduzido no Japão para avaliar a eficácia e segurança de </w:t>
      </w:r>
      <w:r w:rsidR="009728E9">
        <w:t xml:space="preserve">bevacizumab </w:t>
      </w:r>
      <w:r>
        <w:t xml:space="preserve">utilizado em </w:t>
      </w:r>
      <w:r w:rsidR="00D31830">
        <w:t>associação</w:t>
      </w:r>
      <w:r>
        <w:t xml:space="preserve"> a erlotinib em doentes com NSCL</w:t>
      </w:r>
      <w:r w:rsidR="00FC2453">
        <w:t>C</w:t>
      </w:r>
      <w:r>
        <w:t xml:space="preserve"> </w:t>
      </w:r>
      <w:r w:rsidRPr="004A2C43">
        <w:t>não</w:t>
      </w:r>
      <w:r w:rsidR="00FC2453">
        <w:t xml:space="preserve"> </w:t>
      </w:r>
      <w:r w:rsidR="00FF62A5">
        <w:t>escamoso</w:t>
      </w:r>
      <w:r>
        <w:t xml:space="preserve"> com mutações ativadoras do EGFR </w:t>
      </w:r>
      <w:r w:rsidR="00A22A1A">
        <w:t xml:space="preserve">(deleção do exão 19 ou mutação </w:t>
      </w:r>
      <w:r w:rsidR="00FF62A5">
        <w:t xml:space="preserve">L858R </w:t>
      </w:r>
      <w:r w:rsidR="00A22A1A">
        <w:t xml:space="preserve">do exão 21) </w:t>
      </w:r>
      <w:r>
        <w:t xml:space="preserve">que não receberam </w:t>
      </w:r>
      <w:r w:rsidR="00FC2453">
        <w:t>terapêutica</w:t>
      </w:r>
      <w:r>
        <w:t xml:space="preserve"> sistémic</w:t>
      </w:r>
      <w:r w:rsidR="00FC2453">
        <w:t xml:space="preserve">a prévia </w:t>
      </w:r>
      <w:r>
        <w:t xml:space="preserve">no estádio IIIB/IV ou </w:t>
      </w:r>
      <w:r w:rsidR="004A2C43">
        <w:t xml:space="preserve">na </w:t>
      </w:r>
      <w:r>
        <w:t>doença recorrente.</w:t>
      </w:r>
    </w:p>
    <w:p w14:paraId="5139B158" w14:textId="77777777" w:rsidR="002F7881" w:rsidRDefault="002F7881" w:rsidP="000C3BFB"/>
    <w:p w14:paraId="2D555C21" w14:textId="77777777" w:rsidR="004A5C89" w:rsidRPr="004A2C43" w:rsidRDefault="004A5C89" w:rsidP="000C3BFB">
      <w:pPr>
        <w:rPr>
          <w:rFonts w:cs="Arial"/>
          <w:szCs w:val="22"/>
        </w:rPr>
      </w:pPr>
      <w:r>
        <w:t xml:space="preserve">O objetivo primário foi a PFS baseada </w:t>
      </w:r>
      <w:r w:rsidR="007B565D">
        <w:t>na</w:t>
      </w:r>
      <w:r>
        <w:t xml:space="preserve"> avaliação por entidade independente. Os objetivos secundários incluíram a </w:t>
      </w:r>
      <w:r w:rsidR="003F3D13">
        <w:t>OS</w:t>
      </w:r>
      <w:r>
        <w:t>, a taxa de resposta, a taxa de controlo da doença, a duração da resposta</w:t>
      </w:r>
      <w:r w:rsidR="009A6D83">
        <w:t xml:space="preserve"> e</w:t>
      </w:r>
      <w:r>
        <w:t xml:space="preserve"> a segurança</w:t>
      </w:r>
      <w:r w:rsidR="00F549B1" w:rsidRPr="004A2C43">
        <w:rPr>
          <w:rFonts w:cs="Arial"/>
          <w:szCs w:val="22"/>
        </w:rPr>
        <w:t>.</w:t>
      </w:r>
    </w:p>
    <w:p w14:paraId="3EBC2BB0" w14:textId="77777777" w:rsidR="002F7881" w:rsidRDefault="002F7881" w:rsidP="000C3BFB">
      <w:pPr>
        <w:rPr>
          <w:rFonts w:cs="Arial"/>
          <w:szCs w:val="22"/>
        </w:rPr>
      </w:pPr>
    </w:p>
    <w:p w14:paraId="53E4E6A3" w14:textId="0F10E5E6" w:rsidR="00F549B1" w:rsidRDefault="00F549B1" w:rsidP="000C3BFB">
      <w:pPr>
        <w:rPr>
          <w:rFonts w:cs="Arial"/>
          <w:szCs w:val="22"/>
        </w:rPr>
      </w:pPr>
      <w:r>
        <w:rPr>
          <w:rFonts w:cs="Arial"/>
          <w:szCs w:val="22"/>
        </w:rPr>
        <w:t>O estado da mutação EGFR foi determinado para cada doente antes do rastreio dos doentes e 154 doentes foram aleatorizados para receber ou erlotinib</w:t>
      </w:r>
      <w:r w:rsidR="00EB14BE">
        <w:rPr>
          <w:rFonts w:cs="Arial"/>
          <w:szCs w:val="22"/>
        </w:rPr>
        <w:t xml:space="preserve"> </w:t>
      </w:r>
      <w:r>
        <w:rPr>
          <w:rFonts w:cs="Arial"/>
          <w:szCs w:val="22"/>
        </w:rPr>
        <w:t xml:space="preserve">+ </w:t>
      </w:r>
      <w:r w:rsidR="002F7881">
        <w:rPr>
          <w:rFonts w:cs="Arial"/>
          <w:szCs w:val="22"/>
        </w:rPr>
        <w:t xml:space="preserve">bevacizumab </w:t>
      </w:r>
      <w:r>
        <w:rPr>
          <w:rFonts w:cs="Arial"/>
          <w:szCs w:val="22"/>
        </w:rPr>
        <w:t xml:space="preserve">(erlotinib 150 mg oral diariamente + </w:t>
      </w:r>
      <w:r w:rsidR="002F7881">
        <w:rPr>
          <w:rFonts w:cs="Arial"/>
          <w:szCs w:val="22"/>
        </w:rPr>
        <w:t xml:space="preserve">bevacizumab </w:t>
      </w:r>
      <w:r>
        <w:rPr>
          <w:rFonts w:cs="Arial"/>
          <w:szCs w:val="22"/>
        </w:rPr>
        <w:t xml:space="preserve">[15 mg/kg </w:t>
      </w:r>
      <w:r w:rsidR="00096F93">
        <w:rPr>
          <w:rFonts w:cs="Arial"/>
          <w:szCs w:val="22"/>
        </w:rPr>
        <w:t>por via intravenosa</w:t>
      </w:r>
      <w:r w:rsidR="00096F93" w:rsidRPr="00AF45F2">
        <w:rPr>
          <w:rFonts w:cs="Arial"/>
          <w:szCs w:val="22"/>
        </w:rPr>
        <w:t xml:space="preserve"> </w:t>
      </w:r>
      <w:r w:rsidR="00FF62A5">
        <w:rPr>
          <w:rFonts w:cs="Arial"/>
          <w:szCs w:val="22"/>
        </w:rPr>
        <w:t>a cada 3 semanas</w:t>
      </w:r>
      <w:r>
        <w:rPr>
          <w:rFonts w:cs="Arial"/>
          <w:szCs w:val="22"/>
        </w:rPr>
        <w:t>]</w:t>
      </w:r>
      <w:r w:rsidR="0094420F">
        <w:rPr>
          <w:rFonts w:cs="Arial"/>
          <w:szCs w:val="22"/>
        </w:rPr>
        <w:t>)</w:t>
      </w:r>
      <w:r>
        <w:rPr>
          <w:rFonts w:cs="Arial"/>
          <w:szCs w:val="22"/>
        </w:rPr>
        <w:t xml:space="preserve"> ou erlotinib em monoterapia (150 mg oral diariamente) até à progressão da doença (PD) ou toxicidade inaceitável. Na ausência da PD, a descontinuação de um componente do tratamento</w:t>
      </w:r>
      <w:r w:rsidR="007B565D">
        <w:rPr>
          <w:rFonts w:cs="Arial"/>
          <w:szCs w:val="22"/>
        </w:rPr>
        <w:t xml:space="preserve"> do estudo no braço</w:t>
      </w:r>
      <w:r w:rsidR="0094420F" w:rsidRPr="0094420F">
        <w:rPr>
          <w:rFonts w:cs="Arial"/>
          <w:szCs w:val="22"/>
        </w:rPr>
        <w:t xml:space="preserve"> </w:t>
      </w:r>
      <w:r w:rsidR="0094420F">
        <w:rPr>
          <w:rFonts w:cs="Arial"/>
          <w:szCs w:val="22"/>
        </w:rPr>
        <w:t xml:space="preserve">de erlotinib + </w:t>
      </w:r>
      <w:r w:rsidR="002F7881">
        <w:rPr>
          <w:rFonts w:cs="Arial"/>
          <w:szCs w:val="22"/>
        </w:rPr>
        <w:t xml:space="preserve">bevacizumab </w:t>
      </w:r>
      <w:r>
        <w:rPr>
          <w:rFonts w:cs="Arial"/>
          <w:szCs w:val="22"/>
        </w:rPr>
        <w:t xml:space="preserve">não conduziu à descontinuação do outro componente do tratamento </w:t>
      </w:r>
      <w:r w:rsidR="007B565D">
        <w:rPr>
          <w:rFonts w:cs="Arial"/>
          <w:szCs w:val="22"/>
        </w:rPr>
        <w:t>do</w:t>
      </w:r>
      <w:r>
        <w:rPr>
          <w:rFonts w:cs="Arial"/>
          <w:szCs w:val="22"/>
        </w:rPr>
        <w:t xml:space="preserve"> estudo</w:t>
      </w:r>
      <w:r w:rsidR="00240996">
        <w:rPr>
          <w:rFonts w:cs="Arial"/>
          <w:szCs w:val="22"/>
        </w:rPr>
        <w:t>,</w:t>
      </w:r>
      <w:r>
        <w:rPr>
          <w:rFonts w:cs="Arial"/>
          <w:szCs w:val="22"/>
        </w:rPr>
        <w:t xml:space="preserve"> como especificado pelo protocolo do estudo. </w:t>
      </w:r>
    </w:p>
    <w:p w14:paraId="0F70E40B" w14:textId="77777777" w:rsidR="00EB14BE" w:rsidRDefault="00EB14BE" w:rsidP="00FD1111">
      <w:pPr>
        <w:rPr>
          <w:rFonts w:cs="Arial"/>
          <w:szCs w:val="22"/>
        </w:rPr>
      </w:pPr>
    </w:p>
    <w:p w14:paraId="78E931E4" w14:textId="77777777" w:rsidR="00EB14BE" w:rsidRPr="004A5C89" w:rsidRDefault="00EB14BE">
      <w:pPr>
        <w:keepNext/>
      </w:pPr>
      <w:r>
        <w:rPr>
          <w:rFonts w:cs="Arial"/>
          <w:szCs w:val="22"/>
        </w:rPr>
        <w:lastRenderedPageBreak/>
        <w:t xml:space="preserve">Os resultados de eficácia do estudo são apresentados na Tabela 14. </w:t>
      </w:r>
    </w:p>
    <w:p w14:paraId="252BE500" w14:textId="77777777" w:rsidR="004A5C89" w:rsidRDefault="004A5C89">
      <w:pPr>
        <w:keepNext/>
        <w:rPr>
          <w:i/>
        </w:rPr>
      </w:pPr>
    </w:p>
    <w:p w14:paraId="1FFCFD81" w14:textId="77777777" w:rsidR="000C3BFB" w:rsidRPr="000C3BFB" w:rsidRDefault="00452D98" w:rsidP="000C3BFB">
      <w:pPr>
        <w:keepNext/>
        <w:keepLines/>
        <w:rPr>
          <w:b/>
        </w:rPr>
      </w:pPr>
      <w:r w:rsidRPr="000C3BFB">
        <w:rPr>
          <w:b/>
        </w:rPr>
        <w:t>Tabela 14</w:t>
      </w:r>
      <w:r w:rsidRPr="000C3BFB">
        <w:rPr>
          <w:b/>
        </w:rPr>
        <w:tab/>
        <w:t>Resultados de eficácia do estudo JO25567</w:t>
      </w: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452D98" w:rsidRPr="00215594" w14:paraId="459D2BC0" w14:textId="77777777" w:rsidTr="001E05C2">
        <w:tc>
          <w:tcPr>
            <w:tcW w:w="5173" w:type="dxa"/>
            <w:tcBorders>
              <w:top w:val="single" w:sz="6" w:space="0" w:color="000000"/>
              <w:left w:val="single" w:sz="4" w:space="0" w:color="auto"/>
              <w:bottom w:val="single" w:sz="6" w:space="0" w:color="000000"/>
            </w:tcBorders>
            <w:shd w:val="clear" w:color="auto" w:fill="auto"/>
          </w:tcPr>
          <w:p w14:paraId="479602CC" w14:textId="77777777" w:rsidR="00452D98" w:rsidRPr="00452D98" w:rsidRDefault="00452D98" w:rsidP="00DE0A26">
            <w:pPr>
              <w:pStyle w:val="TableCell10Center"/>
              <w:jc w:val="left"/>
              <w:rPr>
                <w:rFonts w:ascii="Times New Roman" w:hAnsi="Times New Roman"/>
                <w:szCs w:val="20"/>
                <w:lang w:eastAsia="ja-JP"/>
              </w:rPr>
            </w:pPr>
          </w:p>
        </w:tc>
        <w:tc>
          <w:tcPr>
            <w:tcW w:w="1843" w:type="dxa"/>
            <w:tcBorders>
              <w:top w:val="single" w:sz="6" w:space="0" w:color="000000"/>
              <w:bottom w:val="single" w:sz="6" w:space="0" w:color="000000"/>
            </w:tcBorders>
            <w:shd w:val="clear" w:color="auto" w:fill="auto"/>
          </w:tcPr>
          <w:p w14:paraId="60F62A25" w14:textId="77777777" w:rsidR="00452D98" w:rsidRPr="00063E69" w:rsidRDefault="00452D98" w:rsidP="00DE0A26">
            <w:pPr>
              <w:pStyle w:val="TableCell10Center"/>
              <w:rPr>
                <w:rFonts w:ascii="Times New Roman" w:hAnsi="Times New Roman"/>
                <w:b/>
                <w:szCs w:val="20"/>
                <w:lang w:eastAsia="ja-JP"/>
              </w:rPr>
            </w:pPr>
            <w:r w:rsidRPr="00063E69">
              <w:rPr>
                <w:rFonts w:ascii="Times New Roman" w:hAnsi="Times New Roman"/>
                <w:b/>
                <w:szCs w:val="20"/>
                <w:lang w:eastAsia="ja-JP"/>
              </w:rPr>
              <w:t>Erlotinib</w:t>
            </w:r>
          </w:p>
          <w:p w14:paraId="5EBBA5B5" w14:textId="77777777" w:rsidR="00452D98" w:rsidRPr="00063E69" w:rsidRDefault="00452D98" w:rsidP="00DE0A26">
            <w:pPr>
              <w:pStyle w:val="TableCell10Center"/>
              <w:rPr>
                <w:rFonts w:ascii="Times New Roman" w:hAnsi="Times New Roman"/>
                <w:b/>
                <w:szCs w:val="20"/>
                <w:lang w:eastAsia="ja-JP"/>
              </w:rPr>
            </w:pPr>
            <w:r w:rsidRPr="00063E69">
              <w:rPr>
                <w:rFonts w:ascii="Times New Roman" w:hAnsi="Times New Roman"/>
                <w:b/>
                <w:szCs w:val="20"/>
                <w:lang w:eastAsia="ja-JP"/>
              </w:rPr>
              <w:t>N = 77</w:t>
            </w:r>
            <w:r w:rsidRPr="00063E69">
              <w:rPr>
                <w:rFonts w:ascii="Times New Roman" w:hAnsi="Times New Roman"/>
                <w:b/>
                <w:szCs w:val="20"/>
                <w:vertAlign w:val="superscript"/>
                <w:lang w:eastAsia="ja-JP"/>
              </w:rPr>
              <w:t>#</w:t>
            </w:r>
          </w:p>
        </w:tc>
        <w:tc>
          <w:tcPr>
            <w:tcW w:w="1843" w:type="dxa"/>
            <w:tcBorders>
              <w:top w:val="single" w:sz="6" w:space="0" w:color="000000"/>
              <w:bottom w:val="single" w:sz="6" w:space="0" w:color="000000"/>
              <w:right w:val="single" w:sz="4" w:space="0" w:color="auto"/>
            </w:tcBorders>
            <w:shd w:val="clear" w:color="auto" w:fill="auto"/>
          </w:tcPr>
          <w:p w14:paraId="5FD0E98B" w14:textId="77777777" w:rsidR="00452D98" w:rsidRPr="00063E69" w:rsidRDefault="00452D98" w:rsidP="00DE0A26">
            <w:pPr>
              <w:pStyle w:val="TableCell10Center"/>
              <w:rPr>
                <w:rFonts w:ascii="Times New Roman" w:hAnsi="Times New Roman"/>
                <w:b/>
                <w:szCs w:val="20"/>
                <w:lang w:eastAsia="ja-JP"/>
              </w:rPr>
            </w:pPr>
            <w:r w:rsidRPr="00063E69">
              <w:rPr>
                <w:rFonts w:ascii="Times New Roman" w:hAnsi="Times New Roman"/>
                <w:b/>
                <w:szCs w:val="20"/>
                <w:lang w:eastAsia="ja-JP"/>
              </w:rPr>
              <w:t xml:space="preserve">Erlotinib + </w:t>
            </w:r>
            <w:r w:rsidR="002F7881">
              <w:rPr>
                <w:rFonts w:ascii="Times New Roman" w:hAnsi="Times New Roman"/>
                <w:b/>
                <w:szCs w:val="20"/>
                <w:lang w:eastAsia="ja-JP"/>
              </w:rPr>
              <w:t>bevacizumab</w:t>
            </w:r>
          </w:p>
          <w:p w14:paraId="6C9C5CB3" w14:textId="77777777" w:rsidR="00452D98" w:rsidRPr="00063E69" w:rsidRDefault="00452D98" w:rsidP="00DE0A26">
            <w:pPr>
              <w:pStyle w:val="TableCell10Center"/>
              <w:rPr>
                <w:rFonts w:ascii="Times New Roman" w:hAnsi="Times New Roman"/>
                <w:b/>
                <w:szCs w:val="20"/>
                <w:lang w:eastAsia="ja-JP"/>
              </w:rPr>
            </w:pPr>
            <w:r w:rsidRPr="00063E69">
              <w:rPr>
                <w:rFonts w:ascii="Times New Roman" w:hAnsi="Times New Roman"/>
                <w:b/>
                <w:szCs w:val="20"/>
                <w:lang w:eastAsia="ja-JP"/>
              </w:rPr>
              <w:t>N = 75</w:t>
            </w:r>
            <w:r w:rsidRPr="00063E69">
              <w:rPr>
                <w:rFonts w:ascii="Times New Roman" w:hAnsi="Times New Roman"/>
                <w:b/>
                <w:szCs w:val="20"/>
                <w:vertAlign w:val="superscript"/>
                <w:lang w:eastAsia="ja-JP"/>
              </w:rPr>
              <w:t>#</w:t>
            </w:r>
          </w:p>
        </w:tc>
      </w:tr>
      <w:tr w:rsidR="00452D98" w:rsidRPr="00215594" w14:paraId="69752AB0" w14:textId="77777777" w:rsidTr="001E05C2">
        <w:tc>
          <w:tcPr>
            <w:tcW w:w="5173" w:type="dxa"/>
            <w:tcBorders>
              <w:top w:val="single" w:sz="6" w:space="0" w:color="000000"/>
              <w:left w:val="single" w:sz="4" w:space="0" w:color="auto"/>
              <w:bottom w:val="nil"/>
            </w:tcBorders>
            <w:shd w:val="clear" w:color="auto" w:fill="auto"/>
          </w:tcPr>
          <w:p w14:paraId="39A42DCE" w14:textId="77777777" w:rsidR="00452D98" w:rsidRPr="00063E69" w:rsidRDefault="00452D98" w:rsidP="00DE0A26">
            <w:pPr>
              <w:pStyle w:val="TableCell10Center"/>
              <w:jc w:val="left"/>
              <w:rPr>
                <w:rFonts w:ascii="Times New Roman" w:hAnsi="Times New Roman"/>
                <w:szCs w:val="20"/>
                <w:lang w:eastAsia="ja-JP"/>
              </w:rPr>
            </w:pPr>
            <w:r w:rsidRPr="001E05C2">
              <w:rPr>
                <w:rFonts w:ascii="Times New Roman" w:hAnsi="Times New Roman"/>
                <w:bCs/>
                <w:szCs w:val="20"/>
                <w:lang w:eastAsia="ja-JP"/>
              </w:rPr>
              <w:t>PFS</w:t>
            </w:r>
            <w:r w:rsidRPr="00063E69">
              <w:rPr>
                <w:rFonts w:ascii="Times New Roman" w:hAnsi="Times New Roman"/>
                <w:szCs w:val="20"/>
                <w:lang w:eastAsia="ja-JP"/>
              </w:rPr>
              <w:t>^ (</w:t>
            </w:r>
            <w:r>
              <w:rPr>
                <w:rFonts w:ascii="Times New Roman" w:hAnsi="Times New Roman"/>
                <w:szCs w:val="20"/>
                <w:lang w:eastAsia="ja-JP"/>
              </w:rPr>
              <w:t>meses</w:t>
            </w:r>
            <w:r w:rsidRPr="00063E69">
              <w:rPr>
                <w:rFonts w:ascii="Times New Roman" w:hAnsi="Times New Roman"/>
                <w:szCs w:val="20"/>
                <w:lang w:eastAsia="ja-JP"/>
              </w:rPr>
              <w:t>)</w:t>
            </w:r>
          </w:p>
          <w:p w14:paraId="6A7E157E" w14:textId="77777777" w:rsidR="00452D98" w:rsidRPr="00063E69" w:rsidRDefault="00452D98" w:rsidP="00DE0A26">
            <w:pPr>
              <w:pStyle w:val="TableCell10Center"/>
              <w:jc w:val="left"/>
              <w:rPr>
                <w:rFonts w:ascii="Times New Roman" w:hAnsi="Times New Roman"/>
                <w:szCs w:val="20"/>
                <w:lang w:eastAsia="ja-JP"/>
              </w:rPr>
            </w:pPr>
            <w:r w:rsidRPr="00063E69">
              <w:rPr>
                <w:rFonts w:ascii="Times New Roman" w:hAnsi="Times New Roman"/>
                <w:szCs w:val="20"/>
                <w:lang w:eastAsia="ja-JP"/>
              </w:rPr>
              <w:t>Median</w:t>
            </w:r>
            <w:r>
              <w:rPr>
                <w:rFonts w:ascii="Times New Roman" w:hAnsi="Times New Roman"/>
                <w:szCs w:val="20"/>
                <w:lang w:eastAsia="ja-JP"/>
              </w:rPr>
              <w:t>a</w:t>
            </w:r>
          </w:p>
        </w:tc>
        <w:tc>
          <w:tcPr>
            <w:tcW w:w="1843" w:type="dxa"/>
            <w:tcBorders>
              <w:top w:val="single" w:sz="6" w:space="0" w:color="000000"/>
              <w:bottom w:val="nil"/>
            </w:tcBorders>
            <w:shd w:val="clear" w:color="auto" w:fill="auto"/>
          </w:tcPr>
          <w:p w14:paraId="020B84EE" w14:textId="77777777" w:rsidR="00452D98" w:rsidRPr="00063E69" w:rsidRDefault="00452D98" w:rsidP="00DE0A26">
            <w:pPr>
              <w:pStyle w:val="TableCell10Center"/>
              <w:rPr>
                <w:rFonts w:ascii="Times New Roman" w:hAnsi="Times New Roman"/>
                <w:szCs w:val="20"/>
                <w:lang w:eastAsia="ja-JP"/>
              </w:rPr>
            </w:pPr>
          </w:p>
          <w:p w14:paraId="0EF73F22" w14:textId="77777777" w:rsidR="00452D98" w:rsidRPr="00063E69" w:rsidRDefault="00F12801" w:rsidP="00DE0A26">
            <w:pPr>
              <w:pStyle w:val="TableCell10Center"/>
              <w:rPr>
                <w:rFonts w:ascii="Times New Roman" w:hAnsi="Times New Roman"/>
                <w:szCs w:val="20"/>
                <w:lang w:eastAsia="ja-JP"/>
              </w:rPr>
            </w:pPr>
            <w:r>
              <w:rPr>
                <w:rFonts w:ascii="Times New Roman" w:hAnsi="Times New Roman"/>
                <w:szCs w:val="20"/>
                <w:lang w:eastAsia="ja-JP"/>
              </w:rPr>
              <w:t>9,</w:t>
            </w:r>
            <w:r w:rsidR="00452D98" w:rsidRPr="00063E69">
              <w:rPr>
                <w:rFonts w:ascii="Times New Roman" w:hAnsi="Times New Roman"/>
                <w:szCs w:val="20"/>
                <w:lang w:eastAsia="ja-JP"/>
              </w:rPr>
              <w:t>7</w:t>
            </w:r>
          </w:p>
        </w:tc>
        <w:tc>
          <w:tcPr>
            <w:tcW w:w="1843" w:type="dxa"/>
            <w:tcBorders>
              <w:top w:val="single" w:sz="6" w:space="0" w:color="000000"/>
              <w:bottom w:val="nil"/>
              <w:right w:val="single" w:sz="4" w:space="0" w:color="auto"/>
            </w:tcBorders>
            <w:shd w:val="clear" w:color="auto" w:fill="auto"/>
          </w:tcPr>
          <w:p w14:paraId="3E3DB653" w14:textId="77777777" w:rsidR="00452D98" w:rsidRPr="00063E69" w:rsidRDefault="00452D98" w:rsidP="00DE0A26">
            <w:pPr>
              <w:pStyle w:val="TableCell10Center"/>
              <w:rPr>
                <w:rFonts w:ascii="Times New Roman" w:hAnsi="Times New Roman"/>
                <w:szCs w:val="20"/>
                <w:lang w:eastAsia="ja-JP"/>
              </w:rPr>
            </w:pPr>
          </w:p>
          <w:p w14:paraId="608856C2" w14:textId="77777777" w:rsidR="00452D98" w:rsidRPr="00063E69" w:rsidRDefault="00452D98" w:rsidP="00F12801">
            <w:pPr>
              <w:pStyle w:val="TableCell10Center"/>
              <w:rPr>
                <w:rFonts w:ascii="Times New Roman" w:hAnsi="Times New Roman"/>
                <w:szCs w:val="20"/>
                <w:lang w:eastAsia="ja-JP"/>
              </w:rPr>
            </w:pPr>
            <w:r w:rsidRPr="00063E69">
              <w:rPr>
                <w:rFonts w:ascii="Times New Roman" w:hAnsi="Times New Roman"/>
                <w:szCs w:val="20"/>
                <w:lang w:eastAsia="ja-JP"/>
              </w:rPr>
              <w:t>16</w:t>
            </w:r>
            <w:r w:rsidR="00F12801">
              <w:rPr>
                <w:rFonts w:ascii="Times New Roman" w:hAnsi="Times New Roman"/>
                <w:szCs w:val="20"/>
                <w:lang w:eastAsia="ja-JP"/>
              </w:rPr>
              <w:t>,</w:t>
            </w:r>
            <w:r w:rsidRPr="00063E69">
              <w:rPr>
                <w:rFonts w:ascii="Times New Roman" w:hAnsi="Times New Roman"/>
                <w:szCs w:val="20"/>
                <w:lang w:eastAsia="ja-JP"/>
              </w:rPr>
              <w:t>0</w:t>
            </w:r>
          </w:p>
        </w:tc>
      </w:tr>
      <w:tr w:rsidR="00452D98" w:rsidRPr="00215594" w14:paraId="47F7CC65" w14:textId="77777777" w:rsidTr="001E05C2">
        <w:tc>
          <w:tcPr>
            <w:tcW w:w="5173" w:type="dxa"/>
            <w:tcBorders>
              <w:top w:val="nil"/>
              <w:left w:val="single" w:sz="4" w:space="0" w:color="auto"/>
              <w:bottom w:val="single" w:sz="6" w:space="0" w:color="000000"/>
            </w:tcBorders>
            <w:shd w:val="clear" w:color="auto" w:fill="auto"/>
          </w:tcPr>
          <w:p w14:paraId="4EF39673" w14:textId="77777777" w:rsidR="00452D98" w:rsidRPr="00452D98" w:rsidRDefault="00452D98" w:rsidP="00DE0A26">
            <w:pPr>
              <w:pStyle w:val="TableCell10Center"/>
              <w:jc w:val="left"/>
              <w:rPr>
                <w:rFonts w:ascii="Times New Roman" w:hAnsi="Times New Roman"/>
                <w:szCs w:val="20"/>
                <w:lang w:eastAsia="ja-JP"/>
              </w:rPr>
            </w:pPr>
            <w:r w:rsidRPr="00452D98">
              <w:rPr>
                <w:rFonts w:ascii="Times New Roman" w:hAnsi="Times New Roman"/>
                <w:szCs w:val="20"/>
                <w:lang w:eastAsia="ja-JP"/>
              </w:rPr>
              <w:t>HR</w:t>
            </w:r>
            <w:r w:rsidR="007F2A00">
              <w:rPr>
                <w:rFonts w:ascii="Times New Roman" w:hAnsi="Times New Roman"/>
                <w:szCs w:val="20"/>
                <w:lang w:eastAsia="ja-JP"/>
              </w:rPr>
              <w:t xml:space="preserve"> (taxa de risco)</w:t>
            </w:r>
            <w:r w:rsidRPr="00452D98">
              <w:rPr>
                <w:rFonts w:ascii="Times New Roman" w:hAnsi="Times New Roman"/>
                <w:szCs w:val="20"/>
                <w:lang w:eastAsia="ja-JP"/>
              </w:rPr>
              <w:t xml:space="preserve"> (IC 95%)</w:t>
            </w:r>
          </w:p>
          <w:p w14:paraId="71DFA4EC" w14:textId="77777777" w:rsidR="00452D98" w:rsidRPr="00452D98" w:rsidRDefault="00452D98" w:rsidP="00452D98">
            <w:pPr>
              <w:pStyle w:val="TableCell10Center"/>
              <w:jc w:val="left"/>
              <w:rPr>
                <w:rFonts w:ascii="Times New Roman" w:hAnsi="Times New Roman"/>
                <w:szCs w:val="20"/>
                <w:lang w:eastAsia="ja-JP"/>
              </w:rPr>
            </w:pPr>
            <w:r w:rsidRPr="00452D98">
              <w:rPr>
                <w:rFonts w:ascii="Times New Roman" w:hAnsi="Times New Roman"/>
                <w:szCs w:val="20"/>
                <w:lang w:eastAsia="ja-JP"/>
              </w:rPr>
              <w:t>Valor de p</w:t>
            </w:r>
          </w:p>
        </w:tc>
        <w:tc>
          <w:tcPr>
            <w:tcW w:w="3686" w:type="dxa"/>
            <w:gridSpan w:val="2"/>
            <w:tcBorders>
              <w:top w:val="nil"/>
              <w:bottom w:val="single" w:sz="6" w:space="0" w:color="000000"/>
              <w:right w:val="single" w:sz="4" w:space="0" w:color="auto"/>
            </w:tcBorders>
            <w:shd w:val="clear" w:color="auto" w:fill="auto"/>
          </w:tcPr>
          <w:p w14:paraId="2BC6E833" w14:textId="77777777" w:rsidR="00452D98" w:rsidRPr="00F12801" w:rsidRDefault="00452D98" w:rsidP="00DE0A26">
            <w:pPr>
              <w:pStyle w:val="TableCell10Center"/>
              <w:rPr>
                <w:rFonts w:ascii="Times New Roman" w:hAnsi="Times New Roman"/>
                <w:szCs w:val="20"/>
                <w:lang w:eastAsia="ja-JP"/>
              </w:rPr>
            </w:pPr>
            <w:r w:rsidRPr="00F12801">
              <w:rPr>
                <w:rFonts w:ascii="Times New Roman" w:hAnsi="Times New Roman"/>
                <w:szCs w:val="20"/>
                <w:lang w:eastAsia="ja-JP"/>
              </w:rPr>
              <w:t>0</w:t>
            </w:r>
            <w:r w:rsidR="00F12801" w:rsidRPr="00F12801">
              <w:rPr>
                <w:rFonts w:ascii="Times New Roman" w:hAnsi="Times New Roman"/>
                <w:szCs w:val="20"/>
                <w:lang w:eastAsia="ja-JP"/>
              </w:rPr>
              <w:t>,</w:t>
            </w:r>
            <w:r w:rsidRPr="00F12801">
              <w:rPr>
                <w:rFonts w:ascii="Times New Roman" w:hAnsi="Times New Roman"/>
                <w:szCs w:val="20"/>
                <w:lang w:eastAsia="ja-JP"/>
              </w:rPr>
              <w:t>54 (0</w:t>
            </w:r>
            <w:r w:rsidR="00F12801">
              <w:rPr>
                <w:rFonts w:ascii="Times New Roman" w:hAnsi="Times New Roman"/>
                <w:szCs w:val="20"/>
                <w:lang w:eastAsia="ja-JP"/>
              </w:rPr>
              <w:t>,</w:t>
            </w:r>
            <w:r w:rsidRPr="00F12801">
              <w:rPr>
                <w:rFonts w:ascii="Times New Roman" w:hAnsi="Times New Roman"/>
                <w:szCs w:val="20"/>
                <w:lang w:eastAsia="ja-JP"/>
              </w:rPr>
              <w:t>36; 0</w:t>
            </w:r>
            <w:r w:rsidR="00F12801">
              <w:rPr>
                <w:rFonts w:ascii="Times New Roman" w:hAnsi="Times New Roman"/>
                <w:szCs w:val="20"/>
                <w:lang w:eastAsia="ja-JP"/>
              </w:rPr>
              <w:t>,</w:t>
            </w:r>
            <w:r w:rsidRPr="00F12801">
              <w:rPr>
                <w:rFonts w:ascii="Times New Roman" w:hAnsi="Times New Roman"/>
                <w:szCs w:val="20"/>
                <w:lang w:eastAsia="ja-JP"/>
              </w:rPr>
              <w:t xml:space="preserve">79) </w:t>
            </w:r>
          </w:p>
          <w:p w14:paraId="08C6A6C0" w14:textId="77777777" w:rsidR="00452D98" w:rsidRPr="00F12801" w:rsidRDefault="00F12801" w:rsidP="00DE0A26">
            <w:pPr>
              <w:pStyle w:val="TableCell10Center"/>
              <w:rPr>
                <w:rFonts w:ascii="Times New Roman" w:hAnsi="Times New Roman"/>
                <w:szCs w:val="20"/>
                <w:lang w:eastAsia="ja-JP"/>
              </w:rPr>
            </w:pPr>
            <w:r w:rsidRPr="00F12801">
              <w:rPr>
                <w:rFonts w:ascii="Times New Roman" w:hAnsi="Times New Roman"/>
                <w:szCs w:val="20"/>
                <w:lang w:eastAsia="ja-JP"/>
              </w:rPr>
              <w:t>0</w:t>
            </w:r>
            <w:r>
              <w:rPr>
                <w:rFonts w:ascii="Times New Roman" w:hAnsi="Times New Roman"/>
                <w:szCs w:val="20"/>
                <w:lang w:eastAsia="ja-JP"/>
              </w:rPr>
              <w:t>,</w:t>
            </w:r>
            <w:r w:rsidR="00452D98" w:rsidRPr="00F12801">
              <w:rPr>
                <w:rFonts w:ascii="Times New Roman" w:hAnsi="Times New Roman"/>
                <w:szCs w:val="20"/>
                <w:lang w:eastAsia="ja-JP"/>
              </w:rPr>
              <w:t>0015</w:t>
            </w:r>
          </w:p>
        </w:tc>
      </w:tr>
      <w:tr w:rsidR="00452D98" w:rsidRPr="00215594" w14:paraId="1B2BEFF4" w14:textId="77777777" w:rsidTr="001E05C2">
        <w:tc>
          <w:tcPr>
            <w:tcW w:w="5173" w:type="dxa"/>
            <w:vMerge w:val="restart"/>
            <w:tcBorders>
              <w:top w:val="single" w:sz="6" w:space="0" w:color="000000"/>
              <w:left w:val="single" w:sz="4" w:space="0" w:color="auto"/>
            </w:tcBorders>
            <w:shd w:val="clear" w:color="auto" w:fill="auto"/>
          </w:tcPr>
          <w:p w14:paraId="086924D3" w14:textId="77777777" w:rsidR="00452D98" w:rsidRPr="001E05C2" w:rsidRDefault="00452D98" w:rsidP="00DE0A26">
            <w:pPr>
              <w:pStyle w:val="TableCell10Center"/>
              <w:jc w:val="left"/>
              <w:rPr>
                <w:rFonts w:ascii="Times New Roman" w:hAnsi="Times New Roman"/>
                <w:bCs/>
                <w:szCs w:val="20"/>
                <w:lang w:eastAsia="ja-JP"/>
              </w:rPr>
            </w:pPr>
            <w:r w:rsidRPr="001E05C2">
              <w:rPr>
                <w:rFonts w:ascii="Times New Roman" w:hAnsi="Times New Roman"/>
                <w:bCs/>
                <w:szCs w:val="20"/>
                <w:lang w:eastAsia="ja-JP"/>
              </w:rPr>
              <w:t xml:space="preserve">Taxa de </w:t>
            </w:r>
            <w:r w:rsidR="003F3D13">
              <w:rPr>
                <w:rFonts w:ascii="Times New Roman" w:hAnsi="Times New Roman"/>
                <w:bCs/>
                <w:szCs w:val="20"/>
                <w:lang w:eastAsia="ja-JP"/>
              </w:rPr>
              <w:t>r</w:t>
            </w:r>
            <w:r w:rsidRPr="001E05C2">
              <w:rPr>
                <w:rFonts w:ascii="Times New Roman" w:hAnsi="Times New Roman"/>
                <w:bCs/>
                <w:szCs w:val="20"/>
                <w:lang w:eastAsia="ja-JP"/>
              </w:rPr>
              <w:t xml:space="preserve">esposta </w:t>
            </w:r>
            <w:r w:rsidR="003F3D13">
              <w:rPr>
                <w:rFonts w:ascii="Times New Roman" w:hAnsi="Times New Roman"/>
                <w:bCs/>
                <w:szCs w:val="20"/>
                <w:lang w:eastAsia="ja-JP"/>
              </w:rPr>
              <w:t>g</w:t>
            </w:r>
            <w:r w:rsidRPr="001E05C2">
              <w:rPr>
                <w:rFonts w:ascii="Times New Roman" w:hAnsi="Times New Roman"/>
                <w:bCs/>
                <w:szCs w:val="20"/>
                <w:lang w:eastAsia="ja-JP"/>
              </w:rPr>
              <w:t>lobal</w:t>
            </w:r>
          </w:p>
          <w:p w14:paraId="44B655DE" w14:textId="77777777" w:rsidR="00452D98" w:rsidRPr="00F12801" w:rsidRDefault="00452D98" w:rsidP="00DE0A26">
            <w:pPr>
              <w:pStyle w:val="TableCell10Center"/>
              <w:jc w:val="left"/>
              <w:rPr>
                <w:rFonts w:ascii="Times New Roman" w:hAnsi="Times New Roman"/>
                <w:b/>
                <w:szCs w:val="20"/>
                <w:lang w:eastAsia="ja-JP"/>
              </w:rPr>
            </w:pPr>
            <w:r w:rsidRPr="00F12801">
              <w:rPr>
                <w:rFonts w:ascii="Times New Roman" w:hAnsi="Times New Roman"/>
                <w:szCs w:val="20"/>
                <w:lang w:eastAsia="ja-JP"/>
              </w:rPr>
              <w:t>Taxa</w:t>
            </w:r>
            <w:r w:rsidR="007B565D">
              <w:rPr>
                <w:rFonts w:ascii="Times New Roman" w:hAnsi="Times New Roman"/>
                <w:szCs w:val="20"/>
                <w:lang w:eastAsia="ja-JP"/>
              </w:rPr>
              <w:t xml:space="preserve"> (n)</w:t>
            </w:r>
          </w:p>
          <w:p w14:paraId="22090DBA" w14:textId="77777777" w:rsidR="00452D98" w:rsidRPr="00F12801" w:rsidRDefault="00F12801" w:rsidP="00DE0A26">
            <w:pPr>
              <w:pStyle w:val="TableCell10Center"/>
              <w:jc w:val="left"/>
              <w:rPr>
                <w:rFonts w:ascii="Times New Roman" w:hAnsi="Times New Roman"/>
                <w:strike/>
                <w:szCs w:val="20"/>
                <w:lang w:eastAsia="ja-JP"/>
              </w:rPr>
            </w:pPr>
            <w:r w:rsidRPr="00F12801">
              <w:rPr>
                <w:rFonts w:ascii="Times New Roman" w:hAnsi="Times New Roman"/>
                <w:szCs w:val="20"/>
                <w:lang w:eastAsia="ja-JP"/>
              </w:rPr>
              <w:t>V</w:t>
            </w:r>
            <w:r>
              <w:rPr>
                <w:rFonts w:ascii="Times New Roman" w:hAnsi="Times New Roman"/>
                <w:szCs w:val="20"/>
                <w:lang w:eastAsia="ja-JP"/>
              </w:rPr>
              <w:t>alor de p</w:t>
            </w:r>
          </w:p>
        </w:tc>
        <w:tc>
          <w:tcPr>
            <w:tcW w:w="1843" w:type="dxa"/>
            <w:tcBorders>
              <w:top w:val="single" w:sz="6" w:space="0" w:color="000000"/>
              <w:bottom w:val="nil"/>
            </w:tcBorders>
            <w:shd w:val="clear" w:color="auto" w:fill="auto"/>
          </w:tcPr>
          <w:p w14:paraId="50605782" w14:textId="77777777" w:rsidR="00452D98" w:rsidRPr="00F12801" w:rsidRDefault="00452D98" w:rsidP="00DE0A26">
            <w:pPr>
              <w:pStyle w:val="TableCell10Center"/>
              <w:rPr>
                <w:rFonts w:ascii="Times New Roman" w:hAnsi="Times New Roman"/>
                <w:szCs w:val="20"/>
                <w:lang w:eastAsia="ja-JP"/>
              </w:rPr>
            </w:pPr>
          </w:p>
          <w:p w14:paraId="1B0A063F" w14:textId="77777777" w:rsidR="00452D98" w:rsidRPr="00F12801" w:rsidRDefault="00F12801" w:rsidP="00DE0A26">
            <w:pPr>
              <w:pStyle w:val="TableCell10Center"/>
              <w:rPr>
                <w:rFonts w:ascii="Times New Roman" w:hAnsi="Times New Roman"/>
                <w:szCs w:val="20"/>
                <w:lang w:eastAsia="ja-JP"/>
              </w:rPr>
            </w:pPr>
            <w:r w:rsidRPr="00F12801">
              <w:rPr>
                <w:rFonts w:ascii="Times New Roman" w:hAnsi="Times New Roman"/>
                <w:szCs w:val="20"/>
                <w:lang w:eastAsia="ja-JP"/>
              </w:rPr>
              <w:t>63</w:t>
            </w:r>
            <w:r>
              <w:rPr>
                <w:rFonts w:ascii="Times New Roman" w:hAnsi="Times New Roman"/>
                <w:szCs w:val="20"/>
                <w:lang w:eastAsia="ja-JP"/>
              </w:rPr>
              <w:t>,</w:t>
            </w:r>
            <w:r w:rsidR="00452D98" w:rsidRPr="00F12801">
              <w:rPr>
                <w:rFonts w:ascii="Times New Roman" w:hAnsi="Times New Roman"/>
                <w:szCs w:val="20"/>
                <w:lang w:eastAsia="ja-JP"/>
              </w:rPr>
              <w:t>6%</w:t>
            </w:r>
            <w:r w:rsidR="007B565D">
              <w:rPr>
                <w:rFonts w:ascii="Times New Roman" w:hAnsi="Times New Roman"/>
                <w:szCs w:val="20"/>
                <w:lang w:eastAsia="ja-JP"/>
              </w:rPr>
              <w:t xml:space="preserve"> (49)</w:t>
            </w:r>
          </w:p>
        </w:tc>
        <w:tc>
          <w:tcPr>
            <w:tcW w:w="1843" w:type="dxa"/>
            <w:tcBorders>
              <w:top w:val="single" w:sz="6" w:space="0" w:color="000000"/>
              <w:right w:val="single" w:sz="4" w:space="0" w:color="auto"/>
            </w:tcBorders>
            <w:shd w:val="clear" w:color="auto" w:fill="auto"/>
          </w:tcPr>
          <w:p w14:paraId="6A9E6791" w14:textId="77777777" w:rsidR="00452D98" w:rsidRPr="00F12801" w:rsidRDefault="00452D98" w:rsidP="00DE0A26">
            <w:pPr>
              <w:pStyle w:val="TableCell10Center"/>
              <w:rPr>
                <w:rFonts w:ascii="Times New Roman" w:hAnsi="Times New Roman"/>
                <w:szCs w:val="20"/>
                <w:lang w:eastAsia="ja-JP"/>
              </w:rPr>
            </w:pPr>
          </w:p>
          <w:p w14:paraId="59F806DB" w14:textId="77777777" w:rsidR="00452D98" w:rsidRPr="00F12801" w:rsidRDefault="00452D98" w:rsidP="00F12801">
            <w:pPr>
              <w:pStyle w:val="TableCell10Center"/>
              <w:rPr>
                <w:rFonts w:ascii="Times New Roman" w:hAnsi="Times New Roman"/>
                <w:szCs w:val="20"/>
                <w:lang w:eastAsia="ja-JP"/>
              </w:rPr>
            </w:pPr>
            <w:r w:rsidRPr="00F12801">
              <w:rPr>
                <w:rFonts w:ascii="Times New Roman" w:hAnsi="Times New Roman"/>
                <w:szCs w:val="20"/>
                <w:lang w:eastAsia="ja-JP"/>
              </w:rPr>
              <w:t>69</w:t>
            </w:r>
            <w:r w:rsidR="00F12801">
              <w:rPr>
                <w:rFonts w:ascii="Times New Roman" w:hAnsi="Times New Roman"/>
                <w:szCs w:val="20"/>
                <w:lang w:eastAsia="ja-JP"/>
              </w:rPr>
              <w:t>,</w:t>
            </w:r>
            <w:r w:rsidRPr="00F12801">
              <w:rPr>
                <w:rFonts w:ascii="Times New Roman" w:hAnsi="Times New Roman"/>
                <w:szCs w:val="20"/>
                <w:lang w:eastAsia="ja-JP"/>
              </w:rPr>
              <w:t>3%</w:t>
            </w:r>
            <w:r w:rsidR="007B565D">
              <w:rPr>
                <w:rFonts w:ascii="Times New Roman" w:hAnsi="Times New Roman"/>
                <w:szCs w:val="20"/>
                <w:lang w:eastAsia="ja-JP"/>
              </w:rPr>
              <w:t xml:space="preserve"> (52)</w:t>
            </w:r>
          </w:p>
        </w:tc>
      </w:tr>
      <w:tr w:rsidR="00452D98" w:rsidRPr="00215594" w14:paraId="77AC77C6" w14:textId="77777777" w:rsidTr="001E05C2">
        <w:trPr>
          <w:trHeight w:val="227"/>
        </w:trPr>
        <w:tc>
          <w:tcPr>
            <w:tcW w:w="5173" w:type="dxa"/>
            <w:vMerge/>
            <w:tcBorders>
              <w:left w:val="single" w:sz="4" w:space="0" w:color="auto"/>
              <w:bottom w:val="single" w:sz="4" w:space="0" w:color="auto"/>
            </w:tcBorders>
            <w:shd w:val="clear" w:color="auto" w:fill="auto"/>
          </w:tcPr>
          <w:p w14:paraId="7FA128CC" w14:textId="77777777" w:rsidR="00452D98" w:rsidRPr="00F12801" w:rsidRDefault="00452D98" w:rsidP="00DE0A26">
            <w:pPr>
              <w:pStyle w:val="TableCell10Center"/>
              <w:jc w:val="left"/>
              <w:rPr>
                <w:rFonts w:ascii="Times New Roman" w:hAnsi="Times New Roman"/>
                <w:b/>
                <w:szCs w:val="20"/>
                <w:lang w:eastAsia="ja-JP"/>
              </w:rPr>
            </w:pPr>
          </w:p>
        </w:tc>
        <w:tc>
          <w:tcPr>
            <w:tcW w:w="3686" w:type="dxa"/>
            <w:gridSpan w:val="2"/>
            <w:tcBorders>
              <w:top w:val="nil"/>
              <w:bottom w:val="single" w:sz="4" w:space="0" w:color="auto"/>
              <w:right w:val="single" w:sz="4" w:space="0" w:color="auto"/>
            </w:tcBorders>
            <w:shd w:val="clear" w:color="auto" w:fill="auto"/>
          </w:tcPr>
          <w:p w14:paraId="64A70D0C" w14:textId="77777777" w:rsidR="00452D98" w:rsidRPr="00F12801" w:rsidRDefault="00F12801" w:rsidP="00DE0A26">
            <w:pPr>
              <w:pStyle w:val="TableCell10Center"/>
              <w:rPr>
                <w:rFonts w:ascii="Times New Roman" w:hAnsi="Times New Roman"/>
                <w:szCs w:val="20"/>
                <w:lang w:eastAsia="ja-JP"/>
              </w:rPr>
            </w:pPr>
            <w:r w:rsidRPr="00F12801">
              <w:rPr>
                <w:rFonts w:ascii="Times New Roman" w:hAnsi="Times New Roman"/>
                <w:szCs w:val="20"/>
                <w:lang w:eastAsia="ja-JP"/>
              </w:rPr>
              <w:t>0</w:t>
            </w:r>
            <w:r>
              <w:rPr>
                <w:rFonts w:ascii="Times New Roman" w:hAnsi="Times New Roman"/>
                <w:szCs w:val="20"/>
                <w:lang w:eastAsia="ja-JP"/>
              </w:rPr>
              <w:t>,</w:t>
            </w:r>
            <w:r w:rsidR="00452D98" w:rsidRPr="00F12801">
              <w:rPr>
                <w:rFonts w:ascii="Times New Roman" w:hAnsi="Times New Roman"/>
                <w:szCs w:val="20"/>
                <w:lang w:eastAsia="ja-JP"/>
              </w:rPr>
              <w:t>4951</w:t>
            </w:r>
          </w:p>
        </w:tc>
      </w:tr>
      <w:tr w:rsidR="00452D98" w:rsidRPr="00215594" w14:paraId="4C1D3812" w14:textId="77777777" w:rsidTr="001E05C2">
        <w:tc>
          <w:tcPr>
            <w:tcW w:w="5173" w:type="dxa"/>
            <w:tcBorders>
              <w:top w:val="single" w:sz="4" w:space="0" w:color="auto"/>
              <w:left w:val="single" w:sz="4" w:space="0" w:color="auto"/>
              <w:bottom w:val="nil"/>
            </w:tcBorders>
            <w:shd w:val="clear" w:color="auto" w:fill="auto"/>
          </w:tcPr>
          <w:p w14:paraId="2E7BCEC8" w14:textId="77777777" w:rsidR="00452D98" w:rsidRPr="00063E69" w:rsidRDefault="00452D98" w:rsidP="00DE0A26">
            <w:pPr>
              <w:pStyle w:val="TableCell10Center"/>
              <w:jc w:val="left"/>
              <w:rPr>
                <w:rFonts w:ascii="Times New Roman" w:hAnsi="Times New Roman"/>
                <w:b/>
                <w:szCs w:val="20"/>
                <w:lang w:eastAsia="ja-JP"/>
              </w:rPr>
            </w:pPr>
            <w:r w:rsidRPr="001E05C2">
              <w:rPr>
                <w:rFonts w:ascii="Times New Roman" w:hAnsi="Times New Roman"/>
                <w:bCs/>
                <w:szCs w:val="20"/>
                <w:lang w:eastAsia="ja-JP"/>
              </w:rPr>
              <w:t>Sobrevivência global*</w:t>
            </w:r>
            <w:r w:rsidRPr="00063E69">
              <w:rPr>
                <w:rFonts w:ascii="Times New Roman" w:hAnsi="Times New Roman"/>
                <w:b/>
                <w:szCs w:val="20"/>
                <w:lang w:eastAsia="ja-JP"/>
              </w:rPr>
              <w:t xml:space="preserve"> </w:t>
            </w:r>
            <w:r w:rsidRPr="00063E69">
              <w:rPr>
                <w:rFonts w:ascii="Times New Roman" w:hAnsi="Times New Roman"/>
                <w:szCs w:val="20"/>
                <w:lang w:eastAsia="ja-JP"/>
              </w:rPr>
              <w:t>(</w:t>
            </w:r>
            <w:r>
              <w:rPr>
                <w:rFonts w:ascii="Times New Roman" w:hAnsi="Times New Roman"/>
                <w:szCs w:val="20"/>
                <w:lang w:eastAsia="ja-JP"/>
              </w:rPr>
              <w:t>meses)</w:t>
            </w:r>
          </w:p>
          <w:p w14:paraId="5EB89F34" w14:textId="77777777" w:rsidR="00452D98" w:rsidRPr="00063E69" w:rsidRDefault="00452D98" w:rsidP="00DE0A26">
            <w:pPr>
              <w:pStyle w:val="TableCell10Center"/>
              <w:jc w:val="left"/>
              <w:rPr>
                <w:rFonts w:ascii="Times New Roman" w:hAnsi="Times New Roman"/>
                <w:b/>
                <w:szCs w:val="20"/>
                <w:lang w:eastAsia="ja-JP"/>
              </w:rPr>
            </w:pPr>
            <w:r w:rsidRPr="00063E69">
              <w:rPr>
                <w:rFonts w:ascii="Times New Roman" w:hAnsi="Times New Roman"/>
                <w:szCs w:val="20"/>
                <w:lang w:eastAsia="ja-JP"/>
              </w:rPr>
              <w:t>Median</w:t>
            </w:r>
            <w:r>
              <w:rPr>
                <w:rFonts w:ascii="Times New Roman" w:hAnsi="Times New Roman"/>
                <w:szCs w:val="20"/>
                <w:lang w:eastAsia="ja-JP"/>
              </w:rPr>
              <w:t>a</w:t>
            </w:r>
          </w:p>
        </w:tc>
        <w:tc>
          <w:tcPr>
            <w:tcW w:w="1843" w:type="dxa"/>
            <w:tcBorders>
              <w:top w:val="single" w:sz="4" w:space="0" w:color="auto"/>
              <w:left w:val="single" w:sz="6" w:space="0" w:color="000000"/>
              <w:bottom w:val="nil"/>
            </w:tcBorders>
            <w:shd w:val="clear" w:color="auto" w:fill="auto"/>
          </w:tcPr>
          <w:p w14:paraId="6BC071D8" w14:textId="77777777" w:rsidR="00452D98" w:rsidRPr="00063E69" w:rsidRDefault="00452D98" w:rsidP="00DE0A26">
            <w:pPr>
              <w:pStyle w:val="TableCell10Center"/>
              <w:rPr>
                <w:rFonts w:ascii="Times New Roman" w:hAnsi="Times New Roman"/>
                <w:szCs w:val="20"/>
                <w:lang w:eastAsia="ja-JP"/>
              </w:rPr>
            </w:pPr>
          </w:p>
          <w:p w14:paraId="50DC5125" w14:textId="77777777" w:rsidR="00452D98" w:rsidRPr="00063E69" w:rsidRDefault="00FD7A11" w:rsidP="00824C6B">
            <w:pPr>
              <w:pStyle w:val="TableCell10Center"/>
              <w:rPr>
                <w:rFonts w:ascii="Times New Roman" w:hAnsi="Times New Roman"/>
                <w:szCs w:val="20"/>
                <w:lang w:eastAsia="ja-JP"/>
              </w:rPr>
            </w:pPr>
            <w:r>
              <w:rPr>
                <w:rFonts w:ascii="Times New Roman" w:hAnsi="Times New Roman"/>
                <w:szCs w:val="20"/>
                <w:lang w:eastAsia="ja-JP"/>
              </w:rPr>
              <w:t>4</w:t>
            </w:r>
            <w:r w:rsidR="00824C6B">
              <w:rPr>
                <w:rFonts w:ascii="Times New Roman" w:hAnsi="Times New Roman"/>
                <w:szCs w:val="20"/>
                <w:lang w:eastAsia="ja-JP"/>
              </w:rPr>
              <w:t>7,4</w:t>
            </w:r>
          </w:p>
        </w:tc>
        <w:tc>
          <w:tcPr>
            <w:tcW w:w="1843" w:type="dxa"/>
            <w:tcBorders>
              <w:top w:val="single" w:sz="4" w:space="0" w:color="auto"/>
              <w:left w:val="single" w:sz="6" w:space="0" w:color="000000"/>
              <w:bottom w:val="nil"/>
              <w:right w:val="single" w:sz="4" w:space="0" w:color="auto"/>
            </w:tcBorders>
            <w:shd w:val="clear" w:color="auto" w:fill="auto"/>
          </w:tcPr>
          <w:p w14:paraId="2F21E504" w14:textId="77777777" w:rsidR="00452D98" w:rsidRPr="00063E69" w:rsidRDefault="00452D98" w:rsidP="00DE0A26">
            <w:pPr>
              <w:pStyle w:val="TableCell10Center"/>
              <w:rPr>
                <w:rFonts w:ascii="Times New Roman" w:hAnsi="Times New Roman"/>
                <w:szCs w:val="20"/>
                <w:lang w:eastAsia="ja-JP"/>
              </w:rPr>
            </w:pPr>
          </w:p>
          <w:p w14:paraId="425B857F" w14:textId="77777777" w:rsidR="00452D98" w:rsidRPr="00063E69" w:rsidRDefault="00FD7A11" w:rsidP="00824C6B">
            <w:pPr>
              <w:pStyle w:val="TableCell10Center"/>
              <w:rPr>
                <w:rFonts w:ascii="Times New Roman" w:hAnsi="Times New Roman"/>
                <w:szCs w:val="20"/>
                <w:lang w:eastAsia="ja-JP"/>
              </w:rPr>
            </w:pPr>
            <w:r>
              <w:rPr>
                <w:rFonts w:ascii="Times New Roman" w:hAnsi="Times New Roman"/>
                <w:szCs w:val="20"/>
                <w:lang w:eastAsia="ja-JP"/>
              </w:rPr>
              <w:t>4</w:t>
            </w:r>
            <w:r w:rsidR="00824C6B">
              <w:rPr>
                <w:rFonts w:ascii="Times New Roman" w:hAnsi="Times New Roman"/>
                <w:szCs w:val="20"/>
                <w:lang w:eastAsia="ja-JP"/>
              </w:rPr>
              <w:t>7,0</w:t>
            </w:r>
          </w:p>
        </w:tc>
      </w:tr>
      <w:tr w:rsidR="00452D98" w:rsidRPr="00215594" w14:paraId="20E98417" w14:textId="77777777" w:rsidTr="001E05C2">
        <w:tc>
          <w:tcPr>
            <w:tcW w:w="5173" w:type="dxa"/>
            <w:tcBorders>
              <w:top w:val="nil"/>
              <w:left w:val="single" w:sz="4" w:space="0" w:color="auto"/>
              <w:bottom w:val="single" w:sz="4" w:space="0" w:color="auto"/>
            </w:tcBorders>
            <w:shd w:val="clear" w:color="auto" w:fill="auto"/>
          </w:tcPr>
          <w:p w14:paraId="17FCE9B3" w14:textId="77777777" w:rsidR="00452D98" w:rsidRPr="00452D98" w:rsidRDefault="00452D98" w:rsidP="00DE0A26">
            <w:pPr>
              <w:pStyle w:val="TableCell10Center"/>
              <w:jc w:val="left"/>
              <w:rPr>
                <w:rFonts w:ascii="Times New Roman" w:hAnsi="Times New Roman"/>
                <w:szCs w:val="20"/>
                <w:lang w:eastAsia="ja-JP"/>
              </w:rPr>
            </w:pPr>
            <w:r w:rsidRPr="00452D98">
              <w:rPr>
                <w:rFonts w:ascii="Times New Roman" w:hAnsi="Times New Roman"/>
                <w:szCs w:val="20"/>
                <w:lang w:eastAsia="ja-JP"/>
              </w:rPr>
              <w:t xml:space="preserve">HR </w:t>
            </w:r>
            <w:r w:rsidR="007F2A00">
              <w:rPr>
                <w:rFonts w:ascii="Times New Roman" w:hAnsi="Times New Roman"/>
                <w:szCs w:val="20"/>
                <w:lang w:eastAsia="ja-JP"/>
              </w:rPr>
              <w:t xml:space="preserve">(taxa de risco) </w:t>
            </w:r>
            <w:r w:rsidRPr="00452D98">
              <w:rPr>
                <w:rFonts w:ascii="Times New Roman" w:hAnsi="Times New Roman"/>
                <w:szCs w:val="20"/>
                <w:lang w:eastAsia="ja-JP"/>
              </w:rPr>
              <w:t>(IC 95%)</w:t>
            </w:r>
          </w:p>
          <w:p w14:paraId="5C9E45BA" w14:textId="77777777" w:rsidR="00452D98" w:rsidRPr="00452D98" w:rsidRDefault="00452D98" w:rsidP="00DE0A26">
            <w:pPr>
              <w:pStyle w:val="TableCell10Center"/>
              <w:jc w:val="left"/>
              <w:rPr>
                <w:rFonts w:ascii="Times New Roman" w:hAnsi="Times New Roman"/>
                <w:szCs w:val="20"/>
                <w:lang w:eastAsia="ja-JP"/>
              </w:rPr>
            </w:pPr>
            <w:r w:rsidRPr="00452D98">
              <w:rPr>
                <w:rFonts w:ascii="Times New Roman" w:hAnsi="Times New Roman"/>
                <w:szCs w:val="20"/>
                <w:lang w:eastAsia="ja-JP"/>
              </w:rPr>
              <w:t xml:space="preserve">Valor de p </w:t>
            </w:r>
          </w:p>
        </w:tc>
        <w:tc>
          <w:tcPr>
            <w:tcW w:w="3686" w:type="dxa"/>
            <w:gridSpan w:val="2"/>
            <w:tcBorders>
              <w:top w:val="nil"/>
              <w:bottom w:val="single" w:sz="4" w:space="0" w:color="auto"/>
              <w:right w:val="single" w:sz="4" w:space="0" w:color="auto"/>
            </w:tcBorders>
            <w:shd w:val="clear" w:color="auto" w:fill="auto"/>
          </w:tcPr>
          <w:p w14:paraId="3EE5D845" w14:textId="77777777" w:rsidR="00452D98" w:rsidRPr="00063E69" w:rsidRDefault="00824C6B" w:rsidP="00DE0A26">
            <w:pPr>
              <w:pStyle w:val="TableCell10Center"/>
              <w:rPr>
                <w:rFonts w:ascii="Times New Roman" w:hAnsi="Times New Roman"/>
                <w:szCs w:val="20"/>
                <w:lang w:eastAsia="ja-JP"/>
              </w:rPr>
            </w:pPr>
            <w:r>
              <w:rPr>
                <w:rFonts w:ascii="Times New Roman" w:hAnsi="Times New Roman"/>
                <w:szCs w:val="20"/>
                <w:lang w:eastAsia="ja-JP"/>
              </w:rPr>
              <w:t xml:space="preserve"> 0,81 (0,53; 1,23)</w:t>
            </w:r>
          </w:p>
          <w:p w14:paraId="12A6B7E5" w14:textId="77777777" w:rsidR="00452D98" w:rsidRPr="00063E69" w:rsidRDefault="00824C6B" w:rsidP="00FD7A11">
            <w:pPr>
              <w:pStyle w:val="TableCell10Center"/>
              <w:rPr>
                <w:rFonts w:ascii="Times New Roman" w:hAnsi="Times New Roman"/>
                <w:szCs w:val="20"/>
                <w:lang w:eastAsia="ja-JP"/>
              </w:rPr>
            </w:pPr>
            <w:r>
              <w:rPr>
                <w:rFonts w:ascii="Times New Roman" w:hAnsi="Times New Roman"/>
                <w:szCs w:val="20"/>
                <w:lang w:eastAsia="ja-JP"/>
              </w:rPr>
              <w:t>0,3267</w:t>
            </w:r>
          </w:p>
        </w:tc>
      </w:tr>
    </w:tbl>
    <w:p w14:paraId="397D2D2A" w14:textId="77777777" w:rsidR="007E0727" w:rsidRPr="00AD7152" w:rsidRDefault="00452D98" w:rsidP="007B565D">
      <w:pPr>
        <w:ind w:left="142" w:hanging="142"/>
        <w:rPr>
          <w:sz w:val="20"/>
          <w:lang w:bidi="en-US"/>
        </w:rPr>
      </w:pPr>
      <w:r w:rsidRPr="00AD7152">
        <w:rPr>
          <w:sz w:val="20"/>
          <w:lang w:bidi="en-US"/>
        </w:rPr>
        <w:t xml:space="preserve"># </w:t>
      </w:r>
      <w:r w:rsidR="007E0727" w:rsidRPr="00AD7152">
        <w:rPr>
          <w:sz w:val="20"/>
          <w:lang w:bidi="en-US"/>
        </w:rPr>
        <w:t xml:space="preserve">Um total de </w:t>
      </w:r>
      <w:r w:rsidRPr="00AD7152">
        <w:rPr>
          <w:sz w:val="20"/>
          <w:lang w:bidi="en-US"/>
        </w:rPr>
        <w:t xml:space="preserve">154 </w:t>
      </w:r>
      <w:r w:rsidR="007E0727" w:rsidRPr="00AD7152">
        <w:rPr>
          <w:sz w:val="20"/>
          <w:lang w:bidi="en-US"/>
        </w:rPr>
        <w:t>doentes foi aleatorizado</w:t>
      </w:r>
      <w:r w:rsidR="00435CBC">
        <w:rPr>
          <w:sz w:val="20"/>
          <w:lang w:bidi="en-US"/>
        </w:rPr>
        <w:t xml:space="preserve"> (</w:t>
      </w:r>
      <w:r w:rsidR="00435CBC" w:rsidRPr="00947564">
        <w:rPr>
          <w:i/>
          <w:sz w:val="20"/>
          <w:lang w:bidi="en-US"/>
        </w:rPr>
        <w:t>Performance Status</w:t>
      </w:r>
      <w:r w:rsidR="00435CBC">
        <w:rPr>
          <w:sz w:val="20"/>
          <w:lang w:bidi="en-US"/>
        </w:rPr>
        <w:t xml:space="preserve"> ECOG 0 ou 1)</w:t>
      </w:r>
      <w:r w:rsidRPr="00AD7152">
        <w:rPr>
          <w:sz w:val="20"/>
          <w:lang w:bidi="en-US"/>
        </w:rPr>
        <w:t xml:space="preserve">. </w:t>
      </w:r>
      <w:r w:rsidR="007E0727" w:rsidRPr="00AD7152">
        <w:rPr>
          <w:sz w:val="20"/>
          <w:lang w:bidi="en-US"/>
        </w:rPr>
        <w:t>No entanto, dois dos doentes aleatorizados descontinuaram o estudo antes de receberem qualquer tratamento do estudo.</w:t>
      </w:r>
    </w:p>
    <w:p w14:paraId="123A70B0" w14:textId="77777777" w:rsidR="00452D98" w:rsidRPr="00AD7152" w:rsidRDefault="00452D98" w:rsidP="00AD7152">
      <w:pPr>
        <w:rPr>
          <w:sz w:val="20"/>
        </w:rPr>
      </w:pPr>
      <w:r w:rsidRPr="00AD7152">
        <w:rPr>
          <w:sz w:val="20"/>
        </w:rPr>
        <w:t xml:space="preserve">^ </w:t>
      </w:r>
      <w:r w:rsidR="001B6ECB" w:rsidRPr="00AD7152">
        <w:rPr>
          <w:sz w:val="20"/>
        </w:rPr>
        <w:t>Revisão cega independente</w:t>
      </w:r>
      <w:r w:rsidRPr="00AD7152">
        <w:rPr>
          <w:sz w:val="20"/>
        </w:rPr>
        <w:t xml:space="preserve"> (</w:t>
      </w:r>
      <w:r w:rsidR="001B6ECB" w:rsidRPr="00AD7152">
        <w:rPr>
          <w:sz w:val="20"/>
        </w:rPr>
        <w:t>análise primária definida no protocolo</w:t>
      </w:r>
      <w:r w:rsidRPr="00AD7152">
        <w:rPr>
          <w:sz w:val="20"/>
        </w:rPr>
        <w:t>)</w:t>
      </w:r>
    </w:p>
    <w:p w14:paraId="6701CDE7" w14:textId="77777777" w:rsidR="00824C6B" w:rsidRDefault="00824C6B" w:rsidP="00435CBC">
      <w:pPr>
        <w:ind w:left="142" w:hanging="142"/>
        <w:rPr>
          <w:sz w:val="20"/>
        </w:rPr>
      </w:pPr>
      <w:r>
        <w:rPr>
          <w:sz w:val="20"/>
        </w:rPr>
        <w:t>* Análise exploratória:</w:t>
      </w:r>
      <w:r w:rsidRPr="00824C6B">
        <w:rPr>
          <w:sz w:val="20"/>
        </w:rPr>
        <w:t xml:space="preserve"> análise </w:t>
      </w:r>
      <w:r>
        <w:rPr>
          <w:sz w:val="20"/>
        </w:rPr>
        <w:t xml:space="preserve">final </w:t>
      </w:r>
      <w:r w:rsidRPr="00824C6B">
        <w:rPr>
          <w:sz w:val="20"/>
        </w:rPr>
        <w:t xml:space="preserve">da OS na data de </w:t>
      </w:r>
      <w:r w:rsidRPr="00FD1111">
        <w:rPr>
          <w:i/>
          <w:sz w:val="20"/>
        </w:rPr>
        <w:t>cut-off</w:t>
      </w:r>
      <w:r w:rsidRPr="00824C6B">
        <w:rPr>
          <w:sz w:val="20"/>
        </w:rPr>
        <w:t xml:space="preserve"> clínico de </w:t>
      </w:r>
      <w:r>
        <w:rPr>
          <w:sz w:val="20"/>
        </w:rPr>
        <w:t>31</w:t>
      </w:r>
      <w:r w:rsidRPr="00824C6B">
        <w:rPr>
          <w:sz w:val="20"/>
        </w:rPr>
        <w:t xml:space="preserve"> de outubro de 201</w:t>
      </w:r>
      <w:r>
        <w:rPr>
          <w:sz w:val="20"/>
        </w:rPr>
        <w:t>7</w:t>
      </w:r>
      <w:r w:rsidRPr="00824C6B">
        <w:rPr>
          <w:sz w:val="20"/>
        </w:rPr>
        <w:t xml:space="preserve">, aprox. </w:t>
      </w:r>
      <w:r>
        <w:rPr>
          <w:sz w:val="20"/>
        </w:rPr>
        <w:t>59</w:t>
      </w:r>
      <w:r w:rsidRPr="00824C6B">
        <w:rPr>
          <w:sz w:val="20"/>
        </w:rPr>
        <w:t xml:space="preserve">% dos doentes tinham morrido </w:t>
      </w:r>
    </w:p>
    <w:p w14:paraId="4B44F913" w14:textId="77777777" w:rsidR="001D2618" w:rsidRPr="00AD7152" w:rsidRDefault="00435CBC" w:rsidP="00AD7152">
      <w:pPr>
        <w:rPr>
          <w:sz w:val="20"/>
        </w:rPr>
      </w:pPr>
      <w:r>
        <w:rPr>
          <w:sz w:val="20"/>
        </w:rPr>
        <w:t>I</w:t>
      </w:r>
      <w:r w:rsidR="00452D98" w:rsidRPr="00AD7152">
        <w:rPr>
          <w:sz w:val="20"/>
        </w:rPr>
        <w:t xml:space="preserve">C, </w:t>
      </w:r>
      <w:r w:rsidR="001B6ECB" w:rsidRPr="00AD7152">
        <w:rPr>
          <w:sz w:val="20"/>
        </w:rPr>
        <w:t>interval</w:t>
      </w:r>
      <w:r w:rsidR="00E22ACF" w:rsidRPr="00AD7152">
        <w:rPr>
          <w:sz w:val="20"/>
        </w:rPr>
        <w:t>o</w:t>
      </w:r>
      <w:r w:rsidR="001B6ECB" w:rsidRPr="00AD7152">
        <w:rPr>
          <w:sz w:val="20"/>
        </w:rPr>
        <w:t xml:space="preserve"> de confiança</w:t>
      </w:r>
      <w:r w:rsidR="00452D98" w:rsidRPr="00AD7152">
        <w:rPr>
          <w:sz w:val="20"/>
        </w:rPr>
        <w:t xml:space="preserve">; HR, </w:t>
      </w:r>
      <w:r w:rsidR="001B6ECB" w:rsidRPr="00AD7152">
        <w:rPr>
          <w:sz w:val="20"/>
        </w:rPr>
        <w:t>Taxa de risco da análise de regressão Cox não estratificada</w:t>
      </w:r>
      <w:r w:rsidR="00452D98" w:rsidRPr="00AD7152">
        <w:rPr>
          <w:sz w:val="20"/>
        </w:rPr>
        <w:t>; N</w:t>
      </w:r>
      <w:r>
        <w:rPr>
          <w:sz w:val="20"/>
        </w:rPr>
        <w:t>R</w:t>
      </w:r>
      <w:r w:rsidR="00452D98" w:rsidRPr="00AD7152">
        <w:rPr>
          <w:sz w:val="20"/>
        </w:rPr>
        <w:t xml:space="preserve">, </w:t>
      </w:r>
      <w:r w:rsidR="001B6ECB" w:rsidRPr="00AD7152">
        <w:rPr>
          <w:sz w:val="20"/>
        </w:rPr>
        <w:t>não alcançado.</w:t>
      </w:r>
    </w:p>
    <w:p w14:paraId="301425CB" w14:textId="77777777" w:rsidR="004A5C89" w:rsidRPr="00B5684D" w:rsidRDefault="004A5C89">
      <w:pPr>
        <w:keepNext/>
        <w:rPr>
          <w:i/>
          <w:u w:val="single"/>
        </w:rPr>
      </w:pPr>
    </w:p>
    <w:p w14:paraId="0FFAB910" w14:textId="77777777" w:rsidR="00400398" w:rsidRPr="000603E8" w:rsidRDefault="00400398">
      <w:pPr>
        <w:keepNext/>
        <w:rPr>
          <w:i/>
          <w:u w:val="single"/>
        </w:rPr>
      </w:pPr>
      <w:r w:rsidRPr="000603E8">
        <w:rPr>
          <w:i/>
          <w:u w:val="single"/>
        </w:rPr>
        <w:t>Cancro de células renais avançado e/ou metastizado (mRCC)</w:t>
      </w:r>
    </w:p>
    <w:p w14:paraId="209A45E6" w14:textId="77777777" w:rsidR="00400398" w:rsidRPr="007232E4" w:rsidRDefault="00400398">
      <w:pPr>
        <w:keepNext/>
        <w:outlineLvl w:val="0"/>
        <w:rPr>
          <w:b/>
        </w:rPr>
      </w:pPr>
    </w:p>
    <w:p w14:paraId="59784D0A" w14:textId="77777777" w:rsidR="00400398" w:rsidRPr="007232E4" w:rsidRDefault="002F7881">
      <w:pPr>
        <w:outlineLvl w:val="0"/>
        <w:rPr>
          <w:i/>
        </w:rPr>
      </w:pPr>
      <w:r>
        <w:rPr>
          <w:i/>
        </w:rPr>
        <w:t>O bevacizumab</w:t>
      </w:r>
      <w:r w:rsidRPr="007232E4">
        <w:rPr>
          <w:i/>
        </w:rPr>
        <w:t xml:space="preserve"> </w:t>
      </w:r>
      <w:r w:rsidR="00400398" w:rsidRPr="007232E4">
        <w:rPr>
          <w:i/>
        </w:rPr>
        <w:t xml:space="preserve">em associação com </w:t>
      </w:r>
      <w:r w:rsidR="00400398">
        <w:rPr>
          <w:i/>
        </w:rPr>
        <w:t>i</w:t>
      </w:r>
      <w:r w:rsidR="00400398" w:rsidRPr="007232E4">
        <w:rPr>
          <w:i/>
        </w:rPr>
        <w:t xml:space="preserve">nterferão alfa-2a no tratamento de primeira linha do cancro de células renais avançado e/ou metastizado </w:t>
      </w:r>
      <w:r w:rsidR="00400398" w:rsidRPr="007232E4">
        <w:rPr>
          <w:i/>
          <w:szCs w:val="22"/>
        </w:rPr>
        <w:t>(BO17705)</w:t>
      </w:r>
    </w:p>
    <w:p w14:paraId="77305338" w14:textId="77777777" w:rsidR="00400398" w:rsidRPr="007232E4" w:rsidRDefault="00400398">
      <w:pPr>
        <w:rPr>
          <w:b/>
          <w:szCs w:val="22"/>
        </w:rPr>
      </w:pPr>
    </w:p>
    <w:p w14:paraId="13F57C57" w14:textId="77777777" w:rsidR="00400398" w:rsidRPr="007232E4" w:rsidRDefault="00400398">
      <w:pPr>
        <w:rPr>
          <w:szCs w:val="22"/>
        </w:rPr>
      </w:pPr>
      <w:r w:rsidRPr="007232E4">
        <w:t xml:space="preserve">Este foi um ensaio de fase III, aleatorizado, com dupla ocultação, para avaliar a eficácia e a segurança de </w:t>
      </w:r>
      <w:r w:rsidR="002F7881">
        <w:t>bevacizumab</w:t>
      </w:r>
      <w:r w:rsidR="002F7881" w:rsidRPr="007232E4">
        <w:t xml:space="preserve"> </w:t>
      </w:r>
      <w:r w:rsidRPr="007232E4">
        <w:t xml:space="preserve">em associação com interferão (IFN) alfa-2a, </w:t>
      </w:r>
      <w:r w:rsidRPr="007232E4">
        <w:rPr>
          <w:i/>
        </w:rPr>
        <w:t>versus</w:t>
      </w:r>
      <w:r w:rsidRPr="007232E4">
        <w:t xml:space="preserve"> IFN alfa-2a em monoterapia, no tratamento de primeira linha do cancro de células renais avançado e/ou metastizado. Os 649 doentes aleatorizados (641 tratados) apresentavam um </w:t>
      </w:r>
      <w:r w:rsidRPr="007232E4">
        <w:rPr>
          <w:i/>
          <w:szCs w:val="22"/>
        </w:rPr>
        <w:t xml:space="preserve">Karnofsky Performance Status </w:t>
      </w:r>
      <w:r w:rsidRPr="007232E4">
        <w:rPr>
          <w:szCs w:val="22"/>
        </w:rPr>
        <w:t xml:space="preserve">(KPS) ≥70%, não tinham metástases no SNC nem alterações funcionais dos órgãos. Os doentes foram nefrectomizados para carcinoma primário de células renais. Foi administrado </w:t>
      </w:r>
      <w:r w:rsidR="002F7881">
        <w:rPr>
          <w:szCs w:val="22"/>
        </w:rPr>
        <w:t>bevacizumab</w:t>
      </w:r>
      <w:r w:rsidR="002F7881" w:rsidRPr="007232E4">
        <w:rPr>
          <w:szCs w:val="22"/>
        </w:rPr>
        <w:t xml:space="preserve"> </w:t>
      </w:r>
      <w:r w:rsidRPr="007232E4">
        <w:rPr>
          <w:szCs w:val="22"/>
        </w:rPr>
        <w:t>10 mg/</w:t>
      </w:r>
      <w:r w:rsidR="009E7BE5">
        <w:rPr>
          <w:szCs w:val="22"/>
        </w:rPr>
        <w:t>k</w:t>
      </w:r>
      <w:r w:rsidRPr="007232E4">
        <w:rPr>
          <w:szCs w:val="22"/>
        </w:rPr>
        <w:t>g a cada 2 semanas até à progressão de doença. O INF alfa-2a foi administrado até às 52</w:t>
      </w:r>
      <w:r w:rsidR="00880E7B">
        <w:rPr>
          <w:szCs w:val="22"/>
        </w:rPr>
        <w:t> </w:t>
      </w:r>
      <w:r w:rsidRPr="007232E4">
        <w:rPr>
          <w:szCs w:val="22"/>
        </w:rPr>
        <w:t xml:space="preserve">semanas ou até à progressão de doença, numa dose inicial recomendada de 9 MUI, três vezes por semana, sendo permitida a redução de dose, em duas etapas, para 3 MUI três vezes por semana. Os doentes foram estratificados de acordo com o país e a pontuação Motzer, e os braços de tratamento demonstraram estar bem equilibrados em relação aos fatores de prognóstico. </w:t>
      </w:r>
    </w:p>
    <w:p w14:paraId="4BAFC5C9" w14:textId="77777777" w:rsidR="00400398" w:rsidRPr="007232E4" w:rsidRDefault="00400398">
      <w:pPr>
        <w:rPr>
          <w:szCs w:val="22"/>
        </w:rPr>
      </w:pPr>
    </w:p>
    <w:p w14:paraId="314381FE" w14:textId="77777777" w:rsidR="00400398" w:rsidRPr="007232E4" w:rsidRDefault="00400398">
      <w:pPr>
        <w:rPr>
          <w:rFonts w:eastAsia="PMingLiU" w:cs="Arial"/>
          <w:szCs w:val="22"/>
          <w:lang w:eastAsia="zh-CN" w:bidi="th-TH"/>
        </w:rPr>
      </w:pPr>
      <w:r w:rsidRPr="007232E4">
        <w:rPr>
          <w:rFonts w:eastAsia="PMingLiU" w:cs="Arial"/>
          <w:szCs w:val="22"/>
          <w:lang w:eastAsia="zh-CN" w:bidi="th-TH"/>
        </w:rPr>
        <w:t xml:space="preserve">O objetivo primário foi a </w:t>
      </w:r>
      <w:r w:rsidR="003F3D13">
        <w:rPr>
          <w:rFonts w:eastAsia="PMingLiU" w:cs="Arial"/>
          <w:szCs w:val="22"/>
          <w:lang w:eastAsia="zh-CN" w:bidi="th-TH"/>
        </w:rPr>
        <w:t>OS</w:t>
      </w:r>
      <w:r w:rsidRPr="007232E4">
        <w:rPr>
          <w:rFonts w:eastAsia="PMingLiU" w:cs="Arial"/>
          <w:szCs w:val="22"/>
          <w:lang w:eastAsia="zh-CN" w:bidi="th-TH"/>
        </w:rPr>
        <w:t xml:space="preserve"> e os objetivos secundários do </w:t>
      </w:r>
      <w:r w:rsidRPr="007232E4">
        <w:t>ensaio</w:t>
      </w:r>
      <w:r w:rsidRPr="007232E4">
        <w:rPr>
          <w:rFonts w:eastAsia="PMingLiU" w:cs="Arial"/>
          <w:szCs w:val="22"/>
          <w:lang w:eastAsia="zh-CN" w:bidi="th-TH"/>
        </w:rPr>
        <w:t xml:space="preserve"> incluíram a </w:t>
      </w:r>
      <w:r w:rsidR="003F3D13">
        <w:rPr>
          <w:rFonts w:eastAsia="PMingLiU" w:cs="Arial"/>
          <w:szCs w:val="22"/>
          <w:lang w:eastAsia="zh-CN" w:bidi="th-TH"/>
        </w:rPr>
        <w:t>PFS</w:t>
      </w:r>
      <w:r w:rsidRPr="007232E4">
        <w:rPr>
          <w:rFonts w:eastAsia="PMingLiU" w:cs="Arial"/>
          <w:szCs w:val="22"/>
          <w:lang w:eastAsia="zh-CN" w:bidi="th-TH"/>
        </w:rPr>
        <w:t xml:space="preserve">. A adição de </w:t>
      </w:r>
      <w:r w:rsidR="002F7881">
        <w:rPr>
          <w:rFonts w:eastAsia="PMingLiU" w:cs="Arial"/>
          <w:szCs w:val="22"/>
          <w:lang w:eastAsia="zh-CN" w:bidi="th-TH"/>
        </w:rPr>
        <w:t>bevacizumab</w:t>
      </w:r>
      <w:r w:rsidR="002F7881" w:rsidRPr="007232E4">
        <w:rPr>
          <w:rFonts w:eastAsia="PMingLiU" w:cs="Arial"/>
          <w:szCs w:val="22"/>
          <w:lang w:eastAsia="zh-CN" w:bidi="th-TH"/>
        </w:rPr>
        <w:t xml:space="preserve"> </w:t>
      </w:r>
      <w:r w:rsidRPr="007232E4">
        <w:rPr>
          <w:rFonts w:eastAsia="PMingLiU" w:cs="Arial"/>
          <w:szCs w:val="22"/>
          <w:lang w:eastAsia="zh-CN" w:bidi="th-TH"/>
        </w:rPr>
        <w:t xml:space="preserve">a </w:t>
      </w:r>
      <w:r w:rsidRPr="007232E4">
        <w:rPr>
          <w:szCs w:val="22"/>
        </w:rPr>
        <w:t xml:space="preserve">INF alfa-2a aumentou significativamente a PFS e a taxa de resposta objetiva do tumor. Estes resultados foram confirmados através de uma revisão radiológica independente. No entanto, o aumento de 2 meses do objetivo primário </w:t>
      </w:r>
      <w:r w:rsidR="003F3D13">
        <w:rPr>
          <w:szCs w:val="22"/>
        </w:rPr>
        <w:t>OS</w:t>
      </w:r>
      <w:r w:rsidRPr="007232E4">
        <w:rPr>
          <w:szCs w:val="22"/>
        </w:rPr>
        <w:t xml:space="preserve"> não foi significativo </w:t>
      </w:r>
      <w:r w:rsidRPr="007232E4">
        <w:rPr>
          <w:rFonts w:eastAsia="PMingLiU" w:cs="Arial"/>
          <w:szCs w:val="22"/>
          <w:lang w:eastAsia="zh-CN" w:bidi="th-TH"/>
        </w:rPr>
        <w:t xml:space="preserve">(HR = 0,91). Após o </w:t>
      </w:r>
      <w:r w:rsidRPr="007232E4">
        <w:t>ensaio</w:t>
      </w:r>
      <w:r w:rsidRPr="007232E4">
        <w:rPr>
          <w:rFonts w:eastAsia="PMingLiU" w:cs="Arial"/>
          <w:szCs w:val="22"/>
          <w:lang w:eastAsia="zh-CN" w:bidi="th-TH"/>
        </w:rPr>
        <w:t xml:space="preserve"> uma elevada proporção de doentes (aproximadamente 63% IFN/placebo; 55% </w:t>
      </w:r>
      <w:r w:rsidR="002F7881">
        <w:rPr>
          <w:rFonts w:eastAsia="PMingLiU" w:cs="Arial"/>
          <w:szCs w:val="22"/>
          <w:lang w:eastAsia="zh-CN" w:bidi="th-TH"/>
        </w:rPr>
        <w:t>bevacizumab</w:t>
      </w:r>
      <w:r w:rsidRPr="007232E4">
        <w:rPr>
          <w:rFonts w:eastAsia="PMingLiU" w:cs="Arial"/>
          <w:szCs w:val="22"/>
          <w:lang w:eastAsia="zh-CN" w:bidi="th-TH"/>
        </w:rPr>
        <w:t xml:space="preserve">/IFN) recebeu uma variedade de terapêuticas anticancerígenas não específicas, incluindo agentes antineoplásicos, o que pode ter tido impacto na análise da </w:t>
      </w:r>
      <w:r w:rsidR="003F3D13">
        <w:rPr>
          <w:rFonts w:eastAsia="PMingLiU" w:cs="Arial"/>
          <w:szCs w:val="22"/>
          <w:lang w:eastAsia="zh-CN" w:bidi="th-TH"/>
        </w:rPr>
        <w:t>OS</w:t>
      </w:r>
      <w:r w:rsidRPr="007232E4">
        <w:rPr>
          <w:rFonts w:eastAsia="PMingLiU" w:cs="Arial"/>
          <w:szCs w:val="22"/>
          <w:lang w:eastAsia="zh-CN" w:bidi="th-TH"/>
        </w:rPr>
        <w:t xml:space="preserve">. </w:t>
      </w:r>
    </w:p>
    <w:p w14:paraId="05DEBC2D" w14:textId="77777777" w:rsidR="00400398" w:rsidRPr="007232E4" w:rsidRDefault="00400398">
      <w:pPr>
        <w:rPr>
          <w:rFonts w:eastAsia="PMingLiU" w:cs="Arial"/>
          <w:lang w:eastAsia="zh-CN" w:bidi="th-TH"/>
        </w:rPr>
      </w:pPr>
    </w:p>
    <w:p w14:paraId="4CE5C817" w14:textId="77777777" w:rsidR="00400398" w:rsidRPr="007232E4" w:rsidRDefault="00400398">
      <w:pPr>
        <w:outlineLvl w:val="0"/>
        <w:rPr>
          <w:szCs w:val="22"/>
        </w:rPr>
      </w:pPr>
      <w:r w:rsidRPr="007232E4">
        <w:rPr>
          <w:szCs w:val="22"/>
        </w:rPr>
        <w:t>Os resultados de eficácia são apresentados na Tabela </w:t>
      </w:r>
      <w:r w:rsidR="00835CCD" w:rsidRPr="007232E4">
        <w:rPr>
          <w:szCs w:val="22"/>
        </w:rPr>
        <w:t>1</w:t>
      </w:r>
      <w:r w:rsidR="00835CCD">
        <w:rPr>
          <w:szCs w:val="22"/>
        </w:rPr>
        <w:t>5</w:t>
      </w:r>
      <w:r w:rsidRPr="007232E4">
        <w:rPr>
          <w:szCs w:val="22"/>
        </w:rPr>
        <w:t>.</w:t>
      </w:r>
    </w:p>
    <w:p w14:paraId="2639E79C" w14:textId="77777777" w:rsidR="00400398" w:rsidRPr="007232E4" w:rsidRDefault="00400398">
      <w:pPr>
        <w:outlineLvl w:val="0"/>
        <w:rPr>
          <w:b/>
        </w:rPr>
      </w:pPr>
    </w:p>
    <w:p w14:paraId="16770991" w14:textId="77777777" w:rsidR="00400398" w:rsidRPr="007232E4" w:rsidRDefault="00400398" w:rsidP="001E05C2">
      <w:pPr>
        <w:keepNext/>
        <w:keepLines/>
        <w:ind w:left="1560" w:hanging="1560"/>
        <w:outlineLvl w:val="0"/>
        <w:rPr>
          <w:b/>
        </w:rPr>
      </w:pPr>
      <w:r w:rsidRPr="007232E4">
        <w:rPr>
          <w:b/>
        </w:rPr>
        <w:lastRenderedPageBreak/>
        <w:t>Tabela </w:t>
      </w:r>
      <w:r w:rsidR="00835CCD" w:rsidRPr="007232E4">
        <w:rPr>
          <w:b/>
        </w:rPr>
        <w:t>1</w:t>
      </w:r>
      <w:r w:rsidR="00835CCD">
        <w:rPr>
          <w:b/>
        </w:rPr>
        <w:t>5</w:t>
      </w:r>
      <w:r w:rsidRPr="007232E4">
        <w:rPr>
          <w:b/>
        </w:rPr>
        <w:tab/>
        <w:t>Resultados de eficácia do ensaio BO17705</w:t>
      </w:r>
    </w:p>
    <w:tbl>
      <w:tblPr>
        <w:tblW w:w="5000" w:type="pct"/>
        <w:tblBorders>
          <w:top w:val="single" w:sz="6" w:space="0" w:color="000000"/>
          <w:bottom w:val="single" w:sz="6" w:space="0" w:color="000000"/>
          <w:insideV w:val="single" w:sz="6" w:space="0" w:color="000000"/>
        </w:tblBorders>
        <w:tblCellMar>
          <w:left w:w="70" w:type="dxa"/>
          <w:right w:w="70" w:type="dxa"/>
        </w:tblCellMar>
        <w:tblLook w:val="0000" w:firstRow="0" w:lastRow="0" w:firstColumn="0" w:lastColumn="0" w:noHBand="0" w:noVBand="0"/>
      </w:tblPr>
      <w:tblGrid>
        <w:gridCol w:w="4237"/>
        <w:gridCol w:w="2118"/>
        <w:gridCol w:w="2706"/>
      </w:tblGrid>
      <w:tr w:rsidR="00400398" w:rsidRPr="00215594" w14:paraId="1C977388" w14:textId="77777777">
        <w:trPr>
          <w:cantSplit/>
          <w:tblHeader/>
        </w:trPr>
        <w:tc>
          <w:tcPr>
            <w:tcW w:w="2338" w:type="pct"/>
            <w:vMerge w:val="restart"/>
            <w:tcBorders>
              <w:top w:val="single" w:sz="4" w:space="0" w:color="auto"/>
              <w:left w:val="single" w:sz="4" w:space="0" w:color="auto"/>
            </w:tcBorders>
          </w:tcPr>
          <w:p w14:paraId="6FB6B47F" w14:textId="77777777" w:rsidR="00400398" w:rsidRPr="00215594" w:rsidRDefault="00400398" w:rsidP="001E05C2">
            <w:pPr>
              <w:pStyle w:val="TextTi10"/>
              <w:keepNext/>
              <w:jc w:val="center"/>
              <w:rPr>
                <w:sz w:val="22"/>
                <w:szCs w:val="22"/>
              </w:rPr>
            </w:pPr>
          </w:p>
        </w:tc>
        <w:tc>
          <w:tcPr>
            <w:tcW w:w="2662" w:type="pct"/>
            <w:gridSpan w:val="2"/>
            <w:tcBorders>
              <w:top w:val="single" w:sz="4" w:space="0" w:color="auto"/>
              <w:bottom w:val="single" w:sz="6" w:space="0" w:color="000000"/>
              <w:right w:val="single" w:sz="4" w:space="0" w:color="auto"/>
            </w:tcBorders>
          </w:tcPr>
          <w:p w14:paraId="4F376E83" w14:textId="77777777" w:rsidR="00400398" w:rsidRPr="001E05C2" w:rsidRDefault="00400398">
            <w:pPr>
              <w:pStyle w:val="TextTi10"/>
              <w:jc w:val="center"/>
              <w:rPr>
                <w:b/>
                <w:sz w:val="22"/>
                <w:szCs w:val="22"/>
              </w:rPr>
            </w:pPr>
            <w:r w:rsidRPr="001E05C2">
              <w:rPr>
                <w:b/>
                <w:sz w:val="22"/>
                <w:szCs w:val="22"/>
              </w:rPr>
              <w:t>BO17705</w:t>
            </w:r>
          </w:p>
        </w:tc>
      </w:tr>
      <w:tr w:rsidR="00400398" w:rsidRPr="00215594" w14:paraId="00C43A69" w14:textId="77777777">
        <w:trPr>
          <w:cantSplit/>
          <w:tblHeader/>
        </w:trPr>
        <w:tc>
          <w:tcPr>
            <w:tcW w:w="2338" w:type="pct"/>
            <w:vMerge/>
            <w:tcBorders>
              <w:left w:val="single" w:sz="4" w:space="0" w:color="auto"/>
              <w:bottom w:val="single" w:sz="6" w:space="0" w:color="000000"/>
            </w:tcBorders>
          </w:tcPr>
          <w:p w14:paraId="7937D702" w14:textId="77777777" w:rsidR="00400398" w:rsidRPr="00215594" w:rsidRDefault="00400398">
            <w:pPr>
              <w:pStyle w:val="TextTi10"/>
              <w:jc w:val="center"/>
              <w:rPr>
                <w:sz w:val="22"/>
                <w:szCs w:val="22"/>
              </w:rPr>
            </w:pPr>
          </w:p>
        </w:tc>
        <w:tc>
          <w:tcPr>
            <w:tcW w:w="1169" w:type="pct"/>
            <w:tcBorders>
              <w:top w:val="single" w:sz="6" w:space="0" w:color="000000"/>
              <w:bottom w:val="single" w:sz="6" w:space="0" w:color="000000"/>
              <w:right w:val="nil"/>
            </w:tcBorders>
          </w:tcPr>
          <w:p w14:paraId="6E40672D" w14:textId="77777777" w:rsidR="00400398" w:rsidRPr="001E05C2" w:rsidRDefault="00400398">
            <w:pPr>
              <w:pStyle w:val="TextTi10"/>
              <w:jc w:val="center"/>
              <w:rPr>
                <w:b/>
                <w:sz w:val="22"/>
                <w:szCs w:val="22"/>
              </w:rPr>
            </w:pPr>
          </w:p>
          <w:p w14:paraId="37C32880" w14:textId="77777777" w:rsidR="00400398" w:rsidRPr="001E05C2" w:rsidRDefault="00400398">
            <w:pPr>
              <w:pStyle w:val="TextTi10"/>
              <w:jc w:val="center"/>
              <w:rPr>
                <w:b/>
                <w:sz w:val="22"/>
                <w:szCs w:val="22"/>
              </w:rPr>
            </w:pPr>
            <w:r w:rsidRPr="001E05C2">
              <w:rPr>
                <w:b/>
                <w:sz w:val="22"/>
                <w:szCs w:val="22"/>
              </w:rPr>
              <w:t>Placebo + IFN</w:t>
            </w:r>
            <w:r w:rsidRPr="001E05C2">
              <w:rPr>
                <w:b/>
                <w:sz w:val="22"/>
                <w:szCs w:val="22"/>
                <w:vertAlign w:val="superscript"/>
              </w:rPr>
              <w:t>a</w:t>
            </w:r>
          </w:p>
        </w:tc>
        <w:tc>
          <w:tcPr>
            <w:tcW w:w="1494" w:type="pct"/>
            <w:tcBorders>
              <w:top w:val="single" w:sz="6" w:space="0" w:color="000000"/>
              <w:left w:val="nil"/>
              <w:bottom w:val="single" w:sz="6" w:space="0" w:color="000000"/>
              <w:right w:val="single" w:sz="4" w:space="0" w:color="auto"/>
            </w:tcBorders>
          </w:tcPr>
          <w:p w14:paraId="54F599C7" w14:textId="77777777" w:rsidR="00400398" w:rsidRPr="001E05C2" w:rsidRDefault="00400398">
            <w:pPr>
              <w:pStyle w:val="TextTi10"/>
              <w:jc w:val="center"/>
              <w:rPr>
                <w:b/>
                <w:sz w:val="22"/>
                <w:szCs w:val="22"/>
              </w:rPr>
            </w:pPr>
          </w:p>
          <w:p w14:paraId="6D195AFB" w14:textId="77777777" w:rsidR="00400398" w:rsidRPr="001E05C2" w:rsidRDefault="00400398">
            <w:pPr>
              <w:pStyle w:val="TextTi10"/>
              <w:jc w:val="center"/>
              <w:rPr>
                <w:b/>
                <w:sz w:val="22"/>
                <w:szCs w:val="22"/>
              </w:rPr>
            </w:pPr>
            <w:r w:rsidRPr="001E05C2">
              <w:rPr>
                <w:b/>
                <w:sz w:val="22"/>
                <w:szCs w:val="22"/>
              </w:rPr>
              <w:t>B</w:t>
            </w:r>
            <w:r w:rsidR="003F3D13">
              <w:rPr>
                <w:b/>
                <w:sz w:val="22"/>
                <w:szCs w:val="22"/>
              </w:rPr>
              <w:t>V</w:t>
            </w:r>
            <w:r w:rsidRPr="001E05C2">
              <w:rPr>
                <w:b/>
                <w:sz w:val="22"/>
                <w:szCs w:val="22"/>
                <w:vertAlign w:val="superscript"/>
              </w:rPr>
              <w:t>b</w:t>
            </w:r>
            <w:r w:rsidRPr="001E05C2">
              <w:rPr>
                <w:b/>
                <w:sz w:val="22"/>
                <w:szCs w:val="22"/>
              </w:rPr>
              <w:t xml:space="preserve"> + IFN</w:t>
            </w:r>
            <w:r w:rsidRPr="001E05C2">
              <w:rPr>
                <w:b/>
                <w:sz w:val="22"/>
                <w:szCs w:val="22"/>
                <w:vertAlign w:val="superscript"/>
              </w:rPr>
              <w:t>a</w:t>
            </w:r>
          </w:p>
        </w:tc>
      </w:tr>
      <w:tr w:rsidR="00400398" w:rsidRPr="00215594" w14:paraId="6783D996" w14:textId="77777777">
        <w:trPr>
          <w:tblHeader/>
        </w:trPr>
        <w:tc>
          <w:tcPr>
            <w:tcW w:w="2338" w:type="pct"/>
            <w:tcBorders>
              <w:top w:val="single" w:sz="6" w:space="0" w:color="000000"/>
              <w:left w:val="single" w:sz="4" w:space="0" w:color="auto"/>
              <w:bottom w:val="single" w:sz="6" w:space="0" w:color="000000"/>
            </w:tcBorders>
          </w:tcPr>
          <w:p w14:paraId="03017EED" w14:textId="77777777" w:rsidR="00400398" w:rsidRPr="00215594" w:rsidRDefault="00400398">
            <w:pPr>
              <w:pStyle w:val="TextTi10"/>
              <w:spacing w:before="40" w:after="40"/>
              <w:rPr>
                <w:sz w:val="22"/>
                <w:szCs w:val="22"/>
              </w:rPr>
            </w:pPr>
            <w:r w:rsidRPr="00215594">
              <w:rPr>
                <w:sz w:val="22"/>
                <w:szCs w:val="22"/>
              </w:rPr>
              <w:t>Número de doentes</w:t>
            </w:r>
          </w:p>
        </w:tc>
        <w:tc>
          <w:tcPr>
            <w:tcW w:w="1169" w:type="pct"/>
            <w:tcBorders>
              <w:top w:val="single" w:sz="6" w:space="0" w:color="000000"/>
              <w:bottom w:val="single" w:sz="4" w:space="0" w:color="auto"/>
              <w:right w:val="nil"/>
            </w:tcBorders>
          </w:tcPr>
          <w:p w14:paraId="6B6F0717" w14:textId="77777777" w:rsidR="00400398" w:rsidRPr="00215594" w:rsidRDefault="00400398">
            <w:pPr>
              <w:pStyle w:val="TextTi10"/>
              <w:spacing w:before="40" w:after="40"/>
              <w:jc w:val="center"/>
              <w:rPr>
                <w:sz w:val="22"/>
                <w:szCs w:val="22"/>
              </w:rPr>
            </w:pPr>
            <w:r w:rsidRPr="00215594">
              <w:rPr>
                <w:sz w:val="22"/>
                <w:szCs w:val="22"/>
              </w:rPr>
              <w:t>322</w:t>
            </w:r>
          </w:p>
        </w:tc>
        <w:tc>
          <w:tcPr>
            <w:tcW w:w="1494" w:type="pct"/>
            <w:tcBorders>
              <w:top w:val="single" w:sz="6" w:space="0" w:color="000000"/>
              <w:left w:val="nil"/>
              <w:bottom w:val="single" w:sz="4" w:space="0" w:color="auto"/>
              <w:right w:val="single" w:sz="4" w:space="0" w:color="auto"/>
            </w:tcBorders>
          </w:tcPr>
          <w:p w14:paraId="1D6FDD27" w14:textId="77777777" w:rsidR="00400398" w:rsidRPr="00215594" w:rsidRDefault="00400398">
            <w:pPr>
              <w:pStyle w:val="TextTi10"/>
              <w:spacing w:before="40" w:after="40"/>
              <w:jc w:val="center"/>
              <w:rPr>
                <w:sz w:val="22"/>
                <w:szCs w:val="22"/>
              </w:rPr>
            </w:pPr>
            <w:r w:rsidRPr="00215594">
              <w:rPr>
                <w:sz w:val="22"/>
                <w:szCs w:val="22"/>
              </w:rPr>
              <w:t>327</w:t>
            </w:r>
          </w:p>
        </w:tc>
      </w:tr>
      <w:tr w:rsidR="00400398" w:rsidRPr="00215594" w14:paraId="421AD2C2" w14:textId="77777777">
        <w:tc>
          <w:tcPr>
            <w:tcW w:w="2338" w:type="pct"/>
            <w:tcBorders>
              <w:top w:val="single" w:sz="6" w:space="0" w:color="000000"/>
              <w:left w:val="single" w:sz="4" w:space="0" w:color="auto"/>
              <w:bottom w:val="nil"/>
              <w:right w:val="single" w:sz="4" w:space="0" w:color="auto"/>
            </w:tcBorders>
          </w:tcPr>
          <w:p w14:paraId="483F4714" w14:textId="77777777" w:rsidR="00400398" w:rsidRPr="00215594" w:rsidRDefault="00400398">
            <w:pPr>
              <w:spacing w:line="360" w:lineRule="auto"/>
              <w:rPr>
                <w:szCs w:val="22"/>
              </w:rPr>
            </w:pPr>
            <w:r w:rsidRPr="00215594">
              <w:rPr>
                <w:szCs w:val="22"/>
              </w:rPr>
              <w:t>Sobrevivência livre de progressão</w:t>
            </w:r>
          </w:p>
        </w:tc>
        <w:tc>
          <w:tcPr>
            <w:tcW w:w="1169" w:type="pct"/>
            <w:tcBorders>
              <w:top w:val="single" w:sz="4" w:space="0" w:color="auto"/>
              <w:left w:val="single" w:sz="4" w:space="0" w:color="auto"/>
              <w:bottom w:val="nil"/>
              <w:right w:val="nil"/>
            </w:tcBorders>
          </w:tcPr>
          <w:p w14:paraId="3E96A035" w14:textId="77777777" w:rsidR="00400398" w:rsidRPr="00215594" w:rsidRDefault="00400398">
            <w:pPr>
              <w:pStyle w:val="TextTi10"/>
              <w:spacing w:line="360" w:lineRule="auto"/>
              <w:jc w:val="center"/>
              <w:rPr>
                <w:sz w:val="22"/>
                <w:szCs w:val="22"/>
              </w:rPr>
            </w:pPr>
          </w:p>
        </w:tc>
        <w:tc>
          <w:tcPr>
            <w:tcW w:w="1494" w:type="pct"/>
            <w:tcBorders>
              <w:top w:val="single" w:sz="4" w:space="0" w:color="auto"/>
              <w:left w:val="nil"/>
              <w:bottom w:val="nil"/>
              <w:right w:val="single" w:sz="4" w:space="0" w:color="auto"/>
            </w:tcBorders>
          </w:tcPr>
          <w:p w14:paraId="338CF835" w14:textId="77777777" w:rsidR="00400398" w:rsidRPr="00215594" w:rsidRDefault="00400398">
            <w:pPr>
              <w:pStyle w:val="TextTi10"/>
              <w:spacing w:line="360" w:lineRule="auto"/>
              <w:jc w:val="center"/>
              <w:rPr>
                <w:sz w:val="22"/>
                <w:szCs w:val="22"/>
              </w:rPr>
            </w:pPr>
          </w:p>
        </w:tc>
      </w:tr>
      <w:tr w:rsidR="00400398" w:rsidRPr="00215594" w14:paraId="73AEF6D9" w14:textId="77777777">
        <w:tc>
          <w:tcPr>
            <w:tcW w:w="2338" w:type="pct"/>
            <w:tcBorders>
              <w:top w:val="nil"/>
              <w:left w:val="single" w:sz="4" w:space="0" w:color="auto"/>
              <w:bottom w:val="nil"/>
              <w:right w:val="single" w:sz="4" w:space="0" w:color="auto"/>
            </w:tcBorders>
          </w:tcPr>
          <w:p w14:paraId="1A143D96" w14:textId="77777777" w:rsidR="00400398" w:rsidRPr="00215594" w:rsidRDefault="00400398">
            <w:pPr>
              <w:spacing w:line="360" w:lineRule="auto"/>
              <w:ind w:left="290"/>
              <w:rPr>
                <w:szCs w:val="22"/>
                <w:lang w:eastAsia="da-DK"/>
              </w:rPr>
            </w:pPr>
            <w:r w:rsidRPr="00215594">
              <w:rPr>
                <w:szCs w:val="22"/>
              </w:rPr>
              <w:t>Mediana (meses)</w:t>
            </w:r>
          </w:p>
        </w:tc>
        <w:tc>
          <w:tcPr>
            <w:tcW w:w="1169" w:type="pct"/>
            <w:tcBorders>
              <w:top w:val="nil"/>
              <w:left w:val="single" w:sz="4" w:space="0" w:color="auto"/>
              <w:bottom w:val="nil"/>
              <w:right w:val="nil"/>
            </w:tcBorders>
          </w:tcPr>
          <w:p w14:paraId="158B668E" w14:textId="77777777" w:rsidR="00400398" w:rsidRPr="00215594" w:rsidRDefault="00400398">
            <w:pPr>
              <w:pStyle w:val="TextTi10"/>
              <w:spacing w:line="360" w:lineRule="auto"/>
              <w:jc w:val="center"/>
              <w:rPr>
                <w:sz w:val="22"/>
                <w:szCs w:val="22"/>
              </w:rPr>
            </w:pPr>
            <w:r w:rsidRPr="00215594">
              <w:rPr>
                <w:sz w:val="22"/>
                <w:szCs w:val="22"/>
              </w:rPr>
              <w:t>5,4</w:t>
            </w:r>
          </w:p>
        </w:tc>
        <w:tc>
          <w:tcPr>
            <w:tcW w:w="1494" w:type="pct"/>
            <w:tcBorders>
              <w:top w:val="nil"/>
              <w:left w:val="nil"/>
              <w:bottom w:val="nil"/>
              <w:right w:val="single" w:sz="4" w:space="0" w:color="auto"/>
            </w:tcBorders>
          </w:tcPr>
          <w:p w14:paraId="1FEA1EDE" w14:textId="77777777" w:rsidR="00400398" w:rsidRPr="00215594" w:rsidRDefault="00400398">
            <w:pPr>
              <w:pStyle w:val="TextTi10"/>
              <w:spacing w:line="360" w:lineRule="auto"/>
              <w:jc w:val="center"/>
              <w:rPr>
                <w:sz w:val="22"/>
                <w:szCs w:val="22"/>
              </w:rPr>
            </w:pPr>
            <w:r w:rsidRPr="00215594">
              <w:rPr>
                <w:sz w:val="22"/>
                <w:szCs w:val="22"/>
              </w:rPr>
              <w:t>10,2</w:t>
            </w:r>
          </w:p>
        </w:tc>
      </w:tr>
      <w:tr w:rsidR="00400398" w:rsidRPr="00215594" w14:paraId="1BC06C58" w14:textId="77777777">
        <w:tc>
          <w:tcPr>
            <w:tcW w:w="2338" w:type="pct"/>
            <w:tcBorders>
              <w:top w:val="nil"/>
              <w:left w:val="single" w:sz="4" w:space="0" w:color="auto"/>
              <w:right w:val="single" w:sz="4" w:space="0" w:color="auto"/>
            </w:tcBorders>
          </w:tcPr>
          <w:p w14:paraId="1A40D89F" w14:textId="77777777" w:rsidR="00400398" w:rsidRPr="00215594" w:rsidRDefault="00400398">
            <w:pPr>
              <w:pStyle w:val="TableCellCenter"/>
              <w:keepNext w:val="0"/>
              <w:keepLines w:val="0"/>
              <w:spacing w:line="360" w:lineRule="auto"/>
              <w:ind w:left="290"/>
              <w:jc w:val="left"/>
              <w:rPr>
                <w:sz w:val="22"/>
                <w:szCs w:val="22"/>
              </w:rPr>
            </w:pPr>
            <w:r w:rsidRPr="00215594">
              <w:rPr>
                <w:i/>
                <w:sz w:val="22"/>
                <w:szCs w:val="22"/>
              </w:rPr>
              <w:t xml:space="preserve">Hazard </w:t>
            </w:r>
            <w:r w:rsidR="003F3D13">
              <w:rPr>
                <w:i/>
                <w:sz w:val="22"/>
                <w:szCs w:val="22"/>
              </w:rPr>
              <w:t>r</w:t>
            </w:r>
            <w:r w:rsidRPr="00215594">
              <w:rPr>
                <w:i/>
                <w:sz w:val="22"/>
                <w:szCs w:val="22"/>
              </w:rPr>
              <w:t xml:space="preserve">atio </w:t>
            </w:r>
            <w:r w:rsidRPr="00215594">
              <w:rPr>
                <w:sz w:val="22"/>
                <w:szCs w:val="22"/>
              </w:rPr>
              <w:t>(taxa de risco)</w:t>
            </w:r>
          </w:p>
          <w:p w14:paraId="44C313EB" w14:textId="77777777" w:rsidR="00400398" w:rsidRPr="00215594" w:rsidRDefault="00400398">
            <w:pPr>
              <w:pStyle w:val="TableCellCenter"/>
              <w:keepNext w:val="0"/>
              <w:keepLines w:val="0"/>
              <w:spacing w:line="360" w:lineRule="auto"/>
              <w:ind w:left="290"/>
              <w:jc w:val="left"/>
              <w:rPr>
                <w:sz w:val="22"/>
                <w:szCs w:val="22"/>
              </w:rPr>
            </w:pPr>
            <w:r w:rsidRPr="00215594">
              <w:rPr>
                <w:sz w:val="22"/>
                <w:szCs w:val="22"/>
              </w:rPr>
              <w:t>IC 95%</w:t>
            </w:r>
          </w:p>
        </w:tc>
        <w:tc>
          <w:tcPr>
            <w:tcW w:w="2662" w:type="pct"/>
            <w:gridSpan w:val="2"/>
            <w:tcBorders>
              <w:top w:val="nil"/>
              <w:left w:val="single" w:sz="4" w:space="0" w:color="auto"/>
              <w:bottom w:val="nil"/>
              <w:right w:val="single" w:sz="4" w:space="0" w:color="auto"/>
            </w:tcBorders>
          </w:tcPr>
          <w:p w14:paraId="0ADFF524" w14:textId="77777777" w:rsidR="00400398" w:rsidRPr="00215594" w:rsidRDefault="00400398">
            <w:pPr>
              <w:pStyle w:val="TextTi10"/>
              <w:spacing w:line="360" w:lineRule="auto"/>
              <w:jc w:val="center"/>
              <w:rPr>
                <w:sz w:val="22"/>
                <w:szCs w:val="22"/>
              </w:rPr>
            </w:pPr>
            <w:r w:rsidRPr="00215594">
              <w:rPr>
                <w:sz w:val="22"/>
                <w:szCs w:val="22"/>
              </w:rPr>
              <w:t>0,63</w:t>
            </w:r>
          </w:p>
          <w:p w14:paraId="4CCC2697" w14:textId="77777777" w:rsidR="00400398" w:rsidRPr="00215594" w:rsidRDefault="00400398">
            <w:pPr>
              <w:pStyle w:val="TableCellCenter"/>
              <w:keepNext w:val="0"/>
              <w:keepLines w:val="0"/>
              <w:rPr>
                <w:sz w:val="22"/>
                <w:szCs w:val="22"/>
              </w:rPr>
            </w:pPr>
            <w:r w:rsidRPr="00215594">
              <w:rPr>
                <w:sz w:val="22"/>
                <w:szCs w:val="22"/>
              </w:rPr>
              <w:t>0,52; 0,75</w:t>
            </w:r>
          </w:p>
          <w:p w14:paraId="4EF157C1" w14:textId="77777777" w:rsidR="00400398" w:rsidRPr="00215594" w:rsidRDefault="00400398">
            <w:pPr>
              <w:pStyle w:val="TableCellCenter"/>
              <w:keepNext w:val="0"/>
              <w:keepLines w:val="0"/>
              <w:rPr>
                <w:sz w:val="22"/>
                <w:szCs w:val="22"/>
              </w:rPr>
            </w:pPr>
            <w:r w:rsidRPr="00215594">
              <w:rPr>
                <w:sz w:val="22"/>
                <w:szCs w:val="22"/>
              </w:rPr>
              <w:t>(valor de p &lt; 0,0001)</w:t>
            </w:r>
          </w:p>
        </w:tc>
      </w:tr>
      <w:tr w:rsidR="00400398" w:rsidRPr="00215594" w14:paraId="176581FE" w14:textId="77777777">
        <w:tc>
          <w:tcPr>
            <w:tcW w:w="2338" w:type="pct"/>
            <w:tcBorders>
              <w:top w:val="single" w:sz="6" w:space="0" w:color="000000"/>
              <w:left w:val="single" w:sz="4" w:space="0" w:color="auto"/>
              <w:bottom w:val="nil"/>
            </w:tcBorders>
          </w:tcPr>
          <w:p w14:paraId="40092EA8" w14:textId="77777777" w:rsidR="00400398" w:rsidRPr="00215594" w:rsidRDefault="00400398" w:rsidP="00947564">
            <w:pPr>
              <w:pStyle w:val="TableCellHead"/>
              <w:keepNext w:val="0"/>
              <w:keepLines w:val="0"/>
              <w:rPr>
                <w:sz w:val="22"/>
                <w:szCs w:val="22"/>
                <w:u w:val="none"/>
              </w:rPr>
            </w:pPr>
            <w:r w:rsidRPr="00215594">
              <w:rPr>
                <w:sz w:val="22"/>
                <w:szCs w:val="22"/>
                <w:u w:val="none"/>
              </w:rPr>
              <w:t>Taxa de resposta objetiva (%) em doentes com doença mensurável</w:t>
            </w:r>
          </w:p>
        </w:tc>
        <w:tc>
          <w:tcPr>
            <w:tcW w:w="1169" w:type="pct"/>
            <w:tcBorders>
              <w:top w:val="single" w:sz="4" w:space="0" w:color="auto"/>
              <w:bottom w:val="nil"/>
              <w:right w:val="nil"/>
            </w:tcBorders>
          </w:tcPr>
          <w:p w14:paraId="3B4FAFD5" w14:textId="77777777" w:rsidR="00400398" w:rsidRPr="00215594" w:rsidRDefault="00400398">
            <w:pPr>
              <w:pStyle w:val="TextTi10"/>
              <w:jc w:val="center"/>
              <w:rPr>
                <w:sz w:val="22"/>
                <w:szCs w:val="22"/>
              </w:rPr>
            </w:pPr>
          </w:p>
        </w:tc>
        <w:tc>
          <w:tcPr>
            <w:tcW w:w="1494" w:type="pct"/>
            <w:tcBorders>
              <w:top w:val="single" w:sz="4" w:space="0" w:color="auto"/>
              <w:left w:val="nil"/>
              <w:bottom w:val="nil"/>
              <w:right w:val="single" w:sz="4" w:space="0" w:color="auto"/>
            </w:tcBorders>
          </w:tcPr>
          <w:p w14:paraId="7B195F2F" w14:textId="77777777" w:rsidR="00400398" w:rsidRPr="00215594" w:rsidRDefault="00400398">
            <w:pPr>
              <w:pStyle w:val="TextTi10"/>
              <w:jc w:val="center"/>
              <w:rPr>
                <w:sz w:val="22"/>
                <w:szCs w:val="22"/>
              </w:rPr>
            </w:pPr>
          </w:p>
        </w:tc>
      </w:tr>
      <w:tr w:rsidR="00400398" w:rsidRPr="00215594" w14:paraId="6655C6D4" w14:textId="77777777">
        <w:tc>
          <w:tcPr>
            <w:tcW w:w="2338" w:type="pct"/>
            <w:tcBorders>
              <w:top w:val="nil"/>
              <w:left w:val="single" w:sz="4" w:space="0" w:color="auto"/>
              <w:bottom w:val="nil"/>
              <w:right w:val="single" w:sz="4" w:space="0" w:color="auto"/>
            </w:tcBorders>
          </w:tcPr>
          <w:p w14:paraId="2C38A0C0" w14:textId="77777777" w:rsidR="00400398" w:rsidRPr="00215594" w:rsidRDefault="00400398">
            <w:pPr>
              <w:ind w:left="290"/>
              <w:rPr>
                <w:szCs w:val="22"/>
                <w:lang w:eastAsia="da-DK"/>
              </w:rPr>
            </w:pPr>
            <w:r w:rsidRPr="00215594">
              <w:rPr>
                <w:szCs w:val="22"/>
                <w:lang w:eastAsia="da-DK"/>
              </w:rPr>
              <w:t>n</w:t>
            </w:r>
          </w:p>
          <w:p w14:paraId="137BB76D" w14:textId="77777777" w:rsidR="00400398" w:rsidRPr="00215594" w:rsidRDefault="00400398">
            <w:pPr>
              <w:ind w:left="290"/>
              <w:rPr>
                <w:szCs w:val="22"/>
                <w:lang w:eastAsia="da-DK"/>
              </w:rPr>
            </w:pPr>
          </w:p>
        </w:tc>
        <w:tc>
          <w:tcPr>
            <w:tcW w:w="1169" w:type="pct"/>
            <w:tcBorders>
              <w:top w:val="nil"/>
              <w:left w:val="single" w:sz="4" w:space="0" w:color="auto"/>
              <w:bottom w:val="nil"/>
              <w:right w:val="nil"/>
            </w:tcBorders>
          </w:tcPr>
          <w:p w14:paraId="0C3883A1" w14:textId="77777777" w:rsidR="00400398" w:rsidRPr="00215594" w:rsidRDefault="00400398">
            <w:pPr>
              <w:pStyle w:val="TextTi10"/>
              <w:jc w:val="center"/>
              <w:rPr>
                <w:sz w:val="22"/>
                <w:szCs w:val="22"/>
              </w:rPr>
            </w:pPr>
            <w:r w:rsidRPr="00215594">
              <w:rPr>
                <w:sz w:val="22"/>
                <w:szCs w:val="22"/>
              </w:rPr>
              <w:t>289</w:t>
            </w:r>
          </w:p>
          <w:p w14:paraId="6F1E5F59" w14:textId="77777777" w:rsidR="00400398" w:rsidRPr="00215594" w:rsidRDefault="00400398">
            <w:pPr>
              <w:pStyle w:val="TextTi10"/>
              <w:jc w:val="center"/>
              <w:rPr>
                <w:sz w:val="22"/>
                <w:szCs w:val="22"/>
              </w:rPr>
            </w:pPr>
          </w:p>
        </w:tc>
        <w:tc>
          <w:tcPr>
            <w:tcW w:w="1494" w:type="pct"/>
            <w:tcBorders>
              <w:top w:val="nil"/>
              <w:left w:val="nil"/>
              <w:bottom w:val="nil"/>
              <w:right w:val="single" w:sz="4" w:space="0" w:color="auto"/>
            </w:tcBorders>
          </w:tcPr>
          <w:p w14:paraId="7B3CCB72" w14:textId="77777777" w:rsidR="00400398" w:rsidRPr="00215594" w:rsidRDefault="00400398">
            <w:pPr>
              <w:pStyle w:val="TextTi10"/>
              <w:jc w:val="center"/>
              <w:rPr>
                <w:sz w:val="22"/>
                <w:szCs w:val="22"/>
              </w:rPr>
            </w:pPr>
            <w:r w:rsidRPr="00215594">
              <w:rPr>
                <w:sz w:val="22"/>
                <w:szCs w:val="22"/>
              </w:rPr>
              <w:t>306</w:t>
            </w:r>
          </w:p>
        </w:tc>
      </w:tr>
      <w:tr w:rsidR="00400398" w:rsidRPr="00215594" w14:paraId="2763FA00" w14:textId="77777777">
        <w:tc>
          <w:tcPr>
            <w:tcW w:w="2338" w:type="pct"/>
            <w:tcBorders>
              <w:top w:val="nil"/>
              <w:left w:val="single" w:sz="4" w:space="0" w:color="auto"/>
              <w:bottom w:val="nil"/>
              <w:right w:val="single" w:sz="4" w:space="0" w:color="auto"/>
            </w:tcBorders>
          </w:tcPr>
          <w:p w14:paraId="03B99AF2" w14:textId="77777777" w:rsidR="00400398" w:rsidRPr="00215594" w:rsidRDefault="00400398">
            <w:pPr>
              <w:ind w:left="290"/>
              <w:rPr>
                <w:szCs w:val="22"/>
              </w:rPr>
            </w:pPr>
            <w:r w:rsidRPr="00215594">
              <w:rPr>
                <w:szCs w:val="22"/>
                <w:lang w:eastAsia="da-DK"/>
              </w:rPr>
              <w:t>Taxa de resposta</w:t>
            </w:r>
          </w:p>
        </w:tc>
        <w:tc>
          <w:tcPr>
            <w:tcW w:w="1169" w:type="pct"/>
            <w:tcBorders>
              <w:top w:val="nil"/>
              <w:left w:val="single" w:sz="4" w:space="0" w:color="auto"/>
              <w:bottom w:val="nil"/>
              <w:right w:val="nil"/>
            </w:tcBorders>
          </w:tcPr>
          <w:p w14:paraId="0279E6EC" w14:textId="77777777" w:rsidR="00400398" w:rsidRPr="00215594" w:rsidRDefault="00400398">
            <w:pPr>
              <w:pStyle w:val="TextTi10"/>
              <w:jc w:val="center"/>
              <w:rPr>
                <w:sz w:val="22"/>
                <w:szCs w:val="22"/>
              </w:rPr>
            </w:pPr>
            <w:r w:rsidRPr="00215594">
              <w:rPr>
                <w:sz w:val="22"/>
                <w:szCs w:val="22"/>
              </w:rPr>
              <w:t>12,8%</w:t>
            </w:r>
          </w:p>
        </w:tc>
        <w:tc>
          <w:tcPr>
            <w:tcW w:w="1494" w:type="pct"/>
            <w:tcBorders>
              <w:top w:val="nil"/>
              <w:left w:val="nil"/>
              <w:bottom w:val="nil"/>
              <w:right w:val="single" w:sz="4" w:space="0" w:color="auto"/>
            </w:tcBorders>
          </w:tcPr>
          <w:p w14:paraId="199C9745" w14:textId="77777777" w:rsidR="00400398" w:rsidRPr="00215594" w:rsidRDefault="00400398">
            <w:pPr>
              <w:pStyle w:val="TextTi10"/>
              <w:jc w:val="center"/>
              <w:rPr>
                <w:sz w:val="22"/>
                <w:szCs w:val="22"/>
              </w:rPr>
            </w:pPr>
            <w:r w:rsidRPr="00215594">
              <w:rPr>
                <w:sz w:val="22"/>
                <w:szCs w:val="22"/>
              </w:rPr>
              <w:t>31,4%</w:t>
            </w:r>
          </w:p>
        </w:tc>
      </w:tr>
      <w:tr w:rsidR="00400398" w:rsidRPr="00215594" w14:paraId="1ED8D31B" w14:textId="77777777">
        <w:tc>
          <w:tcPr>
            <w:tcW w:w="2338" w:type="pct"/>
            <w:tcBorders>
              <w:top w:val="nil"/>
              <w:left w:val="single" w:sz="4" w:space="0" w:color="auto"/>
              <w:bottom w:val="nil"/>
              <w:right w:val="single" w:sz="4" w:space="0" w:color="auto"/>
            </w:tcBorders>
          </w:tcPr>
          <w:p w14:paraId="417AAADD" w14:textId="77777777" w:rsidR="00400398" w:rsidRPr="00215594" w:rsidRDefault="00400398">
            <w:pPr>
              <w:rPr>
                <w:szCs w:val="22"/>
                <w:lang w:eastAsia="da-DK"/>
              </w:rPr>
            </w:pPr>
          </w:p>
        </w:tc>
        <w:tc>
          <w:tcPr>
            <w:tcW w:w="2662" w:type="pct"/>
            <w:gridSpan w:val="2"/>
            <w:tcBorders>
              <w:top w:val="nil"/>
              <w:left w:val="single" w:sz="4" w:space="0" w:color="auto"/>
              <w:bottom w:val="nil"/>
              <w:right w:val="single" w:sz="4" w:space="0" w:color="auto"/>
            </w:tcBorders>
          </w:tcPr>
          <w:p w14:paraId="19F9CA76" w14:textId="77777777" w:rsidR="00400398" w:rsidRPr="00215594" w:rsidRDefault="00400398">
            <w:pPr>
              <w:pStyle w:val="TextTi10"/>
              <w:jc w:val="center"/>
              <w:rPr>
                <w:sz w:val="22"/>
                <w:szCs w:val="22"/>
              </w:rPr>
            </w:pPr>
            <w:r w:rsidRPr="00215594">
              <w:rPr>
                <w:sz w:val="22"/>
                <w:szCs w:val="22"/>
              </w:rPr>
              <w:t>(valor de p &lt; 0,0001)</w:t>
            </w:r>
          </w:p>
        </w:tc>
      </w:tr>
      <w:tr w:rsidR="00400398" w:rsidRPr="00215594" w14:paraId="480F896A" w14:textId="77777777">
        <w:tc>
          <w:tcPr>
            <w:tcW w:w="5000" w:type="pct"/>
            <w:gridSpan w:val="3"/>
            <w:tcBorders>
              <w:top w:val="single" w:sz="4" w:space="0" w:color="auto"/>
              <w:left w:val="nil"/>
              <w:bottom w:val="nil"/>
              <w:right w:val="nil"/>
            </w:tcBorders>
          </w:tcPr>
          <w:p w14:paraId="7F277C29" w14:textId="77777777" w:rsidR="00400398" w:rsidRPr="00215594" w:rsidRDefault="00400398">
            <w:pPr>
              <w:rPr>
                <w:sz w:val="20"/>
              </w:rPr>
            </w:pPr>
            <w:r w:rsidRPr="00215594">
              <w:rPr>
                <w:sz w:val="20"/>
                <w:vertAlign w:val="superscript"/>
              </w:rPr>
              <w:t>a</w:t>
            </w:r>
            <w:r w:rsidRPr="00215594">
              <w:rPr>
                <w:sz w:val="20"/>
              </w:rPr>
              <w:t xml:space="preserve"> Interferão alfa-2a, 9 MUI 3x/semana</w:t>
            </w:r>
          </w:p>
          <w:p w14:paraId="28D32A6E" w14:textId="77777777" w:rsidR="00400398" w:rsidRPr="00215594" w:rsidRDefault="00400398">
            <w:pPr>
              <w:pStyle w:val="TableFooter"/>
              <w:keepNext w:val="0"/>
              <w:keepLines w:val="0"/>
            </w:pPr>
            <w:r w:rsidRPr="00215594">
              <w:rPr>
                <w:vertAlign w:val="superscript"/>
              </w:rPr>
              <w:t>b</w:t>
            </w:r>
            <w:r w:rsidRPr="00215594">
              <w:t xml:space="preserve"> Bevacizumab 10 mg/kg cada 2 semanas</w:t>
            </w:r>
          </w:p>
        </w:tc>
      </w:tr>
    </w:tbl>
    <w:p w14:paraId="17177DFA" w14:textId="77777777" w:rsidR="00400398" w:rsidRPr="007232E4" w:rsidRDefault="00400398" w:rsidP="00F60614">
      <w:pPr>
        <w:keepNext/>
        <w:keepLines/>
        <w:tabs>
          <w:tab w:val="left" w:pos="900"/>
        </w:tabs>
        <w:outlineLvl w:val="0"/>
        <w:rPr>
          <w:b/>
        </w:rPr>
      </w:pPr>
    </w:p>
    <w:tbl>
      <w:tblPr>
        <w:tblW w:w="0" w:type="auto"/>
        <w:jc w:val="center"/>
        <w:tblLayout w:type="fixed"/>
        <w:tblLook w:val="0000" w:firstRow="0" w:lastRow="0" w:firstColumn="0" w:lastColumn="0" w:noHBand="0" w:noVBand="0"/>
      </w:tblPr>
      <w:tblGrid>
        <w:gridCol w:w="4281"/>
        <w:gridCol w:w="2733"/>
        <w:gridCol w:w="2159"/>
      </w:tblGrid>
      <w:tr w:rsidR="00400398" w:rsidRPr="00215594" w14:paraId="74E9DBC0" w14:textId="77777777" w:rsidTr="00D91337">
        <w:trPr>
          <w:cantSplit/>
          <w:trHeight w:val="320"/>
          <w:jc w:val="center"/>
        </w:trPr>
        <w:tc>
          <w:tcPr>
            <w:tcW w:w="4281" w:type="dxa"/>
            <w:tcBorders>
              <w:top w:val="single" w:sz="4" w:space="0" w:color="auto"/>
              <w:left w:val="single" w:sz="4" w:space="0" w:color="auto"/>
              <w:right w:val="single" w:sz="4" w:space="0" w:color="auto"/>
            </w:tcBorders>
          </w:tcPr>
          <w:p w14:paraId="7B48AAD2" w14:textId="77777777" w:rsidR="00400398" w:rsidRPr="00215594" w:rsidRDefault="00400398" w:rsidP="00F60614">
            <w:pPr>
              <w:pStyle w:val="TableFooter"/>
              <w:tabs>
                <w:tab w:val="left" w:pos="1440"/>
              </w:tabs>
              <w:spacing w:before="40" w:after="40" w:line="240" w:lineRule="auto"/>
              <w:ind w:left="1440" w:hanging="1440"/>
              <w:rPr>
                <w:noProof/>
                <w:sz w:val="22"/>
                <w:szCs w:val="22"/>
                <w:u w:val="single"/>
              </w:rPr>
            </w:pPr>
            <w:r w:rsidRPr="00215594">
              <w:rPr>
                <w:noProof/>
                <w:sz w:val="22"/>
                <w:szCs w:val="22"/>
              </w:rPr>
              <w:t>Sobrevivência global</w:t>
            </w:r>
          </w:p>
        </w:tc>
        <w:tc>
          <w:tcPr>
            <w:tcW w:w="2733" w:type="dxa"/>
            <w:tcBorders>
              <w:top w:val="single" w:sz="4" w:space="0" w:color="auto"/>
              <w:left w:val="single" w:sz="4" w:space="0" w:color="auto"/>
            </w:tcBorders>
          </w:tcPr>
          <w:p w14:paraId="2DCE33AD" w14:textId="77777777" w:rsidR="00400398" w:rsidRPr="00215594" w:rsidRDefault="00400398" w:rsidP="00F60614">
            <w:pPr>
              <w:pStyle w:val="TableFooter"/>
              <w:tabs>
                <w:tab w:val="left" w:pos="1440"/>
              </w:tabs>
              <w:spacing w:before="40" w:after="40" w:line="240" w:lineRule="auto"/>
              <w:ind w:left="1440" w:hanging="1440"/>
              <w:rPr>
                <w:noProof/>
                <w:sz w:val="22"/>
                <w:szCs w:val="22"/>
              </w:rPr>
            </w:pPr>
          </w:p>
        </w:tc>
        <w:tc>
          <w:tcPr>
            <w:tcW w:w="2159" w:type="dxa"/>
            <w:tcBorders>
              <w:top w:val="single" w:sz="4" w:space="0" w:color="auto"/>
              <w:right w:val="single" w:sz="4" w:space="0" w:color="auto"/>
            </w:tcBorders>
          </w:tcPr>
          <w:p w14:paraId="5AA13136" w14:textId="77777777" w:rsidR="00400398" w:rsidRPr="00215594" w:rsidRDefault="00400398" w:rsidP="00F60614">
            <w:pPr>
              <w:pStyle w:val="TableFooter"/>
              <w:tabs>
                <w:tab w:val="left" w:pos="1440"/>
              </w:tabs>
              <w:spacing w:before="40" w:after="40" w:line="240" w:lineRule="auto"/>
              <w:ind w:left="1440" w:hanging="1440"/>
              <w:rPr>
                <w:noProof/>
                <w:sz w:val="22"/>
                <w:szCs w:val="22"/>
              </w:rPr>
            </w:pPr>
          </w:p>
        </w:tc>
      </w:tr>
      <w:tr w:rsidR="00400398" w:rsidRPr="00215594" w14:paraId="2DD93A64" w14:textId="77777777" w:rsidTr="00D91337">
        <w:trPr>
          <w:cantSplit/>
          <w:trHeight w:val="320"/>
          <w:jc w:val="center"/>
        </w:trPr>
        <w:tc>
          <w:tcPr>
            <w:tcW w:w="4281" w:type="dxa"/>
            <w:tcBorders>
              <w:left w:val="single" w:sz="4" w:space="0" w:color="auto"/>
              <w:right w:val="single" w:sz="4" w:space="0" w:color="auto"/>
            </w:tcBorders>
          </w:tcPr>
          <w:p w14:paraId="4AA04D9C" w14:textId="77777777" w:rsidR="00400398" w:rsidRPr="00215594" w:rsidRDefault="00400398" w:rsidP="00F60614">
            <w:pPr>
              <w:pStyle w:val="TableFooter"/>
              <w:spacing w:before="40" w:after="40" w:line="240" w:lineRule="auto"/>
              <w:ind w:left="400"/>
              <w:rPr>
                <w:noProof/>
                <w:sz w:val="22"/>
                <w:szCs w:val="22"/>
              </w:rPr>
            </w:pPr>
            <w:r w:rsidRPr="00215594">
              <w:rPr>
                <w:noProof/>
                <w:sz w:val="22"/>
                <w:szCs w:val="22"/>
              </w:rPr>
              <w:t>Mediana (meses)</w:t>
            </w:r>
          </w:p>
        </w:tc>
        <w:tc>
          <w:tcPr>
            <w:tcW w:w="2733" w:type="dxa"/>
            <w:tcBorders>
              <w:left w:val="single" w:sz="4" w:space="0" w:color="auto"/>
            </w:tcBorders>
          </w:tcPr>
          <w:p w14:paraId="02CE3311" w14:textId="77777777" w:rsidR="00400398" w:rsidRPr="00215594" w:rsidRDefault="00400398" w:rsidP="00F60614">
            <w:pPr>
              <w:pStyle w:val="TableFooter"/>
              <w:tabs>
                <w:tab w:val="left" w:pos="1440"/>
              </w:tabs>
              <w:spacing w:before="40" w:after="40" w:line="240" w:lineRule="auto"/>
              <w:ind w:left="1440" w:hanging="1440"/>
              <w:jc w:val="center"/>
              <w:rPr>
                <w:noProof/>
                <w:sz w:val="22"/>
                <w:szCs w:val="22"/>
              </w:rPr>
            </w:pPr>
            <w:r w:rsidRPr="00215594">
              <w:rPr>
                <w:noProof/>
                <w:sz w:val="22"/>
                <w:szCs w:val="22"/>
              </w:rPr>
              <w:t>21,3</w:t>
            </w:r>
          </w:p>
        </w:tc>
        <w:tc>
          <w:tcPr>
            <w:tcW w:w="2159" w:type="dxa"/>
            <w:tcBorders>
              <w:right w:val="single" w:sz="4" w:space="0" w:color="auto"/>
            </w:tcBorders>
          </w:tcPr>
          <w:p w14:paraId="3B89BB0A" w14:textId="77777777" w:rsidR="00400398" w:rsidRPr="00215594" w:rsidRDefault="00400398" w:rsidP="00F60614">
            <w:pPr>
              <w:pStyle w:val="TableFooter"/>
              <w:tabs>
                <w:tab w:val="left" w:pos="1440"/>
              </w:tabs>
              <w:spacing w:before="40" w:after="40" w:line="240" w:lineRule="auto"/>
              <w:ind w:left="1440" w:hanging="1440"/>
              <w:jc w:val="center"/>
              <w:rPr>
                <w:noProof/>
                <w:sz w:val="22"/>
                <w:szCs w:val="22"/>
              </w:rPr>
            </w:pPr>
            <w:r w:rsidRPr="00215594">
              <w:rPr>
                <w:noProof/>
                <w:sz w:val="22"/>
                <w:szCs w:val="22"/>
              </w:rPr>
              <w:t>23,3</w:t>
            </w:r>
          </w:p>
        </w:tc>
      </w:tr>
      <w:tr w:rsidR="00400398" w:rsidRPr="00215594" w14:paraId="1B44D493" w14:textId="77777777" w:rsidTr="00D91337">
        <w:trPr>
          <w:cantSplit/>
          <w:trHeight w:val="320"/>
          <w:jc w:val="center"/>
        </w:trPr>
        <w:tc>
          <w:tcPr>
            <w:tcW w:w="4281" w:type="dxa"/>
            <w:tcBorders>
              <w:left w:val="single" w:sz="4" w:space="0" w:color="auto"/>
              <w:bottom w:val="single" w:sz="4" w:space="0" w:color="auto"/>
              <w:right w:val="single" w:sz="4" w:space="0" w:color="auto"/>
            </w:tcBorders>
          </w:tcPr>
          <w:p w14:paraId="01A1CAF3" w14:textId="77777777" w:rsidR="00400398" w:rsidRPr="00215594" w:rsidRDefault="00400398" w:rsidP="00F60614">
            <w:pPr>
              <w:pStyle w:val="TableFooter"/>
              <w:spacing w:before="40" w:after="40" w:line="240" w:lineRule="auto"/>
              <w:ind w:left="400"/>
              <w:rPr>
                <w:i/>
                <w:sz w:val="22"/>
                <w:szCs w:val="22"/>
              </w:rPr>
            </w:pPr>
            <w:r w:rsidRPr="00215594">
              <w:rPr>
                <w:i/>
                <w:sz w:val="22"/>
                <w:szCs w:val="22"/>
              </w:rPr>
              <w:t xml:space="preserve">Hazard ratio </w:t>
            </w:r>
            <w:r w:rsidRPr="00215594">
              <w:rPr>
                <w:sz w:val="22"/>
                <w:szCs w:val="22"/>
              </w:rPr>
              <w:t>(taxa de risco)</w:t>
            </w:r>
          </w:p>
          <w:p w14:paraId="36F37DBB" w14:textId="77777777" w:rsidR="00400398" w:rsidRPr="00215594" w:rsidRDefault="00400398" w:rsidP="00F60614">
            <w:pPr>
              <w:pStyle w:val="TableFooter"/>
              <w:spacing w:before="40" w:after="40" w:line="240" w:lineRule="auto"/>
              <w:ind w:left="400"/>
              <w:rPr>
                <w:sz w:val="22"/>
                <w:szCs w:val="22"/>
              </w:rPr>
            </w:pPr>
            <w:r w:rsidRPr="00215594">
              <w:rPr>
                <w:sz w:val="22"/>
                <w:szCs w:val="22"/>
              </w:rPr>
              <w:t>IC 95%</w:t>
            </w:r>
          </w:p>
        </w:tc>
        <w:tc>
          <w:tcPr>
            <w:tcW w:w="4892" w:type="dxa"/>
            <w:gridSpan w:val="2"/>
            <w:tcBorders>
              <w:left w:val="single" w:sz="4" w:space="0" w:color="auto"/>
              <w:bottom w:val="single" w:sz="4" w:space="0" w:color="auto"/>
              <w:right w:val="single" w:sz="4" w:space="0" w:color="auto"/>
            </w:tcBorders>
          </w:tcPr>
          <w:p w14:paraId="362B4447" w14:textId="77777777" w:rsidR="00400398" w:rsidRPr="00215594" w:rsidRDefault="00400398" w:rsidP="00F60614">
            <w:pPr>
              <w:pStyle w:val="TableFooter"/>
              <w:tabs>
                <w:tab w:val="left" w:pos="1440"/>
              </w:tabs>
              <w:spacing w:before="40" w:after="40" w:line="240" w:lineRule="auto"/>
              <w:ind w:left="1440" w:hanging="1440"/>
              <w:jc w:val="center"/>
              <w:rPr>
                <w:noProof/>
                <w:sz w:val="22"/>
                <w:szCs w:val="22"/>
              </w:rPr>
            </w:pPr>
            <w:r w:rsidRPr="00215594">
              <w:rPr>
                <w:noProof/>
                <w:sz w:val="22"/>
                <w:szCs w:val="22"/>
              </w:rPr>
              <w:t>0,91</w:t>
            </w:r>
          </w:p>
          <w:p w14:paraId="34E738D3" w14:textId="77777777" w:rsidR="00400398" w:rsidRPr="00215594" w:rsidRDefault="00400398" w:rsidP="00F60614">
            <w:pPr>
              <w:pStyle w:val="TableFooter"/>
              <w:tabs>
                <w:tab w:val="left" w:pos="1440"/>
              </w:tabs>
              <w:spacing w:before="40" w:after="40" w:line="240" w:lineRule="auto"/>
              <w:ind w:left="1440" w:hanging="1440"/>
              <w:jc w:val="center"/>
              <w:rPr>
                <w:noProof/>
                <w:sz w:val="22"/>
                <w:szCs w:val="22"/>
              </w:rPr>
            </w:pPr>
            <w:r w:rsidRPr="00947564">
              <w:rPr>
                <w:rFonts w:eastAsia="PMingLiU"/>
                <w:noProof/>
                <w:sz w:val="22"/>
                <w:szCs w:val="22"/>
              </w:rPr>
              <w:t>0,76</w:t>
            </w:r>
            <w:r w:rsidR="00947564">
              <w:rPr>
                <w:rFonts w:eastAsia="PMingLiU"/>
                <w:noProof/>
                <w:sz w:val="22"/>
                <w:szCs w:val="22"/>
              </w:rPr>
              <w:t>;</w:t>
            </w:r>
            <w:r w:rsidRPr="00947564">
              <w:rPr>
                <w:rFonts w:eastAsia="PMingLiU"/>
                <w:noProof/>
                <w:sz w:val="22"/>
                <w:szCs w:val="22"/>
              </w:rPr>
              <w:t xml:space="preserve"> 1,10</w:t>
            </w:r>
          </w:p>
          <w:p w14:paraId="257BD91C" w14:textId="77777777" w:rsidR="00400398" w:rsidRPr="00215594" w:rsidRDefault="00400398" w:rsidP="00F60614">
            <w:pPr>
              <w:pStyle w:val="TableFooter"/>
              <w:tabs>
                <w:tab w:val="left" w:pos="1440"/>
              </w:tabs>
              <w:spacing w:before="40" w:after="40" w:line="240" w:lineRule="auto"/>
              <w:ind w:left="1440" w:hanging="1440"/>
              <w:jc w:val="center"/>
              <w:rPr>
                <w:noProof/>
                <w:sz w:val="22"/>
                <w:szCs w:val="22"/>
              </w:rPr>
            </w:pPr>
            <w:r w:rsidRPr="00215594">
              <w:rPr>
                <w:sz w:val="22"/>
                <w:szCs w:val="22"/>
              </w:rPr>
              <w:t>(valor de p </w:t>
            </w:r>
            <w:r w:rsidRPr="00215594">
              <w:rPr>
                <w:noProof/>
                <w:sz w:val="22"/>
                <w:szCs w:val="22"/>
              </w:rPr>
              <w:t>0,3360)</w:t>
            </w:r>
          </w:p>
        </w:tc>
      </w:tr>
    </w:tbl>
    <w:p w14:paraId="3A9BD73B" w14:textId="77777777" w:rsidR="00400398" w:rsidRPr="007232E4" w:rsidRDefault="00400398" w:rsidP="00F60614">
      <w:pPr>
        <w:keepNext/>
        <w:keepLines/>
        <w:tabs>
          <w:tab w:val="left" w:pos="900"/>
        </w:tabs>
        <w:outlineLvl w:val="0"/>
        <w:rPr>
          <w:b/>
        </w:rPr>
      </w:pPr>
    </w:p>
    <w:p w14:paraId="079CC562" w14:textId="77777777" w:rsidR="00400398" w:rsidRPr="007232E4" w:rsidRDefault="00400398" w:rsidP="00F60614">
      <w:pPr>
        <w:keepNext/>
        <w:keepLines/>
        <w:rPr>
          <w:szCs w:val="22"/>
        </w:rPr>
      </w:pPr>
      <w:r w:rsidRPr="007232E4">
        <w:rPr>
          <w:szCs w:val="22"/>
        </w:rPr>
        <w:t xml:space="preserve">Um modelo exploratório de regressão de Cox multivariada, utilizando uma selecão retrospetiva, indicou que os seguintes fatores de prognóstico iniciais estavam fortemente associados a sobrevivência independente do tratamento: género, contagem de glóbulos brancos, plaquetas, perda de peso corporal nos 6 meses antes da entrada no ensaio, número de locais </w:t>
      </w:r>
      <w:r w:rsidRPr="007232E4">
        <w:rPr>
          <w:rFonts w:eastAsia="SimSun"/>
          <w:szCs w:val="22"/>
          <w:lang w:eastAsia="zh-CN"/>
        </w:rPr>
        <w:t>metastizados</w:t>
      </w:r>
      <w:r w:rsidRPr="007232E4">
        <w:rPr>
          <w:szCs w:val="22"/>
        </w:rPr>
        <w:t xml:space="preserve">, soma do maior diâmetro das lesões alvo, pontuação de Motzer. O ajuste para estes fatores iniciais resultou num hazard ratio para o tratamento de 0,78 (IC 95% [0,63;0,96], p = 0,0219), indicando uma redução de 22% no risco de morte dos doentes no braço </w:t>
      </w:r>
      <w:r w:rsidR="002F7881">
        <w:rPr>
          <w:szCs w:val="22"/>
        </w:rPr>
        <w:t>bevacizumab</w:t>
      </w:r>
      <w:r w:rsidR="002F7881" w:rsidRPr="007232E4">
        <w:rPr>
          <w:szCs w:val="22"/>
        </w:rPr>
        <w:t xml:space="preserve"> </w:t>
      </w:r>
      <w:r w:rsidRPr="007232E4">
        <w:rPr>
          <w:szCs w:val="22"/>
        </w:rPr>
        <w:t>+ IFN alfa-2a comparativamente ao braço IFN alfa-2a.</w:t>
      </w:r>
    </w:p>
    <w:p w14:paraId="244CF700" w14:textId="77777777" w:rsidR="00400398" w:rsidRPr="007232E4" w:rsidRDefault="00400398"/>
    <w:p w14:paraId="37AC8FE5" w14:textId="16505B22" w:rsidR="00400398" w:rsidRPr="007232E4" w:rsidRDefault="00400398">
      <w:r w:rsidRPr="007232E4">
        <w:rPr>
          <w:szCs w:val="22"/>
          <w:lang w:eastAsia="zh-CN"/>
        </w:rPr>
        <w:t xml:space="preserve">Noventa e sete doentes no braço IFN </w:t>
      </w:r>
      <w:r w:rsidRPr="007232E4">
        <w:t>alfa-2a</w:t>
      </w:r>
      <w:r w:rsidRPr="007232E4">
        <w:rPr>
          <w:szCs w:val="22"/>
          <w:lang w:eastAsia="zh-CN"/>
        </w:rPr>
        <w:t xml:space="preserve"> e 131 doentes no braço </w:t>
      </w:r>
      <w:r w:rsidR="002F7881">
        <w:rPr>
          <w:szCs w:val="22"/>
          <w:lang w:eastAsia="zh-CN"/>
        </w:rPr>
        <w:t>bevacizumab</w:t>
      </w:r>
      <w:r w:rsidR="002F7881" w:rsidRPr="007232E4">
        <w:rPr>
          <w:szCs w:val="22"/>
          <w:lang w:eastAsia="zh-CN"/>
        </w:rPr>
        <w:t xml:space="preserve"> </w:t>
      </w:r>
      <w:r w:rsidRPr="007232E4">
        <w:rPr>
          <w:szCs w:val="22"/>
          <w:lang w:eastAsia="zh-CN"/>
        </w:rPr>
        <w:t xml:space="preserve">reduziram a dose de IFN </w:t>
      </w:r>
      <w:r w:rsidRPr="007232E4">
        <w:t xml:space="preserve">alfa-2a, administrado três vezes por semana, </w:t>
      </w:r>
      <w:r w:rsidRPr="007232E4">
        <w:rPr>
          <w:szCs w:val="22"/>
          <w:lang w:eastAsia="zh-CN"/>
        </w:rPr>
        <w:t>de 9 MUI para 6 ou 3 MUI tal como pré</w:t>
      </w:r>
      <w:r w:rsidRPr="007232E4">
        <w:rPr>
          <w:szCs w:val="22"/>
          <w:lang w:eastAsia="zh-CN"/>
        </w:rPr>
        <w:noBreakHyphen/>
        <w:t xml:space="preserve">especificado no protocolo. Com base nas taxas de PFS livre de </w:t>
      </w:r>
      <w:r>
        <w:t>acontecimentos</w:t>
      </w:r>
      <w:r w:rsidRPr="007232E4">
        <w:rPr>
          <w:szCs w:val="22"/>
          <w:lang w:eastAsia="zh-CN"/>
        </w:rPr>
        <w:t xml:space="preserve"> ao longo do tempo, a redução de dose de IFN</w:t>
      </w:r>
      <w:r w:rsidRPr="007232E4">
        <w:t xml:space="preserve"> alfa-2a</w:t>
      </w:r>
      <w:r w:rsidRPr="007232E4">
        <w:rPr>
          <w:szCs w:val="22"/>
          <w:lang w:eastAsia="zh-CN"/>
        </w:rPr>
        <w:t xml:space="preserve"> não pareceu afetar a eficácia da associação de </w:t>
      </w:r>
      <w:r w:rsidR="002F7881">
        <w:rPr>
          <w:szCs w:val="22"/>
          <w:lang w:eastAsia="zh-CN"/>
        </w:rPr>
        <w:t>bevacizumab</w:t>
      </w:r>
      <w:r w:rsidR="002F7881" w:rsidRPr="007232E4">
        <w:rPr>
          <w:szCs w:val="22"/>
          <w:lang w:eastAsia="zh-CN"/>
        </w:rPr>
        <w:t xml:space="preserve"> </w:t>
      </w:r>
      <w:r w:rsidRPr="007232E4">
        <w:rPr>
          <w:szCs w:val="22"/>
          <w:lang w:eastAsia="zh-CN"/>
        </w:rPr>
        <w:t>e IFN</w:t>
      </w:r>
      <w:r w:rsidRPr="007232E4">
        <w:t xml:space="preserve"> alfa-2a, tal como demonstrado por análise de sub</w:t>
      </w:r>
      <w:r w:rsidRPr="007232E4">
        <w:noBreakHyphen/>
        <w:t xml:space="preserve">grupo. Os </w:t>
      </w:r>
      <w:r w:rsidRPr="007232E4">
        <w:rPr>
          <w:szCs w:val="22"/>
          <w:lang w:eastAsia="zh-CN"/>
        </w:rPr>
        <w:t xml:space="preserve">131 doentes no braço </w:t>
      </w:r>
      <w:r w:rsidR="002F7881">
        <w:rPr>
          <w:szCs w:val="22"/>
          <w:lang w:eastAsia="zh-CN"/>
        </w:rPr>
        <w:t>bevacizumab</w:t>
      </w:r>
      <w:r w:rsidR="002F7881" w:rsidRPr="007232E4">
        <w:rPr>
          <w:szCs w:val="22"/>
          <w:lang w:eastAsia="zh-CN"/>
        </w:rPr>
        <w:t xml:space="preserve"> </w:t>
      </w:r>
      <w:r w:rsidRPr="007232E4">
        <w:rPr>
          <w:szCs w:val="22"/>
          <w:lang w:eastAsia="zh-CN"/>
        </w:rPr>
        <w:t xml:space="preserve">+ IFN </w:t>
      </w:r>
      <w:r w:rsidRPr="007232E4">
        <w:t xml:space="preserve">alfa-2a </w:t>
      </w:r>
      <w:r w:rsidRPr="007232E4">
        <w:rPr>
          <w:szCs w:val="22"/>
          <w:lang w:eastAsia="zh-CN"/>
        </w:rPr>
        <w:t xml:space="preserve">que reduziram a dose de IFN </w:t>
      </w:r>
      <w:r w:rsidRPr="007232E4">
        <w:t xml:space="preserve">alfa-2a </w:t>
      </w:r>
      <w:r w:rsidRPr="007232E4">
        <w:rPr>
          <w:szCs w:val="22"/>
          <w:lang w:eastAsia="zh-CN"/>
        </w:rPr>
        <w:t xml:space="preserve">e a mantiveram </w:t>
      </w:r>
      <w:r w:rsidRPr="007232E4">
        <w:t>em</w:t>
      </w:r>
      <w:r w:rsidRPr="007232E4">
        <w:rPr>
          <w:szCs w:val="22"/>
          <w:lang w:eastAsia="zh-CN"/>
        </w:rPr>
        <w:t xml:space="preserve"> 6 ou 3 MUI durante o </w:t>
      </w:r>
      <w:r w:rsidRPr="007232E4">
        <w:rPr>
          <w:szCs w:val="22"/>
        </w:rPr>
        <w:t>ensaio</w:t>
      </w:r>
      <w:r w:rsidRPr="007232E4">
        <w:rPr>
          <w:szCs w:val="22"/>
          <w:lang w:eastAsia="zh-CN"/>
        </w:rPr>
        <w:t xml:space="preserve"> </w:t>
      </w:r>
      <w:r>
        <w:rPr>
          <w:szCs w:val="22"/>
          <w:lang w:eastAsia="zh-CN"/>
        </w:rPr>
        <w:t xml:space="preserve">exibiram taxas de PFS livre de </w:t>
      </w:r>
      <w:r>
        <w:t>acontecimentos</w:t>
      </w:r>
      <w:r w:rsidRPr="007232E4">
        <w:rPr>
          <w:szCs w:val="22"/>
          <w:lang w:eastAsia="zh-CN"/>
        </w:rPr>
        <w:t xml:space="preserve">, aos 6, 12 e 18 meses, de 73, 52 e 21% respetivamente, quando comparado com 61, 43 e 17% na população total de doentes tratados com </w:t>
      </w:r>
      <w:r w:rsidR="00216910">
        <w:rPr>
          <w:szCs w:val="22"/>
          <w:lang w:eastAsia="zh-CN"/>
        </w:rPr>
        <w:t>bevacizumab</w:t>
      </w:r>
      <w:r w:rsidR="00216910" w:rsidRPr="007232E4">
        <w:rPr>
          <w:szCs w:val="22"/>
          <w:lang w:eastAsia="zh-CN"/>
        </w:rPr>
        <w:t xml:space="preserve"> </w:t>
      </w:r>
      <w:r w:rsidRPr="007232E4">
        <w:rPr>
          <w:szCs w:val="22"/>
          <w:lang w:eastAsia="zh-CN"/>
        </w:rPr>
        <w:t xml:space="preserve">+ IFN </w:t>
      </w:r>
      <w:r w:rsidRPr="007232E4">
        <w:t>alfa-2a</w:t>
      </w:r>
      <w:r w:rsidRPr="007232E4">
        <w:rPr>
          <w:szCs w:val="22"/>
          <w:lang w:eastAsia="zh-CN"/>
        </w:rPr>
        <w:t>.</w:t>
      </w:r>
    </w:p>
    <w:p w14:paraId="7219164F" w14:textId="77777777" w:rsidR="00400398" w:rsidRPr="007232E4" w:rsidRDefault="00400398">
      <w:pPr>
        <w:tabs>
          <w:tab w:val="left" w:pos="900"/>
        </w:tabs>
        <w:outlineLvl w:val="0"/>
        <w:rPr>
          <w:b/>
        </w:rPr>
      </w:pPr>
    </w:p>
    <w:p w14:paraId="4779D7E6" w14:textId="77777777" w:rsidR="00400398" w:rsidRPr="007232E4" w:rsidRDefault="00400398">
      <w:pPr>
        <w:tabs>
          <w:tab w:val="left" w:pos="900"/>
        </w:tabs>
        <w:outlineLvl w:val="0"/>
        <w:rPr>
          <w:i/>
        </w:rPr>
      </w:pPr>
      <w:r w:rsidRPr="007232E4">
        <w:rPr>
          <w:i/>
        </w:rPr>
        <w:t>AVF2938</w:t>
      </w:r>
    </w:p>
    <w:p w14:paraId="285C6E7E" w14:textId="77777777" w:rsidR="00400398" w:rsidRPr="007232E4" w:rsidRDefault="00400398">
      <w:pPr>
        <w:tabs>
          <w:tab w:val="left" w:pos="900"/>
        </w:tabs>
        <w:outlineLvl w:val="0"/>
      </w:pPr>
      <w:r w:rsidRPr="007232E4">
        <w:t xml:space="preserve">Este foi um </w:t>
      </w:r>
      <w:r w:rsidRPr="007232E4">
        <w:rPr>
          <w:szCs w:val="22"/>
        </w:rPr>
        <w:t>ensaio</w:t>
      </w:r>
      <w:r w:rsidRPr="007232E4">
        <w:t xml:space="preserve"> clínico de fase II, aleatorizado, com dupla ocultação, para investigação de </w:t>
      </w:r>
      <w:r w:rsidR="002F7881">
        <w:t>bevacizumab</w:t>
      </w:r>
      <w:r w:rsidR="002F7881" w:rsidRPr="007232E4">
        <w:t xml:space="preserve"> </w:t>
      </w:r>
      <w:r w:rsidRPr="007232E4">
        <w:t xml:space="preserve">10 mg/kg, administrado cada 2 semanas, com a mesma dose de </w:t>
      </w:r>
      <w:r w:rsidR="002F7881">
        <w:t>bevacizumab</w:t>
      </w:r>
      <w:r w:rsidR="002F7881" w:rsidRPr="007232E4">
        <w:t xml:space="preserve"> </w:t>
      </w:r>
      <w:r w:rsidRPr="007232E4">
        <w:t xml:space="preserve">em associação com 150 mg por dia de erlotinib, em doentes com cancro renal de células claras metastizado. Neste </w:t>
      </w:r>
      <w:r w:rsidRPr="007232E4">
        <w:rPr>
          <w:szCs w:val="22"/>
        </w:rPr>
        <w:t>ensaio</w:t>
      </w:r>
      <w:r w:rsidRPr="007232E4">
        <w:t xml:space="preserve">, um total de 104 doentes foi aleatorizado para tratamento, 53 para o braço de </w:t>
      </w:r>
      <w:r w:rsidR="002F7881">
        <w:t>bevacizumab</w:t>
      </w:r>
      <w:r w:rsidR="002F7881" w:rsidRPr="007232E4">
        <w:t xml:space="preserve"> </w:t>
      </w:r>
      <w:r w:rsidRPr="007232E4">
        <w:t xml:space="preserve">10 mg/kg cada 2 semanas e placebo, e 51 para o braço de </w:t>
      </w:r>
      <w:r w:rsidR="002F7881">
        <w:t>bevacizumab</w:t>
      </w:r>
      <w:r w:rsidR="002F7881" w:rsidRPr="007232E4">
        <w:t xml:space="preserve"> </w:t>
      </w:r>
      <w:r w:rsidRPr="007232E4">
        <w:t xml:space="preserve">10 mg/kg cada 2 semanas e erlotinib 150 mg por dia. A análise do </w:t>
      </w:r>
      <w:r w:rsidRPr="007232E4">
        <w:rPr>
          <w:iCs/>
        </w:rPr>
        <w:t xml:space="preserve">objetivo </w:t>
      </w:r>
      <w:r w:rsidRPr="007232E4">
        <w:t xml:space="preserve">primário mostrou não haver diferença entre os braços de </w:t>
      </w:r>
      <w:r w:rsidR="002F7881">
        <w:t>bevacizumab</w:t>
      </w:r>
      <w:r w:rsidR="002F7881" w:rsidRPr="007232E4">
        <w:t xml:space="preserve"> </w:t>
      </w:r>
      <w:r w:rsidRPr="007232E4">
        <w:t xml:space="preserve">+ placebo e </w:t>
      </w:r>
      <w:r w:rsidR="002F7881">
        <w:t>bevacizumab</w:t>
      </w:r>
      <w:r w:rsidR="002F7881" w:rsidRPr="007232E4">
        <w:t xml:space="preserve"> </w:t>
      </w:r>
      <w:r w:rsidRPr="007232E4">
        <w:t xml:space="preserve">+ erlotinib (mediana da PFS de 8,5 </w:t>
      </w:r>
      <w:r w:rsidRPr="007232E4">
        <w:rPr>
          <w:i/>
        </w:rPr>
        <w:t>versus</w:t>
      </w:r>
      <w:r w:rsidRPr="007232E4">
        <w:t xml:space="preserve"> 9,9 meses). Sete doentes em cada braço apresentaram resposta objetiva. A adição de erlotinib ao bevacizumab não resultou na melhoria da </w:t>
      </w:r>
      <w:r w:rsidR="00D35B8D">
        <w:t>s</w:t>
      </w:r>
      <w:r w:rsidRPr="007232E4">
        <w:t xml:space="preserve">obrevivência </w:t>
      </w:r>
      <w:r w:rsidR="00D35B8D">
        <w:t>g</w:t>
      </w:r>
      <w:r w:rsidRPr="007232E4">
        <w:t>lobal (</w:t>
      </w:r>
      <w:r w:rsidRPr="007232E4">
        <w:rPr>
          <w:i/>
        </w:rPr>
        <w:t xml:space="preserve">Hazard </w:t>
      </w:r>
      <w:r w:rsidR="00D35B8D">
        <w:rPr>
          <w:i/>
        </w:rPr>
        <w:t>r</w:t>
      </w:r>
      <w:r w:rsidRPr="007232E4">
        <w:rPr>
          <w:i/>
        </w:rPr>
        <w:t>atio</w:t>
      </w:r>
      <w:r w:rsidRPr="007232E4">
        <w:t xml:space="preserve"> = 1,764; p = </w:t>
      </w:r>
      <w:r w:rsidRPr="007232E4">
        <w:lastRenderedPageBreak/>
        <w:t xml:space="preserve">0,1789), duração da resposta objetiva (6,7 </w:t>
      </w:r>
      <w:r w:rsidRPr="007232E4">
        <w:rPr>
          <w:i/>
        </w:rPr>
        <w:t>versus</w:t>
      </w:r>
      <w:r w:rsidRPr="007232E4">
        <w:t xml:space="preserve"> 9,1</w:t>
      </w:r>
      <w:r w:rsidR="00880E7B">
        <w:t> </w:t>
      </w:r>
      <w:r w:rsidRPr="007232E4">
        <w:t>meses) ou tempo até à progressão de sintomas (</w:t>
      </w:r>
      <w:r w:rsidRPr="007232E4">
        <w:rPr>
          <w:i/>
        </w:rPr>
        <w:t xml:space="preserve">Hazard </w:t>
      </w:r>
      <w:r w:rsidR="00D35B8D">
        <w:rPr>
          <w:i/>
        </w:rPr>
        <w:t>r</w:t>
      </w:r>
      <w:r w:rsidRPr="007232E4">
        <w:rPr>
          <w:i/>
        </w:rPr>
        <w:t>atio</w:t>
      </w:r>
      <w:r w:rsidRPr="007232E4">
        <w:t xml:space="preserve"> = 1,172; p = 0,5076).</w:t>
      </w:r>
    </w:p>
    <w:p w14:paraId="7D07ACBD" w14:textId="77777777" w:rsidR="00400398" w:rsidRPr="007232E4" w:rsidRDefault="00400398">
      <w:pPr>
        <w:outlineLvl w:val="0"/>
      </w:pPr>
    </w:p>
    <w:p w14:paraId="2A7ACE1D" w14:textId="77777777" w:rsidR="00400398" w:rsidRPr="007232E4" w:rsidRDefault="00400398">
      <w:pPr>
        <w:rPr>
          <w:i/>
        </w:rPr>
      </w:pPr>
      <w:r w:rsidRPr="007232E4">
        <w:rPr>
          <w:i/>
        </w:rPr>
        <w:t>AVF0890</w:t>
      </w:r>
    </w:p>
    <w:p w14:paraId="44420753" w14:textId="77777777" w:rsidR="00400398" w:rsidRPr="007232E4" w:rsidRDefault="00400398">
      <w:pPr>
        <w:tabs>
          <w:tab w:val="left" w:pos="900"/>
        </w:tabs>
        <w:outlineLvl w:val="0"/>
        <w:rPr>
          <w:rFonts w:eastAsia="PMingLiU"/>
          <w:lang w:eastAsia="zh-CN"/>
        </w:rPr>
      </w:pPr>
      <w:r w:rsidRPr="007232E4">
        <w:t xml:space="preserve">Este foi um estudo clínico de fase II, aleatorizado, para comparação da eficácia e segurança de bevacizumab </w:t>
      </w:r>
      <w:r w:rsidRPr="007232E4">
        <w:rPr>
          <w:i/>
        </w:rPr>
        <w:t>versus</w:t>
      </w:r>
      <w:r w:rsidRPr="007232E4">
        <w:t xml:space="preserve"> placebo. Um total de 116 doentes foi aleatorizado para tratamento com </w:t>
      </w:r>
      <w:r w:rsidRPr="007232E4">
        <w:rPr>
          <w:szCs w:val="22"/>
        </w:rPr>
        <w:t xml:space="preserve">3 mg/kg de bevacizumab </w:t>
      </w:r>
      <w:r w:rsidRPr="007232E4">
        <w:t>cada 2 semanas (n = 39), 10 mg/kg cada 2 semanas (n = 37) ou placebo (n = 40). Uma análise interina demonstrou um prolongamento significativo do tempo até à progressão da doença no grupo a receber 10 mg/kg comparativamente ao grupo placebo (</w:t>
      </w:r>
      <w:r w:rsidRPr="007232E4">
        <w:rPr>
          <w:i/>
        </w:rPr>
        <w:t xml:space="preserve">Hazard </w:t>
      </w:r>
      <w:r w:rsidR="00D35B8D">
        <w:rPr>
          <w:i/>
        </w:rPr>
        <w:t>r</w:t>
      </w:r>
      <w:r w:rsidRPr="007232E4">
        <w:rPr>
          <w:i/>
        </w:rPr>
        <w:t>atio</w:t>
      </w:r>
      <w:r w:rsidRPr="007232E4">
        <w:t xml:space="preserve"> de 2,55; p &lt; 0,001). Houve uma pequena diferença, de significância marginal, entre o tempo até à progressão da doença no grupo tratado com 3</w:t>
      </w:r>
      <w:r w:rsidRPr="007232E4">
        <w:rPr>
          <w:rFonts w:eastAsia="PMingLiU"/>
          <w:lang w:eastAsia="zh-CN"/>
        </w:rPr>
        <w:t xml:space="preserve"> mg/kg e no grupo placebo </w:t>
      </w:r>
      <w:r w:rsidRPr="007232E4">
        <w:t>(</w:t>
      </w:r>
      <w:r w:rsidRPr="007232E4">
        <w:rPr>
          <w:i/>
        </w:rPr>
        <w:t xml:space="preserve">Hazard </w:t>
      </w:r>
      <w:r w:rsidR="00D35B8D">
        <w:rPr>
          <w:i/>
        </w:rPr>
        <w:t>r</w:t>
      </w:r>
      <w:r w:rsidRPr="007232E4">
        <w:rPr>
          <w:i/>
        </w:rPr>
        <w:t>atio</w:t>
      </w:r>
      <w:r w:rsidRPr="007232E4">
        <w:t xml:space="preserve"> = 1,26; p = 0,053). Quatro doentes tiveram resposta objetiva (parcial) e todos tinham recebido a dose de</w:t>
      </w:r>
      <w:r w:rsidRPr="007232E4">
        <w:rPr>
          <w:szCs w:val="22"/>
        </w:rPr>
        <w:t xml:space="preserve"> 10 mg/kg de bevacizumab; a taxa de resposta global (ORR) da dose de 10 mg/kg foi de 10%.</w:t>
      </w:r>
    </w:p>
    <w:p w14:paraId="341FDE5C" w14:textId="77777777" w:rsidR="00400398" w:rsidRPr="007232E4" w:rsidRDefault="00400398" w:rsidP="00014A0A">
      <w:pPr>
        <w:outlineLvl w:val="0"/>
        <w:rPr>
          <w:rFonts w:eastAsia="SimSun"/>
          <w:szCs w:val="22"/>
          <w:lang w:eastAsia="zh-CN"/>
        </w:rPr>
      </w:pPr>
    </w:p>
    <w:p w14:paraId="45A235C8" w14:textId="77777777" w:rsidR="00400398" w:rsidRPr="00913779" w:rsidRDefault="00400398" w:rsidP="000603E8">
      <w:pPr>
        <w:autoSpaceDE w:val="0"/>
        <w:autoSpaceDN w:val="0"/>
        <w:adjustRightInd w:val="0"/>
        <w:rPr>
          <w:i/>
          <w:szCs w:val="22"/>
          <w:u w:val="single"/>
        </w:rPr>
      </w:pPr>
      <w:r w:rsidRPr="00913779">
        <w:rPr>
          <w:i/>
          <w:szCs w:val="22"/>
          <w:u w:val="single"/>
        </w:rPr>
        <w:t>Cancro epitelial do ovário, da trompa de falópio e cancro peritoneal primário</w:t>
      </w:r>
    </w:p>
    <w:p w14:paraId="7AF602A2" w14:textId="77777777" w:rsidR="00400398" w:rsidRPr="007232E4" w:rsidRDefault="00400398" w:rsidP="000603E8">
      <w:pPr>
        <w:autoSpaceDE w:val="0"/>
        <w:autoSpaceDN w:val="0"/>
        <w:adjustRightInd w:val="0"/>
        <w:rPr>
          <w:i/>
          <w:iCs/>
          <w:szCs w:val="22"/>
          <w:u w:val="single"/>
        </w:rPr>
      </w:pPr>
    </w:p>
    <w:p w14:paraId="4ACFFDE8" w14:textId="77777777" w:rsidR="00400398" w:rsidRPr="00913779" w:rsidRDefault="00400398" w:rsidP="000603E8">
      <w:pPr>
        <w:autoSpaceDE w:val="0"/>
        <w:autoSpaceDN w:val="0"/>
        <w:adjustRightInd w:val="0"/>
        <w:rPr>
          <w:i/>
          <w:iCs/>
          <w:szCs w:val="22"/>
        </w:rPr>
      </w:pPr>
      <w:r w:rsidRPr="00913779">
        <w:rPr>
          <w:i/>
          <w:iCs/>
          <w:szCs w:val="22"/>
        </w:rPr>
        <w:t>Tratamento de primeira linha do cancro do ovário</w:t>
      </w:r>
    </w:p>
    <w:p w14:paraId="284C8D44" w14:textId="77777777" w:rsidR="00400398" w:rsidRPr="007232E4" w:rsidRDefault="00400398" w:rsidP="00380346">
      <w:pPr>
        <w:autoSpaceDE w:val="0"/>
        <w:autoSpaceDN w:val="0"/>
        <w:adjustRightInd w:val="0"/>
        <w:rPr>
          <w:i/>
          <w:iCs/>
          <w:szCs w:val="22"/>
          <w:u w:val="single"/>
        </w:rPr>
      </w:pPr>
    </w:p>
    <w:p w14:paraId="1BD43755" w14:textId="77777777" w:rsidR="00400398" w:rsidRPr="007232E4" w:rsidRDefault="00400398" w:rsidP="00380346">
      <w:pPr>
        <w:autoSpaceDE w:val="0"/>
        <w:autoSpaceDN w:val="0"/>
        <w:adjustRightInd w:val="0"/>
        <w:rPr>
          <w:szCs w:val="22"/>
        </w:rPr>
      </w:pPr>
      <w:r w:rsidRPr="007232E4">
        <w:rPr>
          <w:szCs w:val="22"/>
        </w:rPr>
        <w:t xml:space="preserve">A segurança e a eficácia de </w:t>
      </w:r>
      <w:r w:rsidR="002F7881">
        <w:rPr>
          <w:szCs w:val="22"/>
        </w:rPr>
        <w:t>bevacizumab</w:t>
      </w:r>
      <w:r w:rsidR="002F7881" w:rsidRPr="007232E4">
        <w:rPr>
          <w:szCs w:val="22"/>
        </w:rPr>
        <w:t xml:space="preserve"> </w:t>
      </w:r>
      <w:r w:rsidRPr="007232E4">
        <w:rPr>
          <w:szCs w:val="22"/>
        </w:rPr>
        <w:t xml:space="preserve">no tratamento de primeira linha de doentes com cancro epitelial do ovário, da trompa de Falópio ou cancro peritoneal primário foram estudadas em dois ensaios clínicos de fase III (GOG-0218 e BO17707) que avaliaram o efeito da adição de </w:t>
      </w:r>
      <w:r w:rsidR="002F7881">
        <w:rPr>
          <w:szCs w:val="22"/>
        </w:rPr>
        <w:t>bevacizumab</w:t>
      </w:r>
      <w:r w:rsidR="002F7881" w:rsidRPr="007232E4">
        <w:rPr>
          <w:szCs w:val="22"/>
        </w:rPr>
        <w:t xml:space="preserve"> </w:t>
      </w:r>
      <w:r w:rsidRPr="007232E4">
        <w:rPr>
          <w:szCs w:val="22"/>
        </w:rPr>
        <w:t>a carboplatina e paclitaxel em comparação com o regime de quimioterapia apenas.</w:t>
      </w:r>
    </w:p>
    <w:p w14:paraId="375B7240" w14:textId="77777777" w:rsidR="00400398" w:rsidRPr="007232E4" w:rsidRDefault="00400398" w:rsidP="00380346">
      <w:pPr>
        <w:autoSpaceDE w:val="0"/>
        <w:autoSpaceDN w:val="0"/>
        <w:adjustRightInd w:val="0"/>
        <w:rPr>
          <w:szCs w:val="22"/>
        </w:rPr>
      </w:pPr>
      <w:r w:rsidRPr="007232E4">
        <w:rPr>
          <w:szCs w:val="22"/>
        </w:rPr>
        <w:t xml:space="preserve"> </w:t>
      </w:r>
    </w:p>
    <w:p w14:paraId="4A3AC7D5" w14:textId="77777777" w:rsidR="00400398" w:rsidRPr="007232E4" w:rsidRDefault="00400398" w:rsidP="00380346">
      <w:pPr>
        <w:autoSpaceDE w:val="0"/>
        <w:autoSpaceDN w:val="0"/>
        <w:adjustRightInd w:val="0"/>
        <w:rPr>
          <w:i/>
          <w:iCs/>
          <w:szCs w:val="22"/>
        </w:rPr>
      </w:pPr>
      <w:r w:rsidRPr="007232E4">
        <w:rPr>
          <w:i/>
          <w:iCs/>
          <w:szCs w:val="22"/>
        </w:rPr>
        <w:t>GOG-0218</w:t>
      </w:r>
    </w:p>
    <w:p w14:paraId="4C111443" w14:textId="77777777" w:rsidR="00400398" w:rsidRPr="007232E4" w:rsidRDefault="00400398" w:rsidP="00380346">
      <w:pPr>
        <w:autoSpaceDE w:val="0"/>
        <w:autoSpaceDN w:val="0"/>
        <w:adjustRightInd w:val="0"/>
        <w:rPr>
          <w:szCs w:val="22"/>
        </w:rPr>
      </w:pPr>
      <w:r w:rsidRPr="007232E4">
        <w:rPr>
          <w:szCs w:val="22"/>
        </w:rPr>
        <w:t xml:space="preserve">O estudo GOG-0218 foi um ensaio clínico de fase III multicêntrico, aleatorizado, em dupla ocultação, controlado por placebo, com três braços, para avaliar o efeito da adição de </w:t>
      </w:r>
      <w:r w:rsidR="00CD4102">
        <w:rPr>
          <w:szCs w:val="22"/>
        </w:rPr>
        <w:t>bevacizumab</w:t>
      </w:r>
      <w:r w:rsidR="00CD4102" w:rsidRPr="007232E4">
        <w:rPr>
          <w:szCs w:val="22"/>
        </w:rPr>
        <w:t xml:space="preserve"> </w:t>
      </w:r>
      <w:r w:rsidRPr="007232E4">
        <w:rPr>
          <w:szCs w:val="22"/>
        </w:rPr>
        <w:t>a um regime de quimioterapia aprovado (carboplatina e paclitaxel) em doentes com cancro epitelial do ovário, da trompa de Falópio ou peritoneal primário avançados (estadios III B, III C e IV</w:t>
      </w:r>
      <w:r w:rsidR="008D4766">
        <w:rPr>
          <w:szCs w:val="22"/>
        </w:rPr>
        <w:t xml:space="preserve"> de acordo com a versão d</w:t>
      </w:r>
      <w:r w:rsidR="002166F9">
        <w:rPr>
          <w:szCs w:val="22"/>
        </w:rPr>
        <w:t>e</w:t>
      </w:r>
      <w:r w:rsidR="008D4766">
        <w:rPr>
          <w:szCs w:val="22"/>
        </w:rPr>
        <w:t xml:space="preserve"> estadiamento FIGO datada de 1988</w:t>
      </w:r>
      <w:r w:rsidRPr="007232E4">
        <w:rPr>
          <w:szCs w:val="22"/>
        </w:rPr>
        <w:t xml:space="preserve">). </w:t>
      </w:r>
    </w:p>
    <w:p w14:paraId="46433F08" w14:textId="77777777" w:rsidR="00947564" w:rsidRDefault="00947564" w:rsidP="00380346">
      <w:pPr>
        <w:autoSpaceDE w:val="0"/>
        <w:autoSpaceDN w:val="0"/>
        <w:adjustRightInd w:val="0"/>
        <w:rPr>
          <w:szCs w:val="22"/>
        </w:rPr>
      </w:pPr>
    </w:p>
    <w:p w14:paraId="1CD5F6F1" w14:textId="77777777" w:rsidR="00400398" w:rsidRPr="007232E4" w:rsidRDefault="00400398" w:rsidP="00380346">
      <w:pPr>
        <w:autoSpaceDE w:val="0"/>
        <w:autoSpaceDN w:val="0"/>
        <w:adjustRightInd w:val="0"/>
        <w:rPr>
          <w:szCs w:val="22"/>
        </w:rPr>
      </w:pPr>
      <w:r w:rsidRPr="007232E4">
        <w:rPr>
          <w:szCs w:val="22"/>
        </w:rPr>
        <w:t>Foram excluídos do estudo os doentes que receberam terapêutica prévia com bevacizumab, tratamento sistémico antineoplásico prévio para o cancro do ovário (ex: quimioterapia, terapêutica com anticorpos monoclonais, inibidores da tirosina cinase ou terapêutica hormonal) ou que foram previamente sujeitos a radioterapia no abdomén ou pélvis.</w:t>
      </w:r>
    </w:p>
    <w:p w14:paraId="576F37A4" w14:textId="77777777" w:rsidR="00400398" w:rsidRPr="007232E4" w:rsidRDefault="00400398" w:rsidP="00380346">
      <w:pPr>
        <w:autoSpaceDE w:val="0"/>
        <w:autoSpaceDN w:val="0"/>
        <w:adjustRightInd w:val="0"/>
        <w:rPr>
          <w:szCs w:val="22"/>
        </w:rPr>
      </w:pPr>
    </w:p>
    <w:p w14:paraId="60B68257" w14:textId="77777777" w:rsidR="00400398" w:rsidRPr="007232E4" w:rsidRDefault="00400398" w:rsidP="00380346">
      <w:pPr>
        <w:autoSpaceDE w:val="0"/>
        <w:autoSpaceDN w:val="0"/>
        <w:adjustRightInd w:val="0"/>
        <w:rPr>
          <w:szCs w:val="22"/>
        </w:rPr>
      </w:pPr>
      <w:r w:rsidRPr="007232E4">
        <w:rPr>
          <w:szCs w:val="22"/>
        </w:rPr>
        <w:t>Um total de 1873 doentes foi aleatorizado em proporções iguais nos três braços seguintes:</w:t>
      </w:r>
    </w:p>
    <w:p w14:paraId="54B335CC" w14:textId="77777777" w:rsidR="00400398" w:rsidRPr="007232E4" w:rsidRDefault="00400398" w:rsidP="00380346">
      <w:pPr>
        <w:autoSpaceDE w:val="0"/>
        <w:autoSpaceDN w:val="0"/>
        <w:adjustRightInd w:val="0"/>
        <w:rPr>
          <w:szCs w:val="22"/>
        </w:rPr>
      </w:pPr>
    </w:p>
    <w:p w14:paraId="7A23A60D" w14:textId="77777777" w:rsidR="00400398" w:rsidRPr="007232E4" w:rsidRDefault="00400398" w:rsidP="00654891">
      <w:pPr>
        <w:autoSpaceDE w:val="0"/>
        <w:autoSpaceDN w:val="0"/>
        <w:adjustRightInd w:val="0"/>
        <w:ind w:left="720" w:hanging="360"/>
        <w:rPr>
          <w:szCs w:val="22"/>
        </w:rPr>
      </w:pPr>
      <w:r w:rsidRPr="007232E4">
        <w:rPr>
          <w:sz w:val="32"/>
          <w:szCs w:val="32"/>
        </w:rPr>
        <w:t>•</w:t>
      </w:r>
      <w:r w:rsidRPr="007232E4">
        <w:rPr>
          <w:szCs w:val="22"/>
        </w:rPr>
        <w:tab/>
        <w:t>Braço CPP: Cinco ciclos de placebo (iniciado no 2º ciclo) em associação com carboplatina (AUC 6) e paclitaxel (175 mg/m</w:t>
      </w:r>
      <w:r w:rsidRPr="007232E4">
        <w:rPr>
          <w:szCs w:val="22"/>
          <w:vertAlign w:val="superscript"/>
        </w:rPr>
        <w:t>2</w:t>
      </w:r>
      <w:r w:rsidRPr="007232E4">
        <w:rPr>
          <w:szCs w:val="22"/>
        </w:rPr>
        <w:t>) durante 6 ciclos seguido de placebo em monoterapia, durante um total de 15 meses de terapêutica</w:t>
      </w:r>
    </w:p>
    <w:p w14:paraId="44A643D9" w14:textId="77777777" w:rsidR="00400398" w:rsidRPr="007232E4" w:rsidRDefault="00400398" w:rsidP="00654891">
      <w:pPr>
        <w:autoSpaceDE w:val="0"/>
        <w:autoSpaceDN w:val="0"/>
        <w:adjustRightInd w:val="0"/>
        <w:ind w:left="720" w:hanging="360"/>
        <w:rPr>
          <w:szCs w:val="22"/>
        </w:rPr>
      </w:pPr>
      <w:r w:rsidRPr="007232E4">
        <w:rPr>
          <w:sz w:val="32"/>
          <w:szCs w:val="32"/>
        </w:rPr>
        <w:t>•</w:t>
      </w:r>
      <w:r w:rsidRPr="007232E4">
        <w:rPr>
          <w:sz w:val="32"/>
          <w:szCs w:val="32"/>
        </w:rPr>
        <w:tab/>
      </w:r>
      <w:r w:rsidRPr="007232E4">
        <w:rPr>
          <w:szCs w:val="22"/>
        </w:rPr>
        <w:t xml:space="preserve">Braço CPB15: Cinco ciclos de </w:t>
      </w:r>
      <w:r w:rsidR="00CD4102">
        <w:rPr>
          <w:szCs w:val="22"/>
        </w:rPr>
        <w:t>bevacizumab</w:t>
      </w:r>
      <w:r w:rsidR="00CD4102" w:rsidRPr="007232E4">
        <w:rPr>
          <w:szCs w:val="22"/>
        </w:rPr>
        <w:t xml:space="preserve"> </w:t>
      </w:r>
      <w:r w:rsidRPr="007232E4">
        <w:rPr>
          <w:szCs w:val="22"/>
        </w:rPr>
        <w:t>(15 mg/kg a cada 3 semanas iniciado no 2º ciclo) em associação com carboplatina (AUC 6) e paclitaxel (175 mg/m</w:t>
      </w:r>
      <w:r w:rsidRPr="007232E4">
        <w:rPr>
          <w:szCs w:val="22"/>
          <w:vertAlign w:val="superscript"/>
        </w:rPr>
        <w:t>2</w:t>
      </w:r>
      <w:r w:rsidRPr="007232E4">
        <w:rPr>
          <w:szCs w:val="22"/>
        </w:rPr>
        <w:t>) durante 6 ciclos, seguido de placebo em monoterapia durante um total de 15 meses de terapêutica</w:t>
      </w:r>
    </w:p>
    <w:p w14:paraId="3985B0E0" w14:textId="77777777" w:rsidR="00400398" w:rsidRPr="007232E4" w:rsidRDefault="00400398" w:rsidP="00654891">
      <w:pPr>
        <w:autoSpaceDE w:val="0"/>
        <w:autoSpaceDN w:val="0"/>
        <w:adjustRightInd w:val="0"/>
        <w:ind w:left="720" w:hanging="360"/>
        <w:rPr>
          <w:szCs w:val="22"/>
        </w:rPr>
      </w:pPr>
      <w:r w:rsidRPr="007232E4">
        <w:rPr>
          <w:sz w:val="32"/>
          <w:szCs w:val="32"/>
        </w:rPr>
        <w:t>•</w:t>
      </w:r>
      <w:r w:rsidRPr="007232E4">
        <w:rPr>
          <w:sz w:val="32"/>
          <w:szCs w:val="32"/>
        </w:rPr>
        <w:tab/>
      </w:r>
      <w:r w:rsidRPr="007232E4">
        <w:rPr>
          <w:szCs w:val="22"/>
        </w:rPr>
        <w:t xml:space="preserve">Braço CPB15+: Cinco ciclos de </w:t>
      </w:r>
      <w:r w:rsidR="00CD4102">
        <w:rPr>
          <w:szCs w:val="22"/>
        </w:rPr>
        <w:t>bevacizumab</w:t>
      </w:r>
      <w:r w:rsidR="00CD4102" w:rsidRPr="007232E4">
        <w:rPr>
          <w:szCs w:val="22"/>
        </w:rPr>
        <w:t xml:space="preserve"> </w:t>
      </w:r>
      <w:r w:rsidRPr="007232E4">
        <w:rPr>
          <w:szCs w:val="22"/>
        </w:rPr>
        <w:t>(15 mg/kg a cada 3 semanas iniciado no 2º ciclo) em associação com carboplatina (AUC 6) e paclitaxel (175 mg/m</w:t>
      </w:r>
      <w:r w:rsidRPr="007232E4">
        <w:rPr>
          <w:szCs w:val="22"/>
          <w:vertAlign w:val="superscript"/>
        </w:rPr>
        <w:t>2</w:t>
      </w:r>
      <w:r w:rsidRPr="007232E4">
        <w:rPr>
          <w:szCs w:val="22"/>
        </w:rPr>
        <w:t xml:space="preserve">) durante 6 ciclos, seguido do uso continuado de </w:t>
      </w:r>
      <w:r w:rsidR="00CD4102">
        <w:rPr>
          <w:szCs w:val="22"/>
        </w:rPr>
        <w:t>bevacizumab</w:t>
      </w:r>
      <w:r w:rsidR="00CD4102" w:rsidRPr="007232E4">
        <w:rPr>
          <w:szCs w:val="22"/>
        </w:rPr>
        <w:t xml:space="preserve"> </w:t>
      </w:r>
      <w:r w:rsidRPr="007232E4">
        <w:rPr>
          <w:szCs w:val="22"/>
        </w:rPr>
        <w:t xml:space="preserve">(15 mg/kg a cada 3 semanas) </w:t>
      </w:r>
      <w:r w:rsidRPr="007232E4">
        <w:t>como agente único</w:t>
      </w:r>
      <w:r w:rsidRPr="007232E4" w:rsidDel="00E814E3">
        <w:rPr>
          <w:szCs w:val="22"/>
        </w:rPr>
        <w:t xml:space="preserve"> </w:t>
      </w:r>
      <w:r w:rsidRPr="007232E4">
        <w:rPr>
          <w:szCs w:val="22"/>
        </w:rPr>
        <w:t>durante um total de 15 meses de terapêutica.</w:t>
      </w:r>
    </w:p>
    <w:p w14:paraId="58DF616F" w14:textId="77777777" w:rsidR="00400398" w:rsidRPr="007232E4" w:rsidRDefault="00400398" w:rsidP="00380346">
      <w:pPr>
        <w:autoSpaceDE w:val="0"/>
        <w:autoSpaceDN w:val="0"/>
        <w:adjustRightInd w:val="0"/>
        <w:rPr>
          <w:szCs w:val="22"/>
        </w:rPr>
      </w:pPr>
    </w:p>
    <w:p w14:paraId="0CA9B3EC" w14:textId="77777777" w:rsidR="00400398" w:rsidRPr="007232E4" w:rsidRDefault="00400398" w:rsidP="002C60CF">
      <w:pPr>
        <w:rPr>
          <w:rFonts w:eastAsia="PMingLiU"/>
          <w:lang w:eastAsia="zh-CN"/>
        </w:rPr>
      </w:pPr>
      <w:r w:rsidRPr="007232E4">
        <w:rPr>
          <w:rFonts w:eastAsia="PMingLiU"/>
          <w:lang w:eastAsia="zh-CN"/>
        </w:rPr>
        <w:t xml:space="preserve">A maioria dos doentes incluídos no ensaio era de raça branca (87% nos três braços); a mediana da idade era de 60 anos nos braços CPP e CPB15 e de 59 anos no braço CPB15+; 29% dos doentes no braço CPP e CPB15 e 26% no CPB15+ tinham mais de 65 anos. De uma forma geral, aproximadamente 50% dos doentes tinham um </w:t>
      </w:r>
      <w:r w:rsidRPr="007232E4">
        <w:rPr>
          <w:rFonts w:eastAsia="PMingLiU"/>
          <w:i/>
          <w:lang w:eastAsia="zh-CN"/>
        </w:rPr>
        <w:t>performance status</w:t>
      </w:r>
      <w:r w:rsidRPr="007232E4">
        <w:rPr>
          <w:rFonts w:eastAsia="PMingLiU"/>
          <w:lang w:eastAsia="zh-CN"/>
        </w:rPr>
        <w:t xml:space="preserve"> (PS) GOG inicial de 0, 43% tinham PS GOG de 1, e 7% tinham PS GOG de 2. A maioria dos doentes tinha </w:t>
      </w:r>
      <w:r w:rsidRPr="007232E4">
        <w:rPr>
          <w:szCs w:val="22"/>
        </w:rPr>
        <w:t>cancro epitelial do ovário</w:t>
      </w:r>
      <w:r w:rsidRPr="007232E4">
        <w:rPr>
          <w:rFonts w:eastAsia="PMingLiU"/>
          <w:lang w:eastAsia="zh-CN"/>
        </w:rPr>
        <w:t xml:space="preserve"> (82% no CPP e CPB15, 85% no CPB15+), seguido do cancro </w:t>
      </w:r>
      <w:r w:rsidRPr="007232E4">
        <w:rPr>
          <w:szCs w:val="22"/>
        </w:rPr>
        <w:t>peritoneal primário</w:t>
      </w:r>
      <w:r w:rsidRPr="007232E4">
        <w:rPr>
          <w:rFonts w:eastAsia="PMingLiU"/>
          <w:lang w:eastAsia="zh-CN"/>
        </w:rPr>
        <w:t xml:space="preserve"> (16% no CPP, 15% no CPB15 e 13% no CPB15+) e do cancro da </w:t>
      </w:r>
      <w:r w:rsidRPr="007232E4">
        <w:rPr>
          <w:szCs w:val="22"/>
        </w:rPr>
        <w:t>trompa de Falópio</w:t>
      </w:r>
      <w:r w:rsidRPr="007232E4">
        <w:rPr>
          <w:rFonts w:eastAsia="PMingLiU"/>
          <w:lang w:eastAsia="zh-CN"/>
        </w:rPr>
        <w:t xml:space="preserve"> (1% no CPP, 3% no CPB15 e 2% no CPB15+). A maioria dos doentes tinha adenocarcinoma histológico do tipo seroso (85% no CPP e </w:t>
      </w:r>
      <w:r w:rsidRPr="007232E4">
        <w:rPr>
          <w:rFonts w:eastAsia="PMingLiU"/>
          <w:lang w:eastAsia="zh-CN"/>
        </w:rPr>
        <w:lastRenderedPageBreak/>
        <w:t>CPB15, 86% no CPB15+). Aproximadamente 34% dos doentes estavam no estadio FIGO III otimamente citoreduzido e com doença residual visível, 40% no estadio III com citoredução sub-ótima, e 26% eram doentes de estadio IV.</w:t>
      </w:r>
    </w:p>
    <w:p w14:paraId="65681AFB" w14:textId="77777777" w:rsidR="00400398" w:rsidRPr="007232E4" w:rsidRDefault="00400398" w:rsidP="002C60CF">
      <w:pPr>
        <w:rPr>
          <w:szCs w:val="22"/>
        </w:rPr>
      </w:pPr>
    </w:p>
    <w:p w14:paraId="65DFFC81" w14:textId="77777777" w:rsidR="00400398" w:rsidRPr="007232E4" w:rsidRDefault="00400398" w:rsidP="00380346">
      <w:pPr>
        <w:autoSpaceDE w:val="0"/>
        <w:autoSpaceDN w:val="0"/>
        <w:adjustRightInd w:val="0"/>
        <w:rPr>
          <w:szCs w:val="22"/>
        </w:rPr>
      </w:pPr>
      <w:r w:rsidRPr="007232E4">
        <w:rPr>
          <w:szCs w:val="22"/>
        </w:rPr>
        <w:t xml:space="preserve">O objetivo primário foi a PFS baseada na avaliação do investigador da progressão da doença, com base nos </w:t>
      </w:r>
      <w:r w:rsidRPr="007232E4">
        <w:rPr>
          <w:i/>
          <w:szCs w:val="22"/>
        </w:rPr>
        <w:t>scans</w:t>
      </w:r>
      <w:r w:rsidRPr="007232E4">
        <w:rPr>
          <w:szCs w:val="22"/>
        </w:rPr>
        <w:t xml:space="preserve"> radiológicos e nos níveis CA-125, ou na deterioração sintomática por protocolo. Adicionalmente, foi também realizada uma análise pré-especificada dos dados censurados para os </w:t>
      </w:r>
      <w:r>
        <w:t>acontecimentos</w:t>
      </w:r>
      <w:r w:rsidRPr="007232E4">
        <w:rPr>
          <w:szCs w:val="22"/>
        </w:rPr>
        <w:t xml:space="preserve"> de progressão CA-125, bem como uma revisão independente da PFS determinada pelos </w:t>
      </w:r>
      <w:r w:rsidRPr="007232E4">
        <w:rPr>
          <w:i/>
          <w:szCs w:val="22"/>
        </w:rPr>
        <w:t>scans</w:t>
      </w:r>
      <w:r w:rsidRPr="007232E4">
        <w:rPr>
          <w:szCs w:val="22"/>
        </w:rPr>
        <w:t xml:space="preserve"> radiológicos.</w:t>
      </w:r>
    </w:p>
    <w:p w14:paraId="5CE6BB3A" w14:textId="77777777" w:rsidR="00400398" w:rsidRPr="007232E4" w:rsidRDefault="00400398" w:rsidP="00380346">
      <w:pPr>
        <w:autoSpaceDE w:val="0"/>
        <w:autoSpaceDN w:val="0"/>
        <w:adjustRightInd w:val="0"/>
        <w:rPr>
          <w:szCs w:val="22"/>
        </w:rPr>
      </w:pPr>
    </w:p>
    <w:p w14:paraId="1AA97C29" w14:textId="77777777" w:rsidR="00400398" w:rsidRPr="007232E4" w:rsidRDefault="00400398" w:rsidP="009D2E40">
      <w:pPr>
        <w:autoSpaceDE w:val="0"/>
        <w:autoSpaceDN w:val="0"/>
        <w:adjustRightInd w:val="0"/>
        <w:rPr>
          <w:szCs w:val="22"/>
        </w:rPr>
      </w:pPr>
      <w:r w:rsidRPr="007232E4">
        <w:rPr>
          <w:szCs w:val="22"/>
        </w:rPr>
        <w:t xml:space="preserve">O ensaio atingiu o objetivo primário de aumento da PFS. Comparativamente com os doentes tratados apenas com quimioterapia em primeira linha (carboplatina e paclitaxel), os doentes que receberam bevacizumab numa dose de 15 mg/kg a cada 3 semanas em associação com quimioterapia e continuaram a receber bevacizumab em monoterapia (CPB15+), tiveram um aumento da PFS clinicamente importante e estatisticamente significativo. </w:t>
      </w:r>
    </w:p>
    <w:p w14:paraId="730CED6F" w14:textId="77777777" w:rsidR="00400398" w:rsidRPr="007232E4" w:rsidRDefault="00400398" w:rsidP="00380346">
      <w:pPr>
        <w:autoSpaceDE w:val="0"/>
        <w:autoSpaceDN w:val="0"/>
        <w:adjustRightInd w:val="0"/>
        <w:rPr>
          <w:szCs w:val="22"/>
        </w:rPr>
      </w:pPr>
    </w:p>
    <w:p w14:paraId="51FDB289" w14:textId="77777777" w:rsidR="00400398" w:rsidRPr="007232E4" w:rsidRDefault="00400398" w:rsidP="009D2E40">
      <w:pPr>
        <w:autoSpaceDE w:val="0"/>
        <w:autoSpaceDN w:val="0"/>
        <w:adjustRightInd w:val="0"/>
        <w:rPr>
          <w:szCs w:val="22"/>
        </w:rPr>
      </w:pPr>
      <w:r w:rsidRPr="007232E4">
        <w:rPr>
          <w:szCs w:val="22"/>
        </w:rPr>
        <w:t xml:space="preserve">Em doentes que apenas receberam bevacizumab em associação com quimioterapia e que não continuaram a receber bevacizumab em monoterapia (CPB15), não foi observado benefício clinicamente significativo na PFS. </w:t>
      </w:r>
    </w:p>
    <w:p w14:paraId="0CB70B50" w14:textId="77777777" w:rsidR="00400398" w:rsidRPr="007232E4" w:rsidRDefault="00400398" w:rsidP="00380346">
      <w:pPr>
        <w:autoSpaceDE w:val="0"/>
        <w:autoSpaceDN w:val="0"/>
        <w:adjustRightInd w:val="0"/>
        <w:rPr>
          <w:szCs w:val="22"/>
        </w:rPr>
      </w:pPr>
    </w:p>
    <w:p w14:paraId="6539B1DC" w14:textId="77777777" w:rsidR="00400398" w:rsidRPr="007232E4" w:rsidRDefault="00400398" w:rsidP="00380346">
      <w:pPr>
        <w:autoSpaceDE w:val="0"/>
        <w:autoSpaceDN w:val="0"/>
        <w:adjustRightInd w:val="0"/>
        <w:rPr>
          <w:szCs w:val="22"/>
        </w:rPr>
      </w:pPr>
      <w:r w:rsidRPr="007232E4">
        <w:rPr>
          <w:szCs w:val="22"/>
        </w:rPr>
        <w:t xml:space="preserve">Os resultados deste estudo são resumidos na Tabela </w:t>
      </w:r>
      <w:r w:rsidR="00835CCD" w:rsidRPr="007232E4">
        <w:rPr>
          <w:szCs w:val="22"/>
        </w:rPr>
        <w:t>1</w:t>
      </w:r>
      <w:r w:rsidR="00835CCD">
        <w:rPr>
          <w:szCs w:val="22"/>
        </w:rPr>
        <w:t>6</w:t>
      </w:r>
      <w:r w:rsidRPr="007232E4">
        <w:rPr>
          <w:szCs w:val="22"/>
        </w:rPr>
        <w:t>.</w:t>
      </w:r>
    </w:p>
    <w:p w14:paraId="71692ECB" w14:textId="77777777" w:rsidR="00400398" w:rsidRPr="007232E4" w:rsidRDefault="00400398" w:rsidP="00380346">
      <w:pPr>
        <w:autoSpaceDE w:val="0"/>
        <w:autoSpaceDN w:val="0"/>
        <w:adjustRightInd w:val="0"/>
        <w:rPr>
          <w:szCs w:val="22"/>
        </w:rPr>
      </w:pPr>
    </w:p>
    <w:p w14:paraId="6B3514D5" w14:textId="77777777" w:rsidR="00400398" w:rsidRPr="007232E4" w:rsidRDefault="00400398" w:rsidP="001E05C2">
      <w:pPr>
        <w:keepNext/>
        <w:keepLines/>
        <w:autoSpaceDE w:val="0"/>
        <w:autoSpaceDN w:val="0"/>
        <w:adjustRightInd w:val="0"/>
        <w:rPr>
          <w:szCs w:val="22"/>
        </w:rPr>
      </w:pPr>
      <w:r w:rsidRPr="007232E4">
        <w:rPr>
          <w:b/>
          <w:szCs w:val="22"/>
        </w:rPr>
        <w:t xml:space="preserve">Tabela </w:t>
      </w:r>
      <w:r w:rsidR="00835CCD" w:rsidRPr="007232E4">
        <w:rPr>
          <w:b/>
          <w:szCs w:val="22"/>
        </w:rPr>
        <w:t>1</w:t>
      </w:r>
      <w:r w:rsidR="00835CCD">
        <w:rPr>
          <w:b/>
          <w:szCs w:val="22"/>
        </w:rPr>
        <w:t>6</w:t>
      </w:r>
      <w:r w:rsidRPr="007232E4">
        <w:rPr>
          <w:b/>
          <w:szCs w:val="22"/>
        </w:rPr>
        <w:tab/>
        <w:t>Resultados de eficácia do estudo GOG-0218</w:t>
      </w:r>
    </w:p>
    <w:tbl>
      <w:tblPr>
        <w:tblW w:w="4766"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663"/>
        <w:gridCol w:w="1991"/>
        <w:gridCol w:w="1991"/>
        <w:gridCol w:w="1992"/>
      </w:tblGrid>
      <w:tr w:rsidR="00400398" w:rsidRPr="00215594" w14:paraId="6DC738E0" w14:textId="77777777" w:rsidTr="00D91337">
        <w:tc>
          <w:tcPr>
            <w:tcW w:w="8776" w:type="dxa"/>
            <w:gridSpan w:val="4"/>
            <w:tcBorders>
              <w:top w:val="single" w:sz="4" w:space="0" w:color="auto"/>
              <w:left w:val="single" w:sz="4" w:space="0" w:color="auto"/>
              <w:bottom w:val="single" w:sz="6" w:space="0" w:color="000000"/>
              <w:right w:val="single" w:sz="4" w:space="0" w:color="auto"/>
            </w:tcBorders>
          </w:tcPr>
          <w:p w14:paraId="6E6D2F94" w14:textId="77777777" w:rsidR="00400398" w:rsidRPr="00C82494" w:rsidRDefault="00400398" w:rsidP="00654891">
            <w:pPr>
              <w:pStyle w:val="TableText10"/>
              <w:keepNext/>
              <w:keepLines/>
              <w:spacing w:line="280" w:lineRule="atLeast"/>
              <w:rPr>
                <w:rFonts w:eastAsia="MS Mincho"/>
                <w:noProof/>
              </w:rPr>
            </w:pPr>
            <w:r w:rsidRPr="007232E4">
              <w:rPr>
                <w:rFonts w:eastAsia="MS Mincho"/>
                <w:bCs/>
              </w:rPr>
              <w:t>Sobrevivência livre de progressão</w:t>
            </w:r>
            <w:r w:rsidRPr="007232E4">
              <w:rPr>
                <w:rFonts w:eastAsia="MS Mincho"/>
                <w:bCs/>
                <w:vertAlign w:val="superscript"/>
              </w:rPr>
              <w:t>1</w:t>
            </w:r>
          </w:p>
        </w:tc>
      </w:tr>
      <w:tr w:rsidR="00400398" w:rsidRPr="00215594" w14:paraId="1E28BDB3" w14:textId="77777777" w:rsidTr="00D91337">
        <w:tc>
          <w:tcPr>
            <w:tcW w:w="2706" w:type="dxa"/>
            <w:tcBorders>
              <w:left w:val="single" w:sz="4" w:space="0" w:color="auto"/>
            </w:tcBorders>
          </w:tcPr>
          <w:p w14:paraId="0EDDC9D0" w14:textId="77777777" w:rsidR="00400398" w:rsidRPr="00C82494" w:rsidRDefault="00400398" w:rsidP="00654891">
            <w:pPr>
              <w:pStyle w:val="TableText10"/>
              <w:keepNext/>
              <w:keepLines/>
              <w:spacing w:line="280" w:lineRule="atLeast"/>
              <w:jc w:val="center"/>
              <w:rPr>
                <w:rFonts w:eastAsia="MS Mincho"/>
                <w:noProof/>
              </w:rPr>
            </w:pPr>
          </w:p>
        </w:tc>
        <w:tc>
          <w:tcPr>
            <w:tcW w:w="2023" w:type="dxa"/>
            <w:vAlign w:val="center"/>
          </w:tcPr>
          <w:p w14:paraId="6D93DB58" w14:textId="77777777" w:rsidR="00400398" w:rsidRPr="00C82494" w:rsidRDefault="00400398" w:rsidP="00654891">
            <w:pPr>
              <w:pStyle w:val="NormalWeb"/>
              <w:keepNext/>
              <w:keepLines/>
              <w:widowControl w:val="0"/>
              <w:spacing w:before="0" w:beforeAutospacing="0" w:after="0" w:afterAutospacing="0" w:line="280" w:lineRule="atLeast"/>
              <w:jc w:val="center"/>
              <w:rPr>
                <w:noProof/>
                <w:sz w:val="20"/>
              </w:rPr>
            </w:pPr>
            <w:r w:rsidRPr="00C82494">
              <w:rPr>
                <w:noProof/>
                <w:sz w:val="20"/>
              </w:rPr>
              <w:t>CPP</w:t>
            </w:r>
          </w:p>
          <w:p w14:paraId="5C52B44E" w14:textId="77777777" w:rsidR="00400398" w:rsidRPr="00C82494" w:rsidRDefault="00400398" w:rsidP="00654891">
            <w:pPr>
              <w:keepNext/>
              <w:keepLines/>
              <w:spacing w:line="280" w:lineRule="atLeast"/>
              <w:jc w:val="center"/>
              <w:rPr>
                <w:rFonts w:eastAsia="MS Mincho"/>
                <w:noProof/>
                <w:sz w:val="20"/>
              </w:rPr>
            </w:pPr>
            <w:r w:rsidRPr="00C82494">
              <w:rPr>
                <w:rFonts w:eastAsia="MS Mincho"/>
                <w:noProof/>
                <w:sz w:val="20"/>
              </w:rPr>
              <w:t xml:space="preserve"> (n</w:t>
            </w:r>
            <w:r>
              <w:rPr>
                <w:rFonts w:eastAsia="MS Mincho"/>
                <w:noProof/>
                <w:sz w:val="20"/>
              </w:rPr>
              <w:t> </w:t>
            </w:r>
            <w:r w:rsidRPr="00C82494">
              <w:rPr>
                <w:rFonts w:eastAsia="MS Mincho"/>
                <w:noProof/>
                <w:sz w:val="20"/>
              </w:rPr>
              <w:t>=</w:t>
            </w:r>
            <w:r>
              <w:rPr>
                <w:rFonts w:eastAsia="MS Mincho"/>
                <w:noProof/>
                <w:sz w:val="20"/>
              </w:rPr>
              <w:t> </w:t>
            </w:r>
            <w:r w:rsidRPr="00C82494">
              <w:rPr>
                <w:rFonts w:eastAsia="MS Mincho"/>
                <w:noProof/>
                <w:sz w:val="20"/>
              </w:rPr>
              <w:t>625)</w:t>
            </w:r>
          </w:p>
        </w:tc>
        <w:tc>
          <w:tcPr>
            <w:tcW w:w="2023" w:type="dxa"/>
            <w:vAlign w:val="center"/>
          </w:tcPr>
          <w:p w14:paraId="6BDBFF8E" w14:textId="77777777" w:rsidR="00400398" w:rsidRPr="00C82494" w:rsidRDefault="00400398" w:rsidP="00654891">
            <w:pPr>
              <w:keepNext/>
              <w:keepLines/>
              <w:spacing w:line="280" w:lineRule="atLeast"/>
              <w:jc w:val="center"/>
              <w:rPr>
                <w:rFonts w:eastAsia="MS Mincho"/>
                <w:noProof/>
                <w:sz w:val="20"/>
              </w:rPr>
            </w:pPr>
            <w:r w:rsidRPr="00C82494">
              <w:rPr>
                <w:rFonts w:eastAsia="MS Mincho"/>
                <w:noProof/>
                <w:sz w:val="20"/>
              </w:rPr>
              <w:t>CPB15</w:t>
            </w:r>
          </w:p>
          <w:p w14:paraId="71E7E803" w14:textId="77777777" w:rsidR="00400398" w:rsidRPr="00C82494" w:rsidRDefault="00400398" w:rsidP="00654891">
            <w:pPr>
              <w:keepNext/>
              <w:keepLines/>
              <w:spacing w:line="280" w:lineRule="atLeast"/>
              <w:jc w:val="center"/>
              <w:rPr>
                <w:rFonts w:eastAsia="MS Mincho"/>
                <w:noProof/>
                <w:sz w:val="20"/>
              </w:rPr>
            </w:pPr>
            <w:r w:rsidRPr="00C82494">
              <w:rPr>
                <w:rFonts w:eastAsia="MS Mincho"/>
                <w:noProof/>
                <w:sz w:val="20"/>
              </w:rPr>
              <w:t xml:space="preserve"> (n</w:t>
            </w:r>
            <w:r>
              <w:rPr>
                <w:rFonts w:eastAsia="MS Mincho"/>
                <w:noProof/>
                <w:sz w:val="20"/>
              </w:rPr>
              <w:t> </w:t>
            </w:r>
            <w:r w:rsidRPr="00C82494">
              <w:rPr>
                <w:rFonts w:eastAsia="MS Mincho"/>
                <w:noProof/>
                <w:sz w:val="20"/>
              </w:rPr>
              <w:t>= 625)</w:t>
            </w:r>
          </w:p>
        </w:tc>
        <w:tc>
          <w:tcPr>
            <w:tcW w:w="2024" w:type="dxa"/>
            <w:tcBorders>
              <w:right w:val="single" w:sz="4" w:space="0" w:color="auto"/>
            </w:tcBorders>
            <w:vAlign w:val="center"/>
          </w:tcPr>
          <w:p w14:paraId="68BCBDFD" w14:textId="77777777" w:rsidR="00400398" w:rsidRPr="00C82494" w:rsidRDefault="00400398" w:rsidP="00654891">
            <w:pPr>
              <w:keepNext/>
              <w:keepLines/>
              <w:spacing w:line="280" w:lineRule="atLeast"/>
              <w:jc w:val="center"/>
              <w:rPr>
                <w:rFonts w:eastAsia="MS Mincho"/>
                <w:noProof/>
                <w:sz w:val="20"/>
                <w:vertAlign w:val="superscript"/>
              </w:rPr>
            </w:pPr>
            <w:r w:rsidRPr="00C82494">
              <w:rPr>
                <w:rFonts w:eastAsia="MS Mincho"/>
                <w:noProof/>
                <w:sz w:val="20"/>
              </w:rPr>
              <w:t xml:space="preserve">CPB15+ </w:t>
            </w:r>
          </w:p>
          <w:p w14:paraId="2BD17957" w14:textId="77777777" w:rsidR="00400398" w:rsidRPr="00C82494" w:rsidRDefault="00400398" w:rsidP="00654891">
            <w:pPr>
              <w:pStyle w:val="TableText10"/>
              <w:keepNext/>
              <w:keepLines/>
              <w:spacing w:line="280" w:lineRule="atLeast"/>
              <w:jc w:val="center"/>
              <w:rPr>
                <w:rFonts w:eastAsia="MS Mincho"/>
                <w:noProof/>
              </w:rPr>
            </w:pPr>
            <w:r w:rsidRPr="00C82494">
              <w:rPr>
                <w:rFonts w:eastAsia="MS Mincho"/>
                <w:noProof/>
              </w:rPr>
              <w:t>(n</w:t>
            </w:r>
            <w:r w:rsidRPr="00292ADE">
              <w:rPr>
                <w:rFonts w:eastAsia="MS Mincho"/>
                <w:noProof/>
              </w:rPr>
              <w:t> </w:t>
            </w:r>
            <w:r w:rsidRPr="00C82494">
              <w:rPr>
                <w:rFonts w:eastAsia="MS Mincho"/>
                <w:noProof/>
              </w:rPr>
              <w:t>= 623)</w:t>
            </w:r>
          </w:p>
        </w:tc>
      </w:tr>
      <w:tr w:rsidR="00400398" w:rsidRPr="00215594" w14:paraId="6100C118" w14:textId="77777777" w:rsidTr="00D91337">
        <w:tc>
          <w:tcPr>
            <w:tcW w:w="2706" w:type="dxa"/>
            <w:tcBorders>
              <w:left w:val="single" w:sz="4" w:space="0" w:color="auto"/>
            </w:tcBorders>
          </w:tcPr>
          <w:p w14:paraId="1C022D42" w14:textId="77777777" w:rsidR="00400398" w:rsidRPr="00C82494" w:rsidRDefault="00400398" w:rsidP="00654891">
            <w:pPr>
              <w:keepNext/>
              <w:keepLines/>
              <w:spacing w:line="280" w:lineRule="atLeast"/>
              <w:rPr>
                <w:rFonts w:eastAsia="MS Mincho"/>
                <w:noProof/>
                <w:sz w:val="20"/>
              </w:rPr>
            </w:pPr>
            <w:r w:rsidRPr="00C82494">
              <w:rPr>
                <w:rFonts w:eastAsia="MS Mincho"/>
                <w:noProof/>
                <w:sz w:val="20"/>
              </w:rPr>
              <w:t xml:space="preserve">PFS </w:t>
            </w:r>
            <w:r w:rsidR="00D35B8D">
              <w:rPr>
                <w:rFonts w:eastAsia="MS Mincho"/>
                <w:noProof/>
                <w:sz w:val="20"/>
              </w:rPr>
              <w:t>m</w:t>
            </w:r>
            <w:r w:rsidRPr="00C82494">
              <w:rPr>
                <w:rFonts w:eastAsia="MS Mincho"/>
                <w:noProof/>
                <w:sz w:val="20"/>
              </w:rPr>
              <w:t>ediana (meses)</w:t>
            </w:r>
          </w:p>
        </w:tc>
        <w:tc>
          <w:tcPr>
            <w:tcW w:w="2023" w:type="dxa"/>
            <w:vAlign w:val="center"/>
          </w:tcPr>
          <w:p w14:paraId="1A8EFD6B" w14:textId="77777777" w:rsidR="00400398" w:rsidRPr="00C82494" w:rsidRDefault="00400398" w:rsidP="00654891">
            <w:pPr>
              <w:keepNext/>
              <w:keepLines/>
              <w:spacing w:line="280" w:lineRule="atLeast"/>
              <w:jc w:val="center"/>
              <w:rPr>
                <w:rFonts w:eastAsia="MS Mincho"/>
                <w:noProof/>
                <w:sz w:val="20"/>
              </w:rPr>
            </w:pPr>
            <w:r w:rsidRPr="00C82494">
              <w:rPr>
                <w:rFonts w:eastAsia="MS Mincho"/>
                <w:noProof/>
                <w:sz w:val="20"/>
              </w:rPr>
              <w:t>10,6</w:t>
            </w:r>
          </w:p>
        </w:tc>
        <w:tc>
          <w:tcPr>
            <w:tcW w:w="2023" w:type="dxa"/>
            <w:vAlign w:val="center"/>
          </w:tcPr>
          <w:p w14:paraId="7A9CAD70" w14:textId="77777777" w:rsidR="00400398" w:rsidRPr="00C82494" w:rsidRDefault="00400398" w:rsidP="00654891">
            <w:pPr>
              <w:keepNext/>
              <w:keepLines/>
              <w:spacing w:line="280" w:lineRule="atLeast"/>
              <w:jc w:val="center"/>
              <w:rPr>
                <w:rFonts w:eastAsia="MS Mincho"/>
                <w:noProof/>
                <w:sz w:val="20"/>
              </w:rPr>
            </w:pPr>
            <w:r w:rsidRPr="00C82494">
              <w:rPr>
                <w:rFonts w:eastAsia="MS Mincho"/>
                <w:noProof/>
                <w:sz w:val="20"/>
              </w:rPr>
              <w:t>11,6</w:t>
            </w:r>
          </w:p>
        </w:tc>
        <w:tc>
          <w:tcPr>
            <w:tcW w:w="2024" w:type="dxa"/>
            <w:tcBorders>
              <w:right w:val="single" w:sz="4" w:space="0" w:color="auto"/>
            </w:tcBorders>
            <w:vAlign w:val="center"/>
          </w:tcPr>
          <w:p w14:paraId="67B68B09" w14:textId="77777777" w:rsidR="00400398" w:rsidRPr="00C82494" w:rsidRDefault="00400398" w:rsidP="00654891">
            <w:pPr>
              <w:pStyle w:val="TableText10"/>
              <w:keepNext/>
              <w:keepLines/>
              <w:spacing w:line="280" w:lineRule="atLeast"/>
              <w:jc w:val="center"/>
              <w:rPr>
                <w:rFonts w:eastAsia="MS Mincho"/>
                <w:noProof/>
              </w:rPr>
            </w:pPr>
            <w:r w:rsidRPr="00C82494">
              <w:rPr>
                <w:rFonts w:eastAsia="MS Mincho"/>
                <w:noProof/>
              </w:rPr>
              <w:t>14,7</w:t>
            </w:r>
          </w:p>
        </w:tc>
      </w:tr>
      <w:tr w:rsidR="00400398" w:rsidRPr="00215594" w14:paraId="26783282" w14:textId="77777777" w:rsidTr="00D91337">
        <w:tc>
          <w:tcPr>
            <w:tcW w:w="2706" w:type="dxa"/>
            <w:tcBorders>
              <w:left w:val="single" w:sz="4" w:space="0" w:color="auto"/>
            </w:tcBorders>
          </w:tcPr>
          <w:p w14:paraId="74FC93FA" w14:textId="77777777" w:rsidR="00400398" w:rsidRPr="007232E4" w:rsidRDefault="00400398" w:rsidP="00654891">
            <w:pPr>
              <w:keepNext/>
              <w:keepLines/>
              <w:widowControl w:val="0"/>
              <w:spacing w:line="280" w:lineRule="atLeast"/>
              <w:rPr>
                <w:rFonts w:eastAsia="MS Mincho"/>
                <w:sz w:val="20"/>
              </w:rPr>
            </w:pPr>
            <w:r w:rsidRPr="007232E4">
              <w:rPr>
                <w:rFonts w:eastAsia="MS Mincho"/>
                <w:i/>
                <w:sz w:val="20"/>
              </w:rPr>
              <w:t xml:space="preserve">Hazard </w:t>
            </w:r>
            <w:r w:rsidR="00D35B8D">
              <w:rPr>
                <w:rFonts w:eastAsia="MS Mincho"/>
                <w:i/>
                <w:sz w:val="20"/>
              </w:rPr>
              <w:t>r</w:t>
            </w:r>
            <w:r w:rsidRPr="007232E4">
              <w:rPr>
                <w:rFonts w:eastAsia="MS Mincho"/>
                <w:i/>
                <w:sz w:val="20"/>
              </w:rPr>
              <w:t>atio</w:t>
            </w:r>
            <w:r w:rsidRPr="007232E4">
              <w:rPr>
                <w:rFonts w:eastAsia="MS Mincho"/>
                <w:sz w:val="20"/>
              </w:rPr>
              <w:t xml:space="preserve"> (taxa de risco) </w:t>
            </w:r>
          </w:p>
          <w:p w14:paraId="18C5CAFE" w14:textId="77777777" w:rsidR="00400398" w:rsidRPr="007232E4" w:rsidRDefault="00400398" w:rsidP="00654891">
            <w:pPr>
              <w:keepNext/>
              <w:keepLines/>
              <w:widowControl w:val="0"/>
              <w:spacing w:line="280" w:lineRule="atLeast"/>
              <w:rPr>
                <w:rFonts w:eastAsia="MS Mincho"/>
                <w:sz w:val="20"/>
              </w:rPr>
            </w:pPr>
            <w:r w:rsidRPr="007232E4">
              <w:rPr>
                <w:rFonts w:eastAsia="MS Mincho"/>
                <w:sz w:val="20"/>
              </w:rPr>
              <w:t>(IC 95%) </w:t>
            </w:r>
            <w:r w:rsidRPr="007232E4">
              <w:rPr>
                <w:rFonts w:eastAsia="MS Mincho"/>
                <w:sz w:val="20"/>
                <w:vertAlign w:val="superscript"/>
              </w:rPr>
              <w:t>2</w:t>
            </w:r>
          </w:p>
        </w:tc>
        <w:tc>
          <w:tcPr>
            <w:tcW w:w="2023" w:type="dxa"/>
            <w:vAlign w:val="center"/>
          </w:tcPr>
          <w:p w14:paraId="77093EC6" w14:textId="77777777" w:rsidR="00400398" w:rsidRPr="007232E4" w:rsidRDefault="00400398" w:rsidP="00654891">
            <w:pPr>
              <w:keepNext/>
              <w:keepLines/>
              <w:spacing w:line="280" w:lineRule="atLeast"/>
              <w:jc w:val="center"/>
              <w:rPr>
                <w:rFonts w:eastAsia="MS Mincho"/>
                <w:sz w:val="20"/>
              </w:rPr>
            </w:pPr>
          </w:p>
        </w:tc>
        <w:tc>
          <w:tcPr>
            <w:tcW w:w="2023" w:type="dxa"/>
            <w:vAlign w:val="center"/>
          </w:tcPr>
          <w:p w14:paraId="38BA1D3A" w14:textId="77777777" w:rsidR="00400398" w:rsidRPr="00C82494" w:rsidRDefault="00400398" w:rsidP="00654891">
            <w:pPr>
              <w:keepNext/>
              <w:keepLines/>
              <w:spacing w:line="280" w:lineRule="atLeast"/>
              <w:jc w:val="center"/>
              <w:rPr>
                <w:rFonts w:eastAsia="MS Mincho"/>
                <w:noProof/>
                <w:sz w:val="20"/>
              </w:rPr>
            </w:pPr>
            <w:r w:rsidRPr="00C82494">
              <w:rPr>
                <w:rFonts w:eastAsia="MS Mincho"/>
                <w:noProof/>
                <w:sz w:val="20"/>
              </w:rPr>
              <w:t>0,89</w:t>
            </w:r>
          </w:p>
          <w:p w14:paraId="5700181B" w14:textId="77777777" w:rsidR="00400398" w:rsidRPr="00C82494" w:rsidRDefault="00400398" w:rsidP="00654891">
            <w:pPr>
              <w:keepNext/>
              <w:keepLines/>
              <w:spacing w:line="280" w:lineRule="atLeast"/>
              <w:jc w:val="center"/>
              <w:rPr>
                <w:rFonts w:eastAsia="MS Mincho"/>
                <w:noProof/>
                <w:sz w:val="20"/>
              </w:rPr>
            </w:pPr>
            <w:r w:rsidRPr="00C82494">
              <w:rPr>
                <w:rFonts w:eastAsia="MS Mincho"/>
                <w:noProof/>
                <w:sz w:val="20"/>
              </w:rPr>
              <w:t>(0,78; 1,02)</w:t>
            </w:r>
          </w:p>
        </w:tc>
        <w:tc>
          <w:tcPr>
            <w:tcW w:w="2024" w:type="dxa"/>
            <w:tcBorders>
              <w:right w:val="single" w:sz="4" w:space="0" w:color="auto"/>
            </w:tcBorders>
            <w:vAlign w:val="center"/>
          </w:tcPr>
          <w:p w14:paraId="39A99C13" w14:textId="77777777" w:rsidR="00400398" w:rsidRPr="00C82494" w:rsidRDefault="00400398" w:rsidP="00654891">
            <w:pPr>
              <w:keepNext/>
              <w:keepLines/>
              <w:spacing w:line="280" w:lineRule="atLeast"/>
              <w:jc w:val="center"/>
              <w:rPr>
                <w:rFonts w:eastAsia="MS Mincho"/>
                <w:noProof/>
                <w:sz w:val="20"/>
              </w:rPr>
            </w:pPr>
            <w:r w:rsidRPr="00C82494">
              <w:rPr>
                <w:rFonts w:eastAsia="MS Mincho"/>
                <w:noProof/>
                <w:sz w:val="20"/>
              </w:rPr>
              <w:t>0,70</w:t>
            </w:r>
          </w:p>
          <w:p w14:paraId="3AD55DB1" w14:textId="77777777" w:rsidR="00400398" w:rsidRPr="00C82494" w:rsidRDefault="00400398" w:rsidP="00654891">
            <w:pPr>
              <w:pStyle w:val="TableText10"/>
              <w:keepNext/>
              <w:keepLines/>
              <w:spacing w:line="280" w:lineRule="atLeast"/>
              <w:jc w:val="center"/>
              <w:rPr>
                <w:rFonts w:eastAsia="MS Mincho"/>
                <w:noProof/>
              </w:rPr>
            </w:pPr>
            <w:r w:rsidRPr="00C82494">
              <w:rPr>
                <w:rFonts w:eastAsia="MS Mincho"/>
                <w:noProof/>
              </w:rPr>
              <w:t>(0,61; 0,81)</w:t>
            </w:r>
          </w:p>
        </w:tc>
      </w:tr>
      <w:tr w:rsidR="00400398" w:rsidRPr="00215594" w14:paraId="09C6DA4B" w14:textId="77777777" w:rsidTr="00D91337">
        <w:tc>
          <w:tcPr>
            <w:tcW w:w="2706" w:type="dxa"/>
            <w:tcBorders>
              <w:left w:val="single" w:sz="4" w:space="0" w:color="auto"/>
              <w:bottom w:val="single" w:sz="4" w:space="0" w:color="auto"/>
            </w:tcBorders>
          </w:tcPr>
          <w:p w14:paraId="6C366B95" w14:textId="77777777" w:rsidR="00400398" w:rsidRPr="00C82494" w:rsidRDefault="00400398" w:rsidP="00654891">
            <w:pPr>
              <w:keepNext/>
              <w:widowControl w:val="0"/>
              <w:spacing w:line="280" w:lineRule="atLeast"/>
              <w:rPr>
                <w:rFonts w:eastAsia="MS Mincho"/>
                <w:noProof/>
                <w:sz w:val="20"/>
              </w:rPr>
            </w:pPr>
            <w:r w:rsidRPr="00C82494">
              <w:rPr>
                <w:rFonts w:eastAsia="MS Mincho"/>
                <w:noProof/>
                <w:sz w:val="20"/>
              </w:rPr>
              <w:t>valor de p</w:t>
            </w:r>
            <w:r>
              <w:rPr>
                <w:rFonts w:eastAsia="MS Mincho"/>
                <w:noProof/>
                <w:sz w:val="20"/>
              </w:rPr>
              <w:t> </w:t>
            </w:r>
            <w:r w:rsidRPr="00C82494">
              <w:rPr>
                <w:rFonts w:eastAsia="MS Mincho"/>
                <w:noProof/>
                <w:sz w:val="20"/>
                <w:vertAlign w:val="superscript"/>
              </w:rPr>
              <w:t>3, 4</w:t>
            </w:r>
          </w:p>
        </w:tc>
        <w:tc>
          <w:tcPr>
            <w:tcW w:w="2023" w:type="dxa"/>
            <w:tcBorders>
              <w:bottom w:val="single" w:sz="4" w:space="0" w:color="auto"/>
            </w:tcBorders>
            <w:vAlign w:val="center"/>
          </w:tcPr>
          <w:p w14:paraId="7ECA2278" w14:textId="77777777" w:rsidR="00400398" w:rsidRPr="00C82494" w:rsidRDefault="00400398" w:rsidP="00654891">
            <w:pPr>
              <w:keepNext/>
              <w:spacing w:line="280" w:lineRule="atLeast"/>
              <w:jc w:val="center"/>
              <w:rPr>
                <w:rFonts w:eastAsia="MS Mincho"/>
                <w:noProof/>
                <w:sz w:val="20"/>
              </w:rPr>
            </w:pPr>
          </w:p>
        </w:tc>
        <w:tc>
          <w:tcPr>
            <w:tcW w:w="2023" w:type="dxa"/>
            <w:tcBorders>
              <w:bottom w:val="single" w:sz="4" w:space="0" w:color="auto"/>
            </w:tcBorders>
            <w:vAlign w:val="center"/>
          </w:tcPr>
          <w:p w14:paraId="2B9952CD" w14:textId="77777777" w:rsidR="00400398" w:rsidRPr="00C82494" w:rsidRDefault="00400398" w:rsidP="00654891">
            <w:pPr>
              <w:keepNext/>
              <w:spacing w:line="280" w:lineRule="atLeast"/>
              <w:jc w:val="center"/>
              <w:rPr>
                <w:rFonts w:eastAsia="MS Mincho"/>
                <w:noProof/>
                <w:sz w:val="20"/>
              </w:rPr>
            </w:pPr>
            <w:r w:rsidRPr="00C82494">
              <w:rPr>
                <w:rFonts w:eastAsia="MS Mincho"/>
                <w:noProof/>
                <w:sz w:val="20"/>
              </w:rPr>
              <w:t>0,0437</w:t>
            </w:r>
          </w:p>
        </w:tc>
        <w:tc>
          <w:tcPr>
            <w:tcW w:w="2024" w:type="dxa"/>
            <w:tcBorders>
              <w:bottom w:val="single" w:sz="4" w:space="0" w:color="auto"/>
              <w:right w:val="single" w:sz="4" w:space="0" w:color="auto"/>
            </w:tcBorders>
            <w:vAlign w:val="center"/>
          </w:tcPr>
          <w:p w14:paraId="340A4A08" w14:textId="77777777" w:rsidR="00400398" w:rsidRPr="00C82494" w:rsidRDefault="00400398" w:rsidP="00654891">
            <w:pPr>
              <w:pStyle w:val="TableText10"/>
              <w:keepNext/>
              <w:spacing w:line="280" w:lineRule="atLeast"/>
              <w:jc w:val="center"/>
              <w:rPr>
                <w:rFonts w:eastAsia="MS Mincho"/>
                <w:noProof/>
              </w:rPr>
            </w:pPr>
            <w:r w:rsidRPr="00C82494">
              <w:rPr>
                <w:rFonts w:eastAsia="MS Mincho"/>
                <w:noProof/>
              </w:rPr>
              <w:t>&lt; 0,0001</w:t>
            </w:r>
          </w:p>
        </w:tc>
      </w:tr>
      <w:tr w:rsidR="00400398" w:rsidRPr="00215594" w14:paraId="23B317B1" w14:textId="77777777" w:rsidTr="00D91337">
        <w:tc>
          <w:tcPr>
            <w:tcW w:w="8776" w:type="dxa"/>
            <w:gridSpan w:val="4"/>
            <w:tcBorders>
              <w:top w:val="single" w:sz="4" w:space="0" w:color="auto"/>
              <w:left w:val="single" w:sz="4" w:space="0" w:color="auto"/>
              <w:bottom w:val="single" w:sz="4" w:space="0" w:color="auto"/>
              <w:right w:val="single" w:sz="4" w:space="0" w:color="auto"/>
            </w:tcBorders>
          </w:tcPr>
          <w:p w14:paraId="2CB12A5E" w14:textId="77777777" w:rsidR="00400398" w:rsidRPr="00C82494" w:rsidRDefault="00400398" w:rsidP="00654891">
            <w:pPr>
              <w:pStyle w:val="TableText10"/>
              <w:keepNext/>
              <w:spacing w:line="280" w:lineRule="atLeast"/>
              <w:rPr>
                <w:rFonts w:eastAsia="MS Mincho"/>
                <w:noProof/>
              </w:rPr>
            </w:pPr>
            <w:r w:rsidRPr="007232E4">
              <w:rPr>
                <w:rFonts w:eastAsia="MS Mincho"/>
                <w:bCs/>
              </w:rPr>
              <w:t>Taxa de resposta objetiva</w:t>
            </w:r>
            <w:r w:rsidRPr="00C82494">
              <w:rPr>
                <w:rFonts w:eastAsia="MS Mincho"/>
                <w:noProof/>
                <w:vertAlign w:val="superscript"/>
              </w:rPr>
              <w:t xml:space="preserve"> 5</w:t>
            </w:r>
          </w:p>
        </w:tc>
      </w:tr>
      <w:tr w:rsidR="00400398" w:rsidRPr="00215594" w14:paraId="3086593E" w14:textId="77777777" w:rsidTr="00D91337">
        <w:tc>
          <w:tcPr>
            <w:tcW w:w="2706" w:type="dxa"/>
            <w:tcBorders>
              <w:left w:val="single" w:sz="4" w:space="0" w:color="auto"/>
            </w:tcBorders>
          </w:tcPr>
          <w:p w14:paraId="28A095FA" w14:textId="77777777" w:rsidR="00400398" w:rsidRPr="00C82494" w:rsidRDefault="00400398" w:rsidP="00654891">
            <w:pPr>
              <w:pStyle w:val="TableText10"/>
              <w:keepNext/>
              <w:spacing w:line="280" w:lineRule="atLeast"/>
              <w:jc w:val="center"/>
              <w:rPr>
                <w:rFonts w:eastAsia="MS Mincho"/>
                <w:noProof/>
              </w:rPr>
            </w:pPr>
          </w:p>
        </w:tc>
        <w:tc>
          <w:tcPr>
            <w:tcW w:w="2023" w:type="dxa"/>
            <w:vAlign w:val="center"/>
          </w:tcPr>
          <w:p w14:paraId="33A665E6" w14:textId="77777777" w:rsidR="00400398" w:rsidRPr="00C82494" w:rsidRDefault="00400398" w:rsidP="00654891">
            <w:pPr>
              <w:keepNext/>
              <w:spacing w:line="280" w:lineRule="atLeast"/>
              <w:jc w:val="center"/>
              <w:rPr>
                <w:rFonts w:eastAsia="MS Mincho"/>
                <w:noProof/>
                <w:sz w:val="20"/>
              </w:rPr>
            </w:pPr>
            <w:r w:rsidRPr="00C82494">
              <w:rPr>
                <w:rFonts w:eastAsia="MS Mincho"/>
                <w:noProof/>
                <w:sz w:val="20"/>
              </w:rPr>
              <w:t xml:space="preserve">CPP </w:t>
            </w:r>
          </w:p>
          <w:p w14:paraId="119FE660" w14:textId="77777777" w:rsidR="00400398" w:rsidRPr="00C82494" w:rsidRDefault="00400398" w:rsidP="00654891">
            <w:pPr>
              <w:keepNext/>
              <w:spacing w:line="280" w:lineRule="atLeast"/>
              <w:jc w:val="center"/>
              <w:rPr>
                <w:rFonts w:eastAsia="MS Mincho"/>
                <w:noProof/>
                <w:sz w:val="20"/>
              </w:rPr>
            </w:pPr>
            <w:r w:rsidRPr="00C82494">
              <w:rPr>
                <w:rFonts w:eastAsia="MS Mincho"/>
                <w:noProof/>
                <w:sz w:val="20"/>
              </w:rPr>
              <w:t>(n</w:t>
            </w:r>
            <w:r>
              <w:rPr>
                <w:rFonts w:eastAsia="MS Mincho"/>
                <w:noProof/>
                <w:sz w:val="20"/>
              </w:rPr>
              <w:t> </w:t>
            </w:r>
            <w:r w:rsidRPr="00C82494">
              <w:rPr>
                <w:rFonts w:eastAsia="MS Mincho"/>
                <w:noProof/>
                <w:sz w:val="20"/>
              </w:rPr>
              <w:t>=</w:t>
            </w:r>
            <w:r>
              <w:rPr>
                <w:rFonts w:eastAsia="MS Mincho"/>
                <w:noProof/>
                <w:sz w:val="20"/>
              </w:rPr>
              <w:t> </w:t>
            </w:r>
            <w:r w:rsidRPr="00C82494">
              <w:rPr>
                <w:rFonts w:eastAsia="MS Mincho"/>
                <w:noProof/>
                <w:sz w:val="20"/>
              </w:rPr>
              <w:t>396)</w:t>
            </w:r>
          </w:p>
        </w:tc>
        <w:tc>
          <w:tcPr>
            <w:tcW w:w="2023" w:type="dxa"/>
            <w:vAlign w:val="center"/>
          </w:tcPr>
          <w:p w14:paraId="3E559EBB" w14:textId="77777777" w:rsidR="00400398" w:rsidRPr="00C82494" w:rsidRDefault="00400398" w:rsidP="00654891">
            <w:pPr>
              <w:keepNext/>
              <w:spacing w:line="280" w:lineRule="atLeast"/>
              <w:jc w:val="center"/>
              <w:rPr>
                <w:rFonts w:eastAsia="MS Mincho"/>
                <w:noProof/>
                <w:sz w:val="20"/>
              </w:rPr>
            </w:pPr>
            <w:r w:rsidRPr="00C82494">
              <w:rPr>
                <w:rFonts w:eastAsia="MS Mincho"/>
                <w:noProof/>
                <w:sz w:val="20"/>
              </w:rPr>
              <w:t xml:space="preserve">CPB15 </w:t>
            </w:r>
          </w:p>
          <w:p w14:paraId="75B74C10" w14:textId="77777777" w:rsidR="00400398" w:rsidRPr="00C82494" w:rsidRDefault="00400398" w:rsidP="00654891">
            <w:pPr>
              <w:keepNext/>
              <w:spacing w:line="280" w:lineRule="atLeast"/>
              <w:jc w:val="center"/>
              <w:rPr>
                <w:rFonts w:eastAsia="MS Mincho"/>
                <w:noProof/>
                <w:sz w:val="20"/>
              </w:rPr>
            </w:pPr>
            <w:r w:rsidRPr="00C82494">
              <w:rPr>
                <w:rFonts w:eastAsia="MS Mincho"/>
                <w:noProof/>
                <w:sz w:val="20"/>
              </w:rPr>
              <w:t>(n</w:t>
            </w:r>
            <w:r>
              <w:rPr>
                <w:rFonts w:eastAsia="MS Mincho"/>
                <w:noProof/>
                <w:sz w:val="20"/>
              </w:rPr>
              <w:t> </w:t>
            </w:r>
            <w:r w:rsidRPr="00C82494">
              <w:rPr>
                <w:rFonts w:eastAsia="MS Mincho"/>
                <w:noProof/>
                <w:sz w:val="20"/>
              </w:rPr>
              <w:t>= 393)</w:t>
            </w:r>
            <w:r w:rsidRPr="00C82494">
              <w:rPr>
                <w:rFonts w:eastAsia="MS Mincho"/>
                <w:noProof/>
                <w:sz w:val="20"/>
                <w:vertAlign w:val="superscript"/>
              </w:rPr>
              <w:t xml:space="preserve"> </w:t>
            </w:r>
          </w:p>
        </w:tc>
        <w:tc>
          <w:tcPr>
            <w:tcW w:w="2024" w:type="dxa"/>
            <w:tcBorders>
              <w:right w:val="single" w:sz="4" w:space="0" w:color="auto"/>
            </w:tcBorders>
            <w:vAlign w:val="center"/>
          </w:tcPr>
          <w:p w14:paraId="13EE03BE" w14:textId="77777777" w:rsidR="00947564" w:rsidRDefault="00400398" w:rsidP="00654891">
            <w:pPr>
              <w:keepNext/>
              <w:spacing w:line="280" w:lineRule="atLeast"/>
              <w:jc w:val="center"/>
              <w:rPr>
                <w:rFonts w:eastAsia="MS Mincho"/>
                <w:noProof/>
                <w:sz w:val="20"/>
              </w:rPr>
            </w:pPr>
            <w:r w:rsidRPr="00C82494">
              <w:rPr>
                <w:rFonts w:eastAsia="MS Mincho"/>
                <w:noProof/>
                <w:sz w:val="20"/>
              </w:rPr>
              <w:t>CPB15+</w:t>
            </w:r>
          </w:p>
          <w:p w14:paraId="2D12424D" w14:textId="77777777" w:rsidR="00400398" w:rsidRPr="00C82494" w:rsidRDefault="00400398" w:rsidP="00654891">
            <w:pPr>
              <w:keepNext/>
              <w:spacing w:line="280" w:lineRule="atLeast"/>
              <w:jc w:val="center"/>
              <w:rPr>
                <w:rFonts w:eastAsia="MS Mincho"/>
                <w:noProof/>
                <w:sz w:val="20"/>
              </w:rPr>
            </w:pPr>
            <w:r w:rsidRPr="00C82494">
              <w:rPr>
                <w:rFonts w:eastAsia="MS Mincho"/>
                <w:noProof/>
                <w:sz w:val="20"/>
              </w:rPr>
              <w:t>(n</w:t>
            </w:r>
            <w:r>
              <w:rPr>
                <w:rFonts w:eastAsia="MS Mincho"/>
                <w:noProof/>
                <w:sz w:val="20"/>
              </w:rPr>
              <w:t> </w:t>
            </w:r>
            <w:r w:rsidRPr="00C82494">
              <w:rPr>
                <w:rFonts w:eastAsia="MS Mincho"/>
                <w:noProof/>
                <w:sz w:val="20"/>
              </w:rPr>
              <w:t>=</w:t>
            </w:r>
            <w:r>
              <w:rPr>
                <w:rFonts w:eastAsia="MS Mincho"/>
                <w:noProof/>
                <w:sz w:val="20"/>
              </w:rPr>
              <w:t> </w:t>
            </w:r>
            <w:r w:rsidRPr="00C82494">
              <w:rPr>
                <w:rFonts w:eastAsia="MS Mincho"/>
                <w:noProof/>
                <w:sz w:val="20"/>
              </w:rPr>
              <w:t>403)</w:t>
            </w:r>
            <w:r w:rsidRPr="00C82494">
              <w:rPr>
                <w:rFonts w:eastAsia="MS Mincho"/>
                <w:noProof/>
                <w:sz w:val="20"/>
                <w:vertAlign w:val="superscript"/>
              </w:rPr>
              <w:t xml:space="preserve"> </w:t>
            </w:r>
          </w:p>
        </w:tc>
      </w:tr>
      <w:tr w:rsidR="00400398" w:rsidRPr="00215594" w14:paraId="49A79D46" w14:textId="77777777" w:rsidTr="00D91337">
        <w:tc>
          <w:tcPr>
            <w:tcW w:w="2706" w:type="dxa"/>
            <w:tcBorders>
              <w:left w:val="single" w:sz="4" w:space="0" w:color="auto"/>
            </w:tcBorders>
          </w:tcPr>
          <w:p w14:paraId="2D1A6E20" w14:textId="77777777" w:rsidR="00400398" w:rsidRPr="007232E4" w:rsidRDefault="00400398" w:rsidP="00654891">
            <w:pPr>
              <w:keepNext/>
              <w:spacing w:line="280" w:lineRule="atLeast"/>
              <w:rPr>
                <w:rFonts w:eastAsia="MS Mincho"/>
                <w:sz w:val="20"/>
              </w:rPr>
            </w:pPr>
            <w:r w:rsidRPr="007232E4">
              <w:rPr>
                <w:rFonts w:eastAsia="MS Mincho"/>
                <w:sz w:val="20"/>
              </w:rPr>
              <w:t>% doentes com resposta objetiva</w:t>
            </w:r>
          </w:p>
        </w:tc>
        <w:tc>
          <w:tcPr>
            <w:tcW w:w="2023" w:type="dxa"/>
            <w:vAlign w:val="center"/>
          </w:tcPr>
          <w:p w14:paraId="69FF89DB" w14:textId="77777777" w:rsidR="00400398" w:rsidRPr="00C82494" w:rsidRDefault="00400398" w:rsidP="00654891">
            <w:pPr>
              <w:keepNext/>
              <w:spacing w:line="280" w:lineRule="atLeast"/>
              <w:jc w:val="center"/>
              <w:rPr>
                <w:rFonts w:eastAsia="MS Mincho"/>
                <w:noProof/>
                <w:sz w:val="20"/>
              </w:rPr>
            </w:pPr>
            <w:r w:rsidRPr="00C82494">
              <w:rPr>
                <w:rFonts w:eastAsia="MS Mincho"/>
                <w:noProof/>
                <w:sz w:val="20"/>
              </w:rPr>
              <w:t>63,4</w:t>
            </w:r>
          </w:p>
        </w:tc>
        <w:tc>
          <w:tcPr>
            <w:tcW w:w="2023" w:type="dxa"/>
            <w:vAlign w:val="center"/>
          </w:tcPr>
          <w:p w14:paraId="0B58744C" w14:textId="77777777" w:rsidR="00400398" w:rsidRPr="00C82494" w:rsidRDefault="00400398" w:rsidP="00654891">
            <w:pPr>
              <w:keepNext/>
              <w:spacing w:line="280" w:lineRule="atLeast"/>
              <w:jc w:val="center"/>
              <w:rPr>
                <w:rFonts w:eastAsia="MS Mincho"/>
                <w:noProof/>
                <w:sz w:val="20"/>
              </w:rPr>
            </w:pPr>
            <w:r w:rsidRPr="00C82494">
              <w:rPr>
                <w:rFonts w:eastAsia="MS Mincho"/>
                <w:noProof/>
                <w:sz w:val="20"/>
              </w:rPr>
              <w:t>66,2</w:t>
            </w:r>
          </w:p>
        </w:tc>
        <w:tc>
          <w:tcPr>
            <w:tcW w:w="2024" w:type="dxa"/>
            <w:tcBorders>
              <w:right w:val="single" w:sz="4" w:space="0" w:color="auto"/>
            </w:tcBorders>
            <w:vAlign w:val="center"/>
          </w:tcPr>
          <w:p w14:paraId="5B724400" w14:textId="77777777" w:rsidR="00400398" w:rsidRPr="00C82494" w:rsidRDefault="00400398" w:rsidP="00654891">
            <w:pPr>
              <w:keepNext/>
              <w:spacing w:line="280" w:lineRule="atLeast"/>
              <w:jc w:val="center"/>
              <w:rPr>
                <w:rFonts w:eastAsia="MS Mincho"/>
                <w:noProof/>
                <w:sz w:val="20"/>
              </w:rPr>
            </w:pPr>
            <w:r w:rsidRPr="00C82494">
              <w:rPr>
                <w:rFonts w:eastAsia="MS Mincho"/>
                <w:noProof/>
                <w:sz w:val="20"/>
              </w:rPr>
              <w:t>66,0</w:t>
            </w:r>
          </w:p>
        </w:tc>
      </w:tr>
      <w:tr w:rsidR="00400398" w:rsidRPr="00215594" w14:paraId="5B0FFFC6" w14:textId="77777777" w:rsidTr="00D91337">
        <w:tc>
          <w:tcPr>
            <w:tcW w:w="2706" w:type="dxa"/>
            <w:tcBorders>
              <w:left w:val="single" w:sz="4" w:space="0" w:color="auto"/>
              <w:bottom w:val="single" w:sz="4" w:space="0" w:color="auto"/>
            </w:tcBorders>
          </w:tcPr>
          <w:p w14:paraId="3E496823" w14:textId="77777777" w:rsidR="00400398" w:rsidRPr="00C82494" w:rsidRDefault="00400398" w:rsidP="00654891">
            <w:pPr>
              <w:keepNext/>
              <w:spacing w:line="280" w:lineRule="atLeast"/>
              <w:rPr>
                <w:rFonts w:eastAsia="MS Mincho"/>
                <w:noProof/>
                <w:sz w:val="20"/>
              </w:rPr>
            </w:pPr>
            <w:r w:rsidRPr="00C82494">
              <w:rPr>
                <w:rFonts w:eastAsia="MS Mincho"/>
                <w:noProof/>
                <w:sz w:val="20"/>
              </w:rPr>
              <w:t>valor de p</w:t>
            </w:r>
          </w:p>
        </w:tc>
        <w:tc>
          <w:tcPr>
            <w:tcW w:w="2023" w:type="dxa"/>
            <w:tcBorders>
              <w:bottom w:val="single" w:sz="4" w:space="0" w:color="auto"/>
            </w:tcBorders>
            <w:vAlign w:val="center"/>
          </w:tcPr>
          <w:p w14:paraId="212CDB29" w14:textId="77777777" w:rsidR="00400398" w:rsidRPr="00C82494" w:rsidRDefault="00400398" w:rsidP="00654891">
            <w:pPr>
              <w:keepNext/>
              <w:spacing w:line="280" w:lineRule="atLeast"/>
              <w:jc w:val="center"/>
              <w:rPr>
                <w:rFonts w:eastAsia="MS Mincho"/>
                <w:noProof/>
                <w:sz w:val="20"/>
              </w:rPr>
            </w:pPr>
          </w:p>
        </w:tc>
        <w:tc>
          <w:tcPr>
            <w:tcW w:w="2023" w:type="dxa"/>
            <w:tcBorders>
              <w:bottom w:val="single" w:sz="4" w:space="0" w:color="auto"/>
            </w:tcBorders>
            <w:vAlign w:val="center"/>
          </w:tcPr>
          <w:p w14:paraId="50E08292" w14:textId="77777777" w:rsidR="00400398" w:rsidRPr="00C82494" w:rsidRDefault="00400398" w:rsidP="00654891">
            <w:pPr>
              <w:keepNext/>
              <w:spacing w:line="280" w:lineRule="atLeast"/>
              <w:jc w:val="center"/>
              <w:rPr>
                <w:rFonts w:eastAsia="MS Mincho"/>
                <w:noProof/>
                <w:sz w:val="20"/>
              </w:rPr>
            </w:pPr>
            <w:r w:rsidRPr="00C82494">
              <w:rPr>
                <w:rFonts w:eastAsia="MS Mincho"/>
                <w:noProof/>
                <w:sz w:val="20"/>
              </w:rPr>
              <w:t>0,2341</w:t>
            </w:r>
          </w:p>
        </w:tc>
        <w:tc>
          <w:tcPr>
            <w:tcW w:w="2024" w:type="dxa"/>
            <w:tcBorders>
              <w:bottom w:val="single" w:sz="4" w:space="0" w:color="auto"/>
              <w:right w:val="single" w:sz="4" w:space="0" w:color="auto"/>
            </w:tcBorders>
            <w:vAlign w:val="center"/>
          </w:tcPr>
          <w:p w14:paraId="4FFDEA3D" w14:textId="77777777" w:rsidR="00400398" w:rsidRPr="00C82494" w:rsidRDefault="00400398" w:rsidP="00654891">
            <w:pPr>
              <w:keepNext/>
              <w:spacing w:line="280" w:lineRule="atLeast"/>
              <w:jc w:val="center"/>
              <w:rPr>
                <w:rFonts w:eastAsia="MS Mincho"/>
                <w:noProof/>
                <w:sz w:val="20"/>
              </w:rPr>
            </w:pPr>
            <w:r>
              <w:rPr>
                <w:rFonts w:eastAsia="MS Mincho"/>
                <w:noProof/>
                <w:sz w:val="20"/>
              </w:rPr>
              <w:t> </w:t>
            </w:r>
            <w:r w:rsidRPr="00C82494">
              <w:rPr>
                <w:rFonts w:eastAsia="MS Mincho"/>
                <w:noProof/>
                <w:sz w:val="20"/>
              </w:rPr>
              <w:t>0,2041</w:t>
            </w:r>
          </w:p>
        </w:tc>
      </w:tr>
      <w:tr w:rsidR="00400398" w:rsidRPr="00215594" w14:paraId="5A914F33" w14:textId="77777777" w:rsidTr="00D91337">
        <w:tc>
          <w:tcPr>
            <w:tcW w:w="8776" w:type="dxa"/>
            <w:gridSpan w:val="4"/>
            <w:tcBorders>
              <w:top w:val="single" w:sz="4" w:space="0" w:color="auto"/>
              <w:left w:val="single" w:sz="4" w:space="0" w:color="auto"/>
              <w:bottom w:val="single" w:sz="4" w:space="0" w:color="auto"/>
              <w:right w:val="single" w:sz="4" w:space="0" w:color="auto"/>
            </w:tcBorders>
          </w:tcPr>
          <w:p w14:paraId="0FD43210" w14:textId="77777777" w:rsidR="00400398" w:rsidRPr="00C82494" w:rsidRDefault="00400398" w:rsidP="00654891">
            <w:pPr>
              <w:pStyle w:val="TableText10"/>
              <w:keepNext/>
              <w:spacing w:line="280" w:lineRule="atLeast"/>
              <w:rPr>
                <w:rFonts w:eastAsia="MS Mincho"/>
                <w:noProof/>
              </w:rPr>
            </w:pPr>
            <w:r w:rsidRPr="00C82494">
              <w:rPr>
                <w:rFonts w:eastAsia="MS Mincho"/>
                <w:noProof/>
              </w:rPr>
              <w:t xml:space="preserve">Sobrevivência global </w:t>
            </w:r>
            <w:r w:rsidRPr="00C82494">
              <w:rPr>
                <w:rFonts w:eastAsia="MS Mincho"/>
                <w:noProof/>
                <w:vertAlign w:val="superscript"/>
              </w:rPr>
              <w:t>6</w:t>
            </w:r>
          </w:p>
        </w:tc>
      </w:tr>
      <w:tr w:rsidR="00400398" w:rsidRPr="00215594" w14:paraId="611126A3" w14:textId="77777777" w:rsidTr="00D91337">
        <w:tc>
          <w:tcPr>
            <w:tcW w:w="2706" w:type="dxa"/>
            <w:tcBorders>
              <w:top w:val="nil"/>
              <w:left w:val="single" w:sz="4" w:space="0" w:color="auto"/>
              <w:bottom w:val="nil"/>
            </w:tcBorders>
          </w:tcPr>
          <w:p w14:paraId="13984AFF" w14:textId="77777777" w:rsidR="00400398" w:rsidRPr="00C82494" w:rsidRDefault="00400398" w:rsidP="00654891">
            <w:pPr>
              <w:pStyle w:val="TableText10"/>
              <w:keepNext/>
              <w:spacing w:line="280" w:lineRule="atLeast"/>
              <w:jc w:val="center"/>
              <w:rPr>
                <w:rFonts w:eastAsia="MS Mincho"/>
                <w:noProof/>
              </w:rPr>
            </w:pPr>
          </w:p>
        </w:tc>
        <w:tc>
          <w:tcPr>
            <w:tcW w:w="2023" w:type="dxa"/>
            <w:tcBorders>
              <w:top w:val="nil"/>
              <w:bottom w:val="nil"/>
            </w:tcBorders>
            <w:vAlign w:val="center"/>
          </w:tcPr>
          <w:p w14:paraId="5481C897" w14:textId="77777777" w:rsidR="00400398" w:rsidRPr="00C82494" w:rsidRDefault="00400398" w:rsidP="00654891">
            <w:pPr>
              <w:keepNext/>
              <w:spacing w:line="280" w:lineRule="atLeast"/>
              <w:jc w:val="center"/>
              <w:rPr>
                <w:rFonts w:eastAsia="MS Mincho"/>
                <w:noProof/>
                <w:sz w:val="20"/>
              </w:rPr>
            </w:pPr>
            <w:r w:rsidRPr="00C82494">
              <w:rPr>
                <w:rFonts w:eastAsia="MS Mincho"/>
                <w:noProof/>
                <w:sz w:val="20"/>
              </w:rPr>
              <w:t>CPP</w:t>
            </w:r>
            <w:r>
              <w:rPr>
                <w:rFonts w:eastAsia="MS Mincho"/>
                <w:noProof/>
                <w:sz w:val="20"/>
              </w:rPr>
              <w:br/>
            </w:r>
            <w:r w:rsidRPr="00C82494">
              <w:rPr>
                <w:rFonts w:eastAsia="MS Mincho"/>
                <w:noProof/>
                <w:sz w:val="20"/>
              </w:rPr>
              <w:t>(n</w:t>
            </w:r>
            <w:r>
              <w:rPr>
                <w:rFonts w:eastAsia="MS Mincho"/>
                <w:noProof/>
                <w:sz w:val="20"/>
              </w:rPr>
              <w:t> </w:t>
            </w:r>
            <w:r w:rsidRPr="00C82494">
              <w:rPr>
                <w:rFonts w:eastAsia="MS Mincho"/>
                <w:noProof/>
                <w:sz w:val="20"/>
              </w:rPr>
              <w:t>= 625)</w:t>
            </w:r>
          </w:p>
        </w:tc>
        <w:tc>
          <w:tcPr>
            <w:tcW w:w="2023" w:type="dxa"/>
            <w:tcBorders>
              <w:top w:val="nil"/>
              <w:bottom w:val="nil"/>
            </w:tcBorders>
            <w:vAlign w:val="center"/>
          </w:tcPr>
          <w:p w14:paraId="11F92C4A" w14:textId="77777777" w:rsidR="00400398" w:rsidRPr="00C82494" w:rsidRDefault="00400398" w:rsidP="00654891">
            <w:pPr>
              <w:keepNext/>
              <w:spacing w:line="280" w:lineRule="atLeast"/>
              <w:jc w:val="center"/>
              <w:rPr>
                <w:rFonts w:eastAsia="MS Mincho"/>
                <w:noProof/>
                <w:sz w:val="20"/>
              </w:rPr>
            </w:pPr>
            <w:r w:rsidRPr="00C82494">
              <w:rPr>
                <w:rFonts w:eastAsia="MS Mincho"/>
                <w:noProof/>
                <w:sz w:val="20"/>
              </w:rPr>
              <w:t>CPB15</w:t>
            </w:r>
            <w:r>
              <w:rPr>
                <w:rFonts w:eastAsia="MS Mincho"/>
                <w:noProof/>
                <w:sz w:val="20"/>
              </w:rPr>
              <w:br/>
            </w:r>
            <w:r w:rsidRPr="00C82494">
              <w:rPr>
                <w:rFonts w:eastAsia="MS Mincho"/>
                <w:noProof/>
                <w:sz w:val="20"/>
              </w:rPr>
              <w:t>(n</w:t>
            </w:r>
            <w:r>
              <w:rPr>
                <w:rFonts w:eastAsia="MS Mincho"/>
                <w:noProof/>
                <w:sz w:val="20"/>
              </w:rPr>
              <w:t> </w:t>
            </w:r>
            <w:r w:rsidRPr="00C82494">
              <w:rPr>
                <w:rFonts w:eastAsia="MS Mincho"/>
                <w:noProof/>
                <w:sz w:val="20"/>
              </w:rPr>
              <w:t>= 625)</w:t>
            </w:r>
          </w:p>
        </w:tc>
        <w:tc>
          <w:tcPr>
            <w:tcW w:w="2024" w:type="dxa"/>
            <w:tcBorders>
              <w:top w:val="nil"/>
              <w:bottom w:val="nil"/>
              <w:right w:val="single" w:sz="4" w:space="0" w:color="auto"/>
            </w:tcBorders>
            <w:vAlign w:val="center"/>
          </w:tcPr>
          <w:p w14:paraId="1F24C7C9" w14:textId="77777777" w:rsidR="00400398" w:rsidRPr="00C82494" w:rsidRDefault="00400398" w:rsidP="00654891">
            <w:pPr>
              <w:pStyle w:val="TableText10"/>
              <w:keepNext/>
              <w:spacing w:line="280" w:lineRule="atLeast"/>
              <w:jc w:val="center"/>
              <w:rPr>
                <w:rFonts w:eastAsia="MS Mincho"/>
                <w:noProof/>
              </w:rPr>
            </w:pPr>
            <w:r w:rsidRPr="00C82494">
              <w:rPr>
                <w:rFonts w:eastAsia="MS Mincho"/>
                <w:noProof/>
              </w:rPr>
              <w:t>CPB15+</w:t>
            </w:r>
            <w:r w:rsidRPr="00292ADE">
              <w:rPr>
                <w:rFonts w:eastAsia="MS Mincho"/>
                <w:noProof/>
              </w:rPr>
              <w:br/>
            </w:r>
            <w:r w:rsidRPr="00C82494">
              <w:rPr>
                <w:rFonts w:eastAsia="MS Mincho"/>
                <w:noProof/>
              </w:rPr>
              <w:t>(n</w:t>
            </w:r>
            <w:r w:rsidRPr="00292ADE">
              <w:rPr>
                <w:rFonts w:eastAsia="MS Mincho"/>
                <w:noProof/>
              </w:rPr>
              <w:t> </w:t>
            </w:r>
            <w:r w:rsidRPr="00C82494">
              <w:rPr>
                <w:rFonts w:eastAsia="MS Mincho"/>
                <w:noProof/>
              </w:rPr>
              <w:t>= 623)</w:t>
            </w:r>
          </w:p>
        </w:tc>
      </w:tr>
      <w:tr w:rsidR="00400398" w:rsidRPr="00215594" w14:paraId="17EB6A3E" w14:textId="77777777" w:rsidTr="00D91337">
        <w:tc>
          <w:tcPr>
            <w:tcW w:w="2706" w:type="dxa"/>
            <w:tcBorders>
              <w:top w:val="nil"/>
              <w:left w:val="single" w:sz="4" w:space="0" w:color="auto"/>
              <w:bottom w:val="nil"/>
            </w:tcBorders>
          </w:tcPr>
          <w:p w14:paraId="6A041307" w14:textId="77777777" w:rsidR="00400398" w:rsidRPr="00C82494" w:rsidRDefault="00400398" w:rsidP="00654891">
            <w:pPr>
              <w:keepNext/>
              <w:spacing w:line="280" w:lineRule="atLeast"/>
              <w:rPr>
                <w:rFonts w:eastAsia="MS Mincho"/>
                <w:noProof/>
                <w:sz w:val="20"/>
              </w:rPr>
            </w:pPr>
            <w:r w:rsidRPr="00C82494">
              <w:rPr>
                <w:rFonts w:eastAsia="MS Mincho"/>
                <w:noProof/>
                <w:sz w:val="20"/>
              </w:rPr>
              <w:t>OS mediana (meses)</w:t>
            </w:r>
          </w:p>
        </w:tc>
        <w:tc>
          <w:tcPr>
            <w:tcW w:w="2023" w:type="dxa"/>
            <w:tcBorders>
              <w:top w:val="nil"/>
              <w:bottom w:val="nil"/>
            </w:tcBorders>
            <w:vAlign w:val="center"/>
          </w:tcPr>
          <w:p w14:paraId="395AEF40" w14:textId="77777777" w:rsidR="00400398" w:rsidRPr="00C82494" w:rsidRDefault="00400398" w:rsidP="00711068">
            <w:pPr>
              <w:keepNext/>
              <w:spacing w:line="280" w:lineRule="atLeast"/>
              <w:jc w:val="center"/>
              <w:rPr>
                <w:rFonts w:eastAsia="MS Mincho"/>
                <w:noProof/>
                <w:sz w:val="20"/>
              </w:rPr>
            </w:pPr>
            <w:r w:rsidRPr="00C82494">
              <w:rPr>
                <w:rFonts w:eastAsia="MS Mincho"/>
                <w:noProof/>
                <w:sz w:val="20"/>
              </w:rPr>
              <w:t>40,6</w:t>
            </w:r>
          </w:p>
        </w:tc>
        <w:tc>
          <w:tcPr>
            <w:tcW w:w="2023" w:type="dxa"/>
            <w:tcBorders>
              <w:top w:val="nil"/>
              <w:bottom w:val="nil"/>
            </w:tcBorders>
            <w:vAlign w:val="center"/>
          </w:tcPr>
          <w:p w14:paraId="70993FD1" w14:textId="77777777" w:rsidR="00400398" w:rsidRPr="00C82494" w:rsidRDefault="00400398" w:rsidP="009330DB">
            <w:pPr>
              <w:keepNext/>
              <w:spacing w:line="280" w:lineRule="atLeast"/>
              <w:jc w:val="center"/>
              <w:rPr>
                <w:rFonts w:eastAsia="MS Mincho"/>
                <w:noProof/>
                <w:sz w:val="20"/>
              </w:rPr>
            </w:pPr>
            <w:r w:rsidRPr="00C82494">
              <w:rPr>
                <w:rFonts w:eastAsia="MS Mincho"/>
                <w:noProof/>
                <w:sz w:val="20"/>
              </w:rPr>
              <w:t>38,8</w:t>
            </w:r>
          </w:p>
        </w:tc>
        <w:tc>
          <w:tcPr>
            <w:tcW w:w="2024" w:type="dxa"/>
            <w:tcBorders>
              <w:top w:val="nil"/>
              <w:bottom w:val="nil"/>
              <w:right w:val="single" w:sz="4" w:space="0" w:color="auto"/>
            </w:tcBorders>
            <w:vAlign w:val="center"/>
          </w:tcPr>
          <w:p w14:paraId="42321F66" w14:textId="77777777" w:rsidR="00400398" w:rsidRPr="00C82494" w:rsidRDefault="00400398" w:rsidP="00654891">
            <w:pPr>
              <w:keepNext/>
              <w:spacing w:line="280" w:lineRule="atLeast"/>
              <w:jc w:val="center"/>
              <w:rPr>
                <w:rFonts w:eastAsia="MS Mincho"/>
                <w:noProof/>
                <w:sz w:val="20"/>
              </w:rPr>
            </w:pPr>
            <w:r w:rsidRPr="00C82494">
              <w:rPr>
                <w:rFonts w:eastAsia="MS Mincho"/>
                <w:noProof/>
                <w:sz w:val="20"/>
              </w:rPr>
              <w:t>43,8</w:t>
            </w:r>
          </w:p>
        </w:tc>
      </w:tr>
      <w:tr w:rsidR="00400398" w:rsidRPr="00215594" w14:paraId="2EEE9E95" w14:textId="77777777" w:rsidTr="00D91337">
        <w:tc>
          <w:tcPr>
            <w:tcW w:w="2706" w:type="dxa"/>
            <w:tcBorders>
              <w:top w:val="nil"/>
              <w:left w:val="single" w:sz="4" w:space="0" w:color="auto"/>
              <w:bottom w:val="nil"/>
            </w:tcBorders>
          </w:tcPr>
          <w:p w14:paraId="3D578C5D" w14:textId="77777777" w:rsidR="00400398" w:rsidRPr="00C82494" w:rsidRDefault="00400398" w:rsidP="00654891">
            <w:pPr>
              <w:keepNext/>
              <w:spacing w:line="280" w:lineRule="atLeast"/>
              <w:rPr>
                <w:rFonts w:eastAsia="MS Mincho"/>
                <w:noProof/>
                <w:sz w:val="20"/>
              </w:rPr>
            </w:pPr>
            <w:r w:rsidRPr="00C82494">
              <w:rPr>
                <w:rFonts w:eastAsia="MS Mincho"/>
                <w:i/>
                <w:noProof/>
                <w:sz w:val="20"/>
              </w:rPr>
              <w:t xml:space="preserve">Hazard </w:t>
            </w:r>
            <w:r w:rsidR="00D35B8D">
              <w:rPr>
                <w:rFonts w:eastAsia="MS Mincho"/>
                <w:i/>
                <w:noProof/>
                <w:sz w:val="20"/>
              </w:rPr>
              <w:t>r</w:t>
            </w:r>
            <w:r w:rsidRPr="00C82494">
              <w:rPr>
                <w:rFonts w:eastAsia="MS Mincho"/>
                <w:i/>
                <w:noProof/>
                <w:sz w:val="20"/>
              </w:rPr>
              <w:t>atio</w:t>
            </w:r>
            <w:r w:rsidRPr="00C82494">
              <w:rPr>
                <w:rFonts w:eastAsia="MS Mincho"/>
                <w:noProof/>
                <w:sz w:val="20"/>
              </w:rPr>
              <w:t xml:space="preserve"> (taxa de risco) (IC 95%)</w:t>
            </w:r>
            <w:r>
              <w:rPr>
                <w:rFonts w:eastAsia="MS Mincho"/>
                <w:noProof/>
                <w:sz w:val="20"/>
              </w:rPr>
              <w:t> </w:t>
            </w:r>
            <w:r w:rsidRPr="00C82494">
              <w:rPr>
                <w:rFonts w:eastAsia="MS Mincho"/>
                <w:noProof/>
                <w:sz w:val="20"/>
                <w:vertAlign w:val="superscript"/>
              </w:rPr>
              <w:t>2</w:t>
            </w:r>
          </w:p>
        </w:tc>
        <w:tc>
          <w:tcPr>
            <w:tcW w:w="2023" w:type="dxa"/>
            <w:tcBorders>
              <w:top w:val="nil"/>
              <w:bottom w:val="nil"/>
            </w:tcBorders>
            <w:vAlign w:val="center"/>
          </w:tcPr>
          <w:p w14:paraId="62B09C55" w14:textId="77777777" w:rsidR="00400398" w:rsidRPr="00C82494" w:rsidRDefault="00400398" w:rsidP="00654891">
            <w:pPr>
              <w:keepNext/>
              <w:spacing w:line="280" w:lineRule="atLeast"/>
              <w:jc w:val="center"/>
              <w:rPr>
                <w:rFonts w:eastAsia="MS Mincho"/>
                <w:noProof/>
                <w:sz w:val="20"/>
              </w:rPr>
            </w:pPr>
          </w:p>
        </w:tc>
        <w:tc>
          <w:tcPr>
            <w:tcW w:w="2023" w:type="dxa"/>
            <w:tcBorders>
              <w:top w:val="nil"/>
              <w:bottom w:val="nil"/>
            </w:tcBorders>
            <w:vAlign w:val="center"/>
          </w:tcPr>
          <w:p w14:paraId="2C6A4CD6" w14:textId="77777777" w:rsidR="00400398" w:rsidRPr="00C82494" w:rsidRDefault="00400398" w:rsidP="00711068">
            <w:pPr>
              <w:keepNext/>
              <w:spacing w:line="280" w:lineRule="atLeast"/>
              <w:jc w:val="center"/>
              <w:rPr>
                <w:rFonts w:eastAsia="MS Mincho"/>
                <w:noProof/>
                <w:sz w:val="20"/>
              </w:rPr>
            </w:pPr>
            <w:r w:rsidRPr="00C82494">
              <w:rPr>
                <w:rFonts w:eastAsia="MS Mincho"/>
                <w:noProof/>
                <w:sz w:val="20"/>
              </w:rPr>
              <w:t>1,07 (0,91; 1,25)</w:t>
            </w:r>
          </w:p>
        </w:tc>
        <w:tc>
          <w:tcPr>
            <w:tcW w:w="2024" w:type="dxa"/>
            <w:tcBorders>
              <w:top w:val="nil"/>
              <w:bottom w:val="nil"/>
              <w:right w:val="single" w:sz="4" w:space="0" w:color="auto"/>
            </w:tcBorders>
            <w:vAlign w:val="center"/>
          </w:tcPr>
          <w:p w14:paraId="05126D0F" w14:textId="77777777" w:rsidR="00400398" w:rsidRPr="00C82494" w:rsidRDefault="00400398" w:rsidP="009330DB">
            <w:pPr>
              <w:keepNext/>
              <w:spacing w:line="280" w:lineRule="atLeast"/>
              <w:jc w:val="center"/>
              <w:rPr>
                <w:rFonts w:eastAsia="MS Mincho"/>
                <w:noProof/>
                <w:sz w:val="20"/>
              </w:rPr>
            </w:pPr>
            <w:r w:rsidRPr="00C82494">
              <w:rPr>
                <w:rFonts w:eastAsia="MS Mincho"/>
                <w:noProof/>
                <w:sz w:val="20"/>
              </w:rPr>
              <w:t>0,88 (0,75; 1,04)</w:t>
            </w:r>
          </w:p>
        </w:tc>
      </w:tr>
      <w:tr w:rsidR="00400398" w:rsidRPr="00215594" w14:paraId="32829F1F" w14:textId="77777777" w:rsidTr="00D91337">
        <w:tc>
          <w:tcPr>
            <w:tcW w:w="2706" w:type="dxa"/>
            <w:tcBorders>
              <w:top w:val="nil"/>
              <w:left w:val="single" w:sz="4" w:space="0" w:color="auto"/>
              <w:bottom w:val="single" w:sz="4" w:space="0" w:color="auto"/>
            </w:tcBorders>
          </w:tcPr>
          <w:p w14:paraId="13469492" w14:textId="77777777" w:rsidR="00400398" w:rsidRPr="00C82494" w:rsidRDefault="00400398" w:rsidP="00654891">
            <w:pPr>
              <w:keepNext/>
              <w:spacing w:line="280" w:lineRule="atLeast"/>
              <w:rPr>
                <w:rFonts w:eastAsia="MS Mincho"/>
                <w:noProof/>
                <w:sz w:val="20"/>
              </w:rPr>
            </w:pPr>
            <w:r w:rsidRPr="00C82494">
              <w:rPr>
                <w:rFonts w:eastAsia="MS Mincho"/>
                <w:noProof/>
                <w:sz w:val="20"/>
              </w:rPr>
              <w:t>valor de p</w:t>
            </w:r>
            <w:r>
              <w:rPr>
                <w:rFonts w:eastAsia="MS Mincho"/>
                <w:noProof/>
                <w:sz w:val="20"/>
                <w:vertAlign w:val="superscript"/>
              </w:rPr>
              <w:t> </w:t>
            </w:r>
            <w:r w:rsidRPr="00C82494">
              <w:rPr>
                <w:rFonts w:eastAsia="MS Mincho"/>
                <w:noProof/>
                <w:sz w:val="20"/>
                <w:vertAlign w:val="superscript"/>
              </w:rPr>
              <w:t>3</w:t>
            </w:r>
          </w:p>
        </w:tc>
        <w:tc>
          <w:tcPr>
            <w:tcW w:w="2023" w:type="dxa"/>
            <w:tcBorders>
              <w:top w:val="nil"/>
              <w:bottom w:val="single" w:sz="4" w:space="0" w:color="auto"/>
            </w:tcBorders>
            <w:vAlign w:val="center"/>
          </w:tcPr>
          <w:p w14:paraId="15BE61BC" w14:textId="77777777" w:rsidR="00400398" w:rsidRPr="00C82494" w:rsidRDefault="00400398" w:rsidP="00654891">
            <w:pPr>
              <w:keepNext/>
              <w:spacing w:line="280" w:lineRule="atLeast"/>
              <w:jc w:val="center"/>
              <w:rPr>
                <w:rFonts w:eastAsia="MS Mincho"/>
                <w:noProof/>
                <w:sz w:val="20"/>
              </w:rPr>
            </w:pPr>
          </w:p>
        </w:tc>
        <w:tc>
          <w:tcPr>
            <w:tcW w:w="2023" w:type="dxa"/>
            <w:tcBorders>
              <w:top w:val="nil"/>
              <w:bottom w:val="single" w:sz="4" w:space="0" w:color="auto"/>
            </w:tcBorders>
            <w:vAlign w:val="center"/>
          </w:tcPr>
          <w:p w14:paraId="43B821B8" w14:textId="77777777" w:rsidR="00400398" w:rsidRPr="00C82494" w:rsidRDefault="00400398" w:rsidP="00654891">
            <w:pPr>
              <w:keepNext/>
              <w:spacing w:line="280" w:lineRule="atLeast"/>
              <w:jc w:val="center"/>
              <w:rPr>
                <w:rFonts w:eastAsia="MS Mincho"/>
                <w:noProof/>
                <w:sz w:val="20"/>
              </w:rPr>
            </w:pPr>
            <w:r w:rsidRPr="00C82494">
              <w:rPr>
                <w:rFonts w:eastAsia="MS Mincho"/>
                <w:noProof/>
                <w:sz w:val="20"/>
              </w:rPr>
              <w:t>0,2197</w:t>
            </w:r>
          </w:p>
        </w:tc>
        <w:tc>
          <w:tcPr>
            <w:tcW w:w="2024" w:type="dxa"/>
            <w:tcBorders>
              <w:top w:val="nil"/>
              <w:bottom w:val="single" w:sz="4" w:space="0" w:color="auto"/>
              <w:right w:val="single" w:sz="4" w:space="0" w:color="auto"/>
            </w:tcBorders>
            <w:vAlign w:val="center"/>
          </w:tcPr>
          <w:p w14:paraId="09F26112" w14:textId="77777777" w:rsidR="00400398" w:rsidRPr="00C82494" w:rsidRDefault="00400398" w:rsidP="00654891">
            <w:pPr>
              <w:keepNext/>
              <w:spacing w:line="280" w:lineRule="atLeast"/>
              <w:jc w:val="center"/>
              <w:rPr>
                <w:rFonts w:eastAsia="MS Mincho"/>
                <w:noProof/>
                <w:sz w:val="20"/>
              </w:rPr>
            </w:pPr>
            <w:r w:rsidRPr="00C82494">
              <w:rPr>
                <w:rFonts w:eastAsia="MS Mincho"/>
                <w:noProof/>
                <w:sz w:val="20"/>
              </w:rPr>
              <w:t>0,0641</w:t>
            </w:r>
          </w:p>
        </w:tc>
      </w:tr>
    </w:tbl>
    <w:p w14:paraId="581F28D9" w14:textId="77777777" w:rsidR="00400398" w:rsidRPr="007232E4" w:rsidRDefault="00400398" w:rsidP="00947564">
      <w:pPr>
        <w:keepNext/>
        <w:autoSpaceDE w:val="0"/>
        <w:autoSpaceDN w:val="0"/>
        <w:adjustRightInd w:val="0"/>
        <w:ind w:left="142" w:hanging="142"/>
        <w:rPr>
          <w:sz w:val="20"/>
        </w:rPr>
      </w:pPr>
      <w:r w:rsidRPr="007232E4">
        <w:rPr>
          <w:sz w:val="20"/>
          <w:vertAlign w:val="superscript"/>
        </w:rPr>
        <w:t>1</w:t>
      </w:r>
      <w:r w:rsidRPr="007232E4">
        <w:rPr>
          <w:sz w:val="20"/>
        </w:rPr>
        <w:t xml:space="preserve"> Análise PFS GOG protocolo-específica avaliada pelo investigador (não censurada para progressões CA-125 ou terapia não-protocolo (NPT) anterior a progressão da doença) com </w:t>
      </w:r>
      <w:r>
        <w:rPr>
          <w:sz w:val="20"/>
        </w:rPr>
        <w:t xml:space="preserve">data </w:t>
      </w:r>
      <w:r w:rsidRPr="007232E4">
        <w:rPr>
          <w:i/>
          <w:sz w:val="20"/>
        </w:rPr>
        <w:t xml:space="preserve">cut-off </w:t>
      </w:r>
      <w:r w:rsidRPr="007232E4">
        <w:rPr>
          <w:sz w:val="20"/>
        </w:rPr>
        <w:t>de dados a 25 fevereiro 2010.</w:t>
      </w:r>
    </w:p>
    <w:p w14:paraId="3E6EFCB3" w14:textId="77777777" w:rsidR="00400398" w:rsidRPr="007232E4" w:rsidRDefault="00400398" w:rsidP="00654891">
      <w:pPr>
        <w:keepNext/>
        <w:autoSpaceDE w:val="0"/>
        <w:autoSpaceDN w:val="0"/>
        <w:adjustRightInd w:val="0"/>
        <w:rPr>
          <w:sz w:val="20"/>
        </w:rPr>
      </w:pPr>
      <w:r w:rsidRPr="007232E4">
        <w:rPr>
          <w:sz w:val="20"/>
          <w:vertAlign w:val="superscript"/>
        </w:rPr>
        <w:t>2</w:t>
      </w:r>
      <w:r w:rsidRPr="007232E4">
        <w:rPr>
          <w:sz w:val="20"/>
        </w:rPr>
        <w:t xml:space="preserve"> Relativo ao braço controlo; </w:t>
      </w:r>
      <w:r w:rsidRPr="007232E4">
        <w:rPr>
          <w:i/>
          <w:sz w:val="20"/>
        </w:rPr>
        <w:t>Hazard ratio</w:t>
      </w:r>
      <w:r w:rsidRPr="007232E4">
        <w:rPr>
          <w:sz w:val="20"/>
        </w:rPr>
        <w:t xml:space="preserve"> (taxa de risco) estratificado</w:t>
      </w:r>
    </w:p>
    <w:p w14:paraId="42E14022" w14:textId="77777777" w:rsidR="00400398" w:rsidRPr="007232E4" w:rsidRDefault="00400398" w:rsidP="00654891">
      <w:pPr>
        <w:keepNext/>
        <w:autoSpaceDE w:val="0"/>
        <w:autoSpaceDN w:val="0"/>
        <w:adjustRightInd w:val="0"/>
        <w:rPr>
          <w:sz w:val="20"/>
        </w:rPr>
      </w:pPr>
      <w:r w:rsidRPr="007232E4">
        <w:rPr>
          <w:sz w:val="20"/>
          <w:vertAlign w:val="superscript"/>
        </w:rPr>
        <w:t>3</w:t>
      </w:r>
      <w:r w:rsidRPr="007232E4">
        <w:rPr>
          <w:sz w:val="20"/>
        </w:rPr>
        <w:t xml:space="preserve"> valor de p no teste log-rank unilateral </w:t>
      </w:r>
    </w:p>
    <w:p w14:paraId="566641C6" w14:textId="77777777" w:rsidR="00400398" w:rsidRPr="007232E4" w:rsidRDefault="00400398" w:rsidP="00654891">
      <w:pPr>
        <w:keepNext/>
        <w:autoSpaceDE w:val="0"/>
        <w:autoSpaceDN w:val="0"/>
        <w:adjustRightInd w:val="0"/>
        <w:rPr>
          <w:sz w:val="20"/>
        </w:rPr>
      </w:pPr>
      <w:r w:rsidRPr="007232E4">
        <w:rPr>
          <w:sz w:val="20"/>
          <w:vertAlign w:val="superscript"/>
        </w:rPr>
        <w:t>4</w:t>
      </w:r>
      <w:r w:rsidRPr="007232E4">
        <w:rPr>
          <w:sz w:val="20"/>
        </w:rPr>
        <w:t xml:space="preserve"> Sujeito a um limite de valor de p 0,0116</w:t>
      </w:r>
    </w:p>
    <w:p w14:paraId="2BF63893" w14:textId="77777777" w:rsidR="00400398" w:rsidRPr="007232E4" w:rsidRDefault="00400398" w:rsidP="00380346">
      <w:pPr>
        <w:autoSpaceDE w:val="0"/>
        <w:autoSpaceDN w:val="0"/>
        <w:adjustRightInd w:val="0"/>
        <w:rPr>
          <w:sz w:val="20"/>
        </w:rPr>
      </w:pPr>
      <w:r w:rsidRPr="007232E4">
        <w:rPr>
          <w:sz w:val="20"/>
          <w:vertAlign w:val="superscript"/>
        </w:rPr>
        <w:t>5</w:t>
      </w:r>
      <w:r w:rsidRPr="007232E4">
        <w:rPr>
          <w:sz w:val="20"/>
        </w:rPr>
        <w:t xml:space="preserve"> Doentes com doença mensurável à entrada no estudo</w:t>
      </w:r>
    </w:p>
    <w:p w14:paraId="1FE52B9B" w14:textId="77777777" w:rsidR="00400398" w:rsidRPr="007232E4" w:rsidRDefault="00400398" w:rsidP="00380346">
      <w:pPr>
        <w:autoSpaceDE w:val="0"/>
        <w:autoSpaceDN w:val="0"/>
        <w:adjustRightInd w:val="0"/>
        <w:rPr>
          <w:sz w:val="20"/>
        </w:rPr>
      </w:pPr>
      <w:r w:rsidRPr="007232E4">
        <w:rPr>
          <w:sz w:val="20"/>
          <w:vertAlign w:val="superscript"/>
        </w:rPr>
        <w:t xml:space="preserve">6 </w:t>
      </w:r>
      <w:r w:rsidRPr="007232E4">
        <w:rPr>
          <w:sz w:val="20"/>
        </w:rPr>
        <w:t xml:space="preserve">Análise final da </w:t>
      </w:r>
      <w:r w:rsidR="00D35B8D">
        <w:rPr>
          <w:sz w:val="20"/>
        </w:rPr>
        <w:t>OS</w:t>
      </w:r>
      <w:r w:rsidRPr="007232E4">
        <w:rPr>
          <w:sz w:val="20"/>
        </w:rPr>
        <w:t xml:space="preserve"> realizada quando tinham falecido aproximadamente 46,9% dos doentes </w:t>
      </w:r>
    </w:p>
    <w:p w14:paraId="35C6A8BC" w14:textId="77777777" w:rsidR="00400398" w:rsidRPr="007232E4" w:rsidRDefault="00400398" w:rsidP="00380346">
      <w:pPr>
        <w:autoSpaceDE w:val="0"/>
        <w:autoSpaceDN w:val="0"/>
        <w:adjustRightInd w:val="0"/>
        <w:rPr>
          <w:szCs w:val="22"/>
        </w:rPr>
      </w:pPr>
    </w:p>
    <w:p w14:paraId="2143FC74" w14:textId="77777777" w:rsidR="00400398" w:rsidRPr="007232E4" w:rsidRDefault="00400398" w:rsidP="000C3BFB">
      <w:pPr>
        <w:keepNext/>
        <w:keepLines/>
        <w:autoSpaceDE w:val="0"/>
        <w:autoSpaceDN w:val="0"/>
        <w:adjustRightInd w:val="0"/>
        <w:rPr>
          <w:iCs/>
          <w:szCs w:val="22"/>
        </w:rPr>
      </w:pPr>
      <w:r w:rsidRPr="007232E4">
        <w:rPr>
          <w:iCs/>
          <w:szCs w:val="22"/>
        </w:rPr>
        <w:lastRenderedPageBreak/>
        <w:t xml:space="preserve">Foram realizadas análises pré-especificadas da PFS, todas com data de </w:t>
      </w:r>
      <w:r w:rsidRPr="007232E4">
        <w:rPr>
          <w:i/>
          <w:iCs/>
          <w:szCs w:val="22"/>
        </w:rPr>
        <w:t>cut-off</w:t>
      </w:r>
      <w:r w:rsidRPr="007232E4">
        <w:rPr>
          <w:iCs/>
          <w:szCs w:val="22"/>
        </w:rPr>
        <w:t xml:space="preserve"> 29 setembro de 2009. Os resultados destas análises pré-especificadas são os seguintes:</w:t>
      </w:r>
    </w:p>
    <w:p w14:paraId="4838C4E8" w14:textId="77777777" w:rsidR="00400398" w:rsidRPr="007232E4" w:rsidRDefault="00400398" w:rsidP="000C3BFB">
      <w:pPr>
        <w:keepNext/>
        <w:keepLines/>
        <w:autoSpaceDE w:val="0"/>
        <w:autoSpaceDN w:val="0"/>
        <w:adjustRightInd w:val="0"/>
        <w:rPr>
          <w:iCs/>
          <w:szCs w:val="22"/>
        </w:rPr>
      </w:pPr>
    </w:p>
    <w:p w14:paraId="44E6DF28" w14:textId="77777777" w:rsidR="00400398" w:rsidRPr="007232E4" w:rsidRDefault="00400398" w:rsidP="00CA5962">
      <w:pPr>
        <w:keepNext/>
        <w:keepLines/>
        <w:autoSpaceDE w:val="0"/>
        <w:autoSpaceDN w:val="0"/>
        <w:adjustRightInd w:val="0"/>
        <w:ind w:left="567" w:hanging="567"/>
        <w:rPr>
          <w:iCs/>
          <w:szCs w:val="22"/>
        </w:rPr>
      </w:pPr>
      <w:r w:rsidRPr="007232E4">
        <w:rPr>
          <w:sz w:val="32"/>
          <w:szCs w:val="32"/>
        </w:rPr>
        <w:t>•</w:t>
      </w:r>
      <w:r w:rsidRPr="007232E4">
        <w:rPr>
          <w:sz w:val="32"/>
          <w:szCs w:val="32"/>
        </w:rPr>
        <w:tab/>
      </w:r>
      <w:r w:rsidRPr="007232E4">
        <w:rPr>
          <w:iCs/>
          <w:szCs w:val="22"/>
        </w:rPr>
        <w:t>A análise especificada por protocolo da PFS avaliada pelo investigador (sem censura para progressão CA-125 ou terapia não-protocolo [NPT]) mostra uma taxa de risco estratificada de 0,71 (IC 95%: 0,61-0,83, valor de p no teste log-rank unilateral &lt; 0,0001) quando CPB15+ é comparado com CPP, com uma PFS mediana de 10,4 meses no braço CPP e 14,1 meses no braço CPB15+.</w:t>
      </w:r>
    </w:p>
    <w:p w14:paraId="680BEA6E" w14:textId="77777777" w:rsidR="00400398" w:rsidRPr="007232E4" w:rsidRDefault="00400398" w:rsidP="00CA5962">
      <w:pPr>
        <w:keepNext/>
        <w:keepLines/>
        <w:autoSpaceDE w:val="0"/>
        <w:autoSpaceDN w:val="0"/>
        <w:adjustRightInd w:val="0"/>
        <w:ind w:left="567" w:hanging="567"/>
        <w:rPr>
          <w:iCs/>
          <w:szCs w:val="22"/>
        </w:rPr>
      </w:pPr>
    </w:p>
    <w:p w14:paraId="2C2D6331" w14:textId="77777777" w:rsidR="00400398" w:rsidRPr="007232E4" w:rsidRDefault="00400398" w:rsidP="00CA5962">
      <w:pPr>
        <w:tabs>
          <w:tab w:val="left" w:pos="720"/>
        </w:tabs>
        <w:autoSpaceDE w:val="0"/>
        <w:autoSpaceDN w:val="0"/>
        <w:adjustRightInd w:val="0"/>
        <w:ind w:left="567" w:hanging="567"/>
        <w:rPr>
          <w:iCs/>
          <w:szCs w:val="22"/>
        </w:rPr>
      </w:pPr>
      <w:r w:rsidRPr="007232E4">
        <w:rPr>
          <w:sz w:val="32"/>
          <w:szCs w:val="32"/>
        </w:rPr>
        <w:t>•</w:t>
      </w:r>
      <w:r w:rsidRPr="007232E4">
        <w:rPr>
          <w:sz w:val="32"/>
          <w:szCs w:val="32"/>
        </w:rPr>
        <w:tab/>
      </w:r>
      <w:r w:rsidRPr="007232E4">
        <w:rPr>
          <w:iCs/>
          <w:szCs w:val="22"/>
        </w:rPr>
        <w:t>A análise primária da PFS avaliada pelo investigador (censurada para progressão CA-125 e NPT) mostra uma taxa de risco estratificada de 0,62 (IC 95%: 0,52-0,75, valor de p no teste log-rank unilateral &lt; 0,0001) quando CPB15+ é comparado com CPP, com uma PFS mediana de 12,0 meses no braço CPP e 18,2 meses no braço CPB15+.</w:t>
      </w:r>
    </w:p>
    <w:p w14:paraId="6443117C" w14:textId="77777777" w:rsidR="00400398" w:rsidRPr="007232E4" w:rsidRDefault="00400398" w:rsidP="00CA5962">
      <w:pPr>
        <w:autoSpaceDE w:val="0"/>
        <w:autoSpaceDN w:val="0"/>
        <w:adjustRightInd w:val="0"/>
        <w:ind w:left="567" w:hanging="567"/>
        <w:rPr>
          <w:iCs/>
          <w:szCs w:val="22"/>
        </w:rPr>
      </w:pPr>
    </w:p>
    <w:p w14:paraId="7C02B535" w14:textId="77777777" w:rsidR="00400398" w:rsidRPr="007232E4" w:rsidRDefault="00400398" w:rsidP="00CA5962">
      <w:pPr>
        <w:autoSpaceDE w:val="0"/>
        <w:autoSpaceDN w:val="0"/>
        <w:adjustRightInd w:val="0"/>
        <w:ind w:left="567" w:hanging="567"/>
        <w:rPr>
          <w:iCs/>
          <w:szCs w:val="22"/>
        </w:rPr>
      </w:pPr>
      <w:r w:rsidRPr="007232E4">
        <w:rPr>
          <w:sz w:val="32"/>
          <w:szCs w:val="32"/>
        </w:rPr>
        <w:t>•</w:t>
      </w:r>
      <w:r w:rsidRPr="007232E4">
        <w:rPr>
          <w:sz w:val="32"/>
          <w:szCs w:val="32"/>
        </w:rPr>
        <w:tab/>
      </w:r>
      <w:r w:rsidRPr="007232E4">
        <w:rPr>
          <w:iCs/>
          <w:szCs w:val="22"/>
        </w:rPr>
        <w:t>A análise da PFS conforme determinada pelo comité de revisão independente (censurada para NPT) mostra uma taxa de risco estratificada de 0,62 (IC 95%: 0,50-0,77, valor de p no teste log-rank unilateral &lt; 0,0001) quando CPB15+ é com com uma PFS mediana de 13,1 no braço CPP e 19,1 no braço CPP15+.</w:t>
      </w:r>
    </w:p>
    <w:p w14:paraId="0EEEB96E" w14:textId="77777777" w:rsidR="00400398" w:rsidRPr="007232E4" w:rsidRDefault="00400398" w:rsidP="00CA5962">
      <w:pPr>
        <w:autoSpaceDE w:val="0"/>
        <w:autoSpaceDN w:val="0"/>
        <w:adjustRightInd w:val="0"/>
        <w:ind w:left="567" w:hanging="567"/>
        <w:rPr>
          <w:i/>
          <w:iCs/>
          <w:szCs w:val="22"/>
        </w:rPr>
      </w:pPr>
    </w:p>
    <w:p w14:paraId="774C5825" w14:textId="77777777" w:rsidR="00400398" w:rsidRPr="007232E4" w:rsidRDefault="00400398" w:rsidP="000E634D">
      <w:pPr>
        <w:rPr>
          <w:rFonts w:eastAsia="PMingLiU"/>
          <w:lang w:eastAsia="zh-CN"/>
        </w:rPr>
      </w:pPr>
      <w:r w:rsidRPr="007232E4">
        <w:rPr>
          <w:rFonts w:eastAsia="PMingLiU"/>
          <w:lang w:eastAsia="zh-CN"/>
        </w:rPr>
        <w:t xml:space="preserve">Na Tabela </w:t>
      </w:r>
      <w:r w:rsidR="00835CCD" w:rsidRPr="007232E4">
        <w:rPr>
          <w:rFonts w:eastAsia="PMingLiU"/>
          <w:lang w:eastAsia="zh-CN"/>
        </w:rPr>
        <w:t>1</w:t>
      </w:r>
      <w:r w:rsidR="00835CCD">
        <w:rPr>
          <w:rFonts w:eastAsia="PMingLiU"/>
          <w:lang w:eastAsia="zh-CN"/>
        </w:rPr>
        <w:t>7</w:t>
      </w:r>
      <w:r w:rsidR="00835CCD" w:rsidRPr="007232E4">
        <w:rPr>
          <w:rFonts w:eastAsia="PMingLiU"/>
          <w:lang w:eastAsia="zh-CN"/>
        </w:rPr>
        <w:t xml:space="preserve"> </w:t>
      </w:r>
      <w:r w:rsidRPr="007232E4">
        <w:rPr>
          <w:rFonts w:eastAsia="PMingLiU"/>
          <w:lang w:eastAsia="zh-CN"/>
        </w:rPr>
        <w:t>est</w:t>
      </w:r>
      <w:r w:rsidR="00481C46">
        <w:rPr>
          <w:rFonts w:eastAsia="PMingLiU"/>
          <w:lang w:eastAsia="zh-CN"/>
        </w:rPr>
        <w:t>ão</w:t>
      </w:r>
      <w:r w:rsidRPr="007232E4">
        <w:rPr>
          <w:rFonts w:eastAsia="PMingLiU"/>
          <w:lang w:eastAsia="zh-CN"/>
        </w:rPr>
        <w:t xml:space="preserve"> resumida</w:t>
      </w:r>
      <w:r w:rsidR="00481C46">
        <w:rPr>
          <w:rFonts w:eastAsia="PMingLiU"/>
          <w:lang w:eastAsia="zh-CN"/>
        </w:rPr>
        <w:t>s</w:t>
      </w:r>
      <w:r w:rsidRPr="007232E4">
        <w:rPr>
          <w:rFonts w:eastAsia="PMingLiU"/>
          <w:lang w:eastAsia="zh-CN"/>
        </w:rPr>
        <w:t xml:space="preserve"> a</w:t>
      </w:r>
      <w:r w:rsidR="00481C46">
        <w:rPr>
          <w:rFonts w:eastAsia="PMingLiU"/>
          <w:lang w:eastAsia="zh-CN"/>
        </w:rPr>
        <w:t>s</w:t>
      </w:r>
      <w:r w:rsidRPr="007232E4">
        <w:rPr>
          <w:rFonts w:eastAsia="PMingLiU"/>
          <w:lang w:eastAsia="zh-CN"/>
        </w:rPr>
        <w:t xml:space="preserve"> análise</w:t>
      </w:r>
      <w:r w:rsidR="00481C46">
        <w:rPr>
          <w:rFonts w:eastAsia="PMingLiU"/>
          <w:lang w:eastAsia="zh-CN"/>
        </w:rPr>
        <w:t>s</w:t>
      </w:r>
      <w:r w:rsidRPr="007232E4">
        <w:rPr>
          <w:rFonts w:eastAsia="PMingLiU"/>
          <w:lang w:eastAsia="zh-CN"/>
        </w:rPr>
        <w:t xml:space="preserve"> da PFS por subgrupos tendo em conta o estadio da doença e o estadio após citoredução. Estes resultados demonstram a robustez da</w:t>
      </w:r>
      <w:r w:rsidR="00481C46">
        <w:rPr>
          <w:rFonts w:eastAsia="PMingLiU"/>
          <w:lang w:eastAsia="zh-CN"/>
        </w:rPr>
        <w:t>s</w:t>
      </w:r>
      <w:r w:rsidRPr="007232E4">
        <w:rPr>
          <w:rFonts w:eastAsia="PMingLiU"/>
          <w:lang w:eastAsia="zh-CN"/>
        </w:rPr>
        <w:t xml:space="preserve"> análise</w:t>
      </w:r>
      <w:r w:rsidR="00481C46">
        <w:rPr>
          <w:rFonts w:eastAsia="PMingLiU"/>
          <w:lang w:eastAsia="zh-CN"/>
        </w:rPr>
        <w:t>s</w:t>
      </w:r>
      <w:r w:rsidRPr="007232E4">
        <w:rPr>
          <w:rFonts w:eastAsia="PMingLiU"/>
          <w:lang w:eastAsia="zh-CN"/>
        </w:rPr>
        <w:t xml:space="preserve"> da PFS apresentada na Tabela </w:t>
      </w:r>
      <w:r w:rsidR="00835CCD" w:rsidRPr="007232E4">
        <w:rPr>
          <w:rFonts w:eastAsia="PMingLiU"/>
          <w:lang w:eastAsia="zh-CN"/>
        </w:rPr>
        <w:t>1</w:t>
      </w:r>
      <w:r w:rsidR="00835CCD">
        <w:rPr>
          <w:rFonts w:eastAsia="PMingLiU"/>
          <w:lang w:eastAsia="zh-CN"/>
        </w:rPr>
        <w:t>6</w:t>
      </w:r>
      <w:r w:rsidRPr="007232E4">
        <w:rPr>
          <w:rFonts w:eastAsia="PMingLiU"/>
          <w:lang w:eastAsia="zh-CN"/>
        </w:rPr>
        <w:t>.</w:t>
      </w:r>
    </w:p>
    <w:p w14:paraId="46DE8392" w14:textId="77777777" w:rsidR="00400398" w:rsidRPr="007232E4" w:rsidRDefault="00400398" w:rsidP="000E634D"/>
    <w:p w14:paraId="616A42E4" w14:textId="77777777" w:rsidR="00400398" w:rsidRPr="007232E4" w:rsidRDefault="00400398" w:rsidP="001F3EE8">
      <w:pPr>
        <w:keepNext/>
        <w:keepLines/>
        <w:rPr>
          <w:b/>
        </w:rPr>
      </w:pPr>
      <w:r w:rsidRPr="007232E4">
        <w:rPr>
          <w:b/>
        </w:rPr>
        <w:t xml:space="preserve">Tabela </w:t>
      </w:r>
      <w:r w:rsidR="00835CCD" w:rsidRPr="007232E4">
        <w:rPr>
          <w:b/>
        </w:rPr>
        <w:t>1</w:t>
      </w:r>
      <w:r w:rsidR="00835CCD">
        <w:rPr>
          <w:b/>
        </w:rPr>
        <w:t>7</w:t>
      </w:r>
      <w:r w:rsidRPr="007232E4">
        <w:rPr>
          <w:b/>
        </w:rPr>
        <w:tab/>
        <w:t>Resultados da PFS</w:t>
      </w:r>
      <w:r w:rsidRPr="007232E4">
        <w:rPr>
          <w:b/>
          <w:vertAlign w:val="superscript"/>
        </w:rPr>
        <w:t>1</w:t>
      </w:r>
      <w:r w:rsidRPr="007232E4">
        <w:rPr>
          <w:b/>
        </w:rPr>
        <w:t xml:space="preserve"> do ensaio GOG-0218 por estadio da doença e estadio após citoredução</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2793"/>
        <w:gridCol w:w="2089"/>
        <w:gridCol w:w="2089"/>
        <w:gridCol w:w="2090"/>
      </w:tblGrid>
      <w:tr w:rsidR="00400398" w:rsidRPr="00215594" w14:paraId="259E3967" w14:textId="77777777" w:rsidTr="00D91337">
        <w:tc>
          <w:tcPr>
            <w:tcW w:w="9207" w:type="dxa"/>
            <w:gridSpan w:val="4"/>
            <w:tcBorders>
              <w:top w:val="single" w:sz="4" w:space="0" w:color="auto"/>
              <w:left w:val="single" w:sz="4" w:space="0" w:color="auto"/>
              <w:bottom w:val="single" w:sz="6" w:space="0" w:color="000000"/>
              <w:right w:val="single" w:sz="4" w:space="0" w:color="auto"/>
            </w:tcBorders>
          </w:tcPr>
          <w:p w14:paraId="44951046" w14:textId="77777777" w:rsidR="00400398" w:rsidRPr="007232E4" w:rsidRDefault="00400398" w:rsidP="00425D72">
            <w:pPr>
              <w:pStyle w:val="TableText10"/>
              <w:keepNext/>
              <w:keepLines/>
              <w:spacing w:line="280" w:lineRule="atLeast"/>
              <w:rPr>
                <w:rFonts w:eastAsia="MS Mincho"/>
              </w:rPr>
            </w:pPr>
            <w:r w:rsidRPr="00215594">
              <w:rPr>
                <w:bCs/>
              </w:rPr>
              <w:t>Doentes aleatorizados de estadio III com citoredução ótima</w:t>
            </w:r>
            <w:r w:rsidRPr="00215594">
              <w:rPr>
                <w:vertAlign w:val="superscript"/>
              </w:rPr>
              <w:t xml:space="preserve"> 2,3</w:t>
            </w:r>
          </w:p>
        </w:tc>
      </w:tr>
      <w:tr w:rsidR="00400398" w:rsidRPr="00215594" w14:paraId="1174C9C4" w14:textId="77777777" w:rsidTr="00D91337">
        <w:tc>
          <w:tcPr>
            <w:tcW w:w="2840" w:type="dxa"/>
            <w:tcBorders>
              <w:top w:val="nil"/>
              <w:left w:val="single" w:sz="4" w:space="0" w:color="auto"/>
              <w:bottom w:val="nil"/>
            </w:tcBorders>
          </w:tcPr>
          <w:p w14:paraId="420CF471" w14:textId="77777777" w:rsidR="00400398" w:rsidRPr="007232E4" w:rsidRDefault="00400398" w:rsidP="001F3EE8">
            <w:pPr>
              <w:pStyle w:val="TableText10"/>
              <w:keepNext/>
              <w:keepLines/>
              <w:spacing w:line="280" w:lineRule="atLeast"/>
              <w:jc w:val="center"/>
              <w:rPr>
                <w:rFonts w:eastAsia="MS Mincho"/>
              </w:rPr>
            </w:pPr>
          </w:p>
        </w:tc>
        <w:tc>
          <w:tcPr>
            <w:tcW w:w="2122" w:type="dxa"/>
            <w:tcBorders>
              <w:top w:val="nil"/>
              <w:bottom w:val="nil"/>
            </w:tcBorders>
            <w:vAlign w:val="center"/>
          </w:tcPr>
          <w:p w14:paraId="060A6C98" w14:textId="77777777" w:rsidR="00400398" w:rsidRPr="00C82494" w:rsidRDefault="00400398" w:rsidP="001F3EE8">
            <w:pPr>
              <w:pStyle w:val="NormalWeb"/>
              <w:keepNext/>
              <w:keepLines/>
              <w:widowControl w:val="0"/>
              <w:spacing w:before="0" w:beforeAutospacing="0" w:after="0" w:afterAutospacing="0" w:line="280" w:lineRule="atLeast"/>
              <w:jc w:val="center"/>
              <w:rPr>
                <w:rFonts w:ascii="Arial" w:hAnsi="Arial"/>
                <w:noProof/>
                <w:sz w:val="20"/>
              </w:rPr>
            </w:pPr>
            <w:r w:rsidRPr="00C82494">
              <w:rPr>
                <w:noProof/>
                <w:sz w:val="20"/>
              </w:rPr>
              <w:t>CPP</w:t>
            </w:r>
          </w:p>
          <w:p w14:paraId="58F4B904" w14:textId="77777777" w:rsidR="00400398" w:rsidRPr="00C82494" w:rsidRDefault="00400398" w:rsidP="001F3EE8">
            <w:pPr>
              <w:keepNext/>
              <w:keepLines/>
              <w:jc w:val="center"/>
              <w:rPr>
                <w:rFonts w:ascii="Arial" w:eastAsia="SimSun" w:hAnsi="Arial"/>
                <w:noProof/>
                <w:sz w:val="20"/>
              </w:rPr>
            </w:pPr>
            <w:r w:rsidRPr="00215594">
              <w:rPr>
                <w:noProof/>
                <w:sz w:val="20"/>
              </w:rPr>
              <w:t xml:space="preserve"> (n = 219)</w:t>
            </w:r>
          </w:p>
        </w:tc>
        <w:tc>
          <w:tcPr>
            <w:tcW w:w="2122" w:type="dxa"/>
            <w:tcBorders>
              <w:top w:val="nil"/>
              <w:bottom w:val="nil"/>
            </w:tcBorders>
            <w:vAlign w:val="center"/>
          </w:tcPr>
          <w:p w14:paraId="3F6AB854" w14:textId="77777777" w:rsidR="00400398" w:rsidRPr="00C82494" w:rsidRDefault="00400398" w:rsidP="001F3EE8">
            <w:pPr>
              <w:keepNext/>
              <w:keepLines/>
              <w:jc w:val="center"/>
              <w:rPr>
                <w:rFonts w:ascii="Arial" w:eastAsia="SimSun" w:hAnsi="Arial"/>
                <w:noProof/>
                <w:sz w:val="20"/>
              </w:rPr>
            </w:pPr>
            <w:r w:rsidRPr="00215594">
              <w:rPr>
                <w:noProof/>
                <w:sz w:val="20"/>
              </w:rPr>
              <w:t>CPB15</w:t>
            </w:r>
          </w:p>
          <w:p w14:paraId="7C2E3B3D" w14:textId="77777777" w:rsidR="00400398" w:rsidRPr="00C82494" w:rsidRDefault="00400398" w:rsidP="001F3EE8">
            <w:pPr>
              <w:keepNext/>
              <w:keepLines/>
              <w:jc w:val="center"/>
              <w:rPr>
                <w:rFonts w:ascii="Arial" w:eastAsia="SimSun" w:hAnsi="Arial"/>
                <w:noProof/>
                <w:sz w:val="20"/>
              </w:rPr>
            </w:pPr>
            <w:r w:rsidRPr="00215594">
              <w:rPr>
                <w:noProof/>
                <w:sz w:val="20"/>
              </w:rPr>
              <w:t xml:space="preserve"> (n = 204)</w:t>
            </w:r>
          </w:p>
        </w:tc>
        <w:tc>
          <w:tcPr>
            <w:tcW w:w="2123" w:type="dxa"/>
            <w:tcBorders>
              <w:top w:val="nil"/>
              <w:bottom w:val="nil"/>
              <w:right w:val="single" w:sz="4" w:space="0" w:color="auto"/>
            </w:tcBorders>
            <w:vAlign w:val="center"/>
          </w:tcPr>
          <w:p w14:paraId="14A3935E" w14:textId="77777777" w:rsidR="00400398" w:rsidRPr="00C82494" w:rsidRDefault="00400398" w:rsidP="001F3EE8">
            <w:pPr>
              <w:keepNext/>
              <w:keepLines/>
              <w:jc w:val="center"/>
              <w:rPr>
                <w:rFonts w:ascii="Arial" w:eastAsia="SimSun" w:hAnsi="Arial"/>
                <w:noProof/>
                <w:sz w:val="20"/>
                <w:vertAlign w:val="superscript"/>
              </w:rPr>
            </w:pPr>
            <w:r w:rsidRPr="00215594">
              <w:rPr>
                <w:noProof/>
                <w:sz w:val="20"/>
              </w:rPr>
              <w:t xml:space="preserve">CPB15+ </w:t>
            </w:r>
          </w:p>
          <w:p w14:paraId="62592888" w14:textId="77777777" w:rsidR="00400398" w:rsidRPr="00C82494" w:rsidRDefault="00400398" w:rsidP="001F3EE8">
            <w:pPr>
              <w:pStyle w:val="TableText10"/>
              <w:keepNext/>
              <w:keepLines/>
              <w:spacing w:line="280" w:lineRule="atLeast"/>
              <w:jc w:val="center"/>
              <w:rPr>
                <w:rFonts w:eastAsia="MS Mincho"/>
                <w:noProof/>
              </w:rPr>
            </w:pPr>
            <w:r w:rsidRPr="00215594">
              <w:rPr>
                <w:noProof/>
              </w:rPr>
              <w:t>(n = 216)</w:t>
            </w:r>
          </w:p>
        </w:tc>
      </w:tr>
      <w:tr w:rsidR="00400398" w:rsidRPr="00215594" w14:paraId="1469B731" w14:textId="77777777" w:rsidTr="00D91337">
        <w:tc>
          <w:tcPr>
            <w:tcW w:w="2840" w:type="dxa"/>
            <w:tcBorders>
              <w:top w:val="nil"/>
              <w:left w:val="single" w:sz="4" w:space="0" w:color="auto"/>
              <w:bottom w:val="nil"/>
            </w:tcBorders>
          </w:tcPr>
          <w:p w14:paraId="486D2E4F" w14:textId="77777777" w:rsidR="00400398" w:rsidRPr="00215594" w:rsidRDefault="00400398" w:rsidP="00425D72">
            <w:pPr>
              <w:keepNext/>
              <w:keepLines/>
              <w:spacing w:line="280" w:lineRule="atLeast"/>
              <w:rPr>
                <w:noProof/>
                <w:sz w:val="20"/>
              </w:rPr>
            </w:pPr>
            <w:r w:rsidRPr="00215594">
              <w:rPr>
                <w:noProof/>
                <w:sz w:val="20"/>
              </w:rPr>
              <w:t>PFS mediana (meses)</w:t>
            </w:r>
          </w:p>
        </w:tc>
        <w:tc>
          <w:tcPr>
            <w:tcW w:w="2122" w:type="dxa"/>
            <w:tcBorders>
              <w:top w:val="nil"/>
              <w:bottom w:val="nil"/>
            </w:tcBorders>
            <w:vAlign w:val="center"/>
          </w:tcPr>
          <w:p w14:paraId="1F9658D4" w14:textId="77777777" w:rsidR="00400398" w:rsidRPr="00C82494" w:rsidRDefault="00400398" w:rsidP="00425D72">
            <w:pPr>
              <w:keepNext/>
              <w:keepLines/>
              <w:jc w:val="center"/>
              <w:rPr>
                <w:rFonts w:ascii="Arial" w:eastAsia="SimSun" w:hAnsi="Arial"/>
                <w:noProof/>
                <w:sz w:val="20"/>
              </w:rPr>
            </w:pPr>
            <w:r w:rsidRPr="00215594">
              <w:rPr>
                <w:noProof/>
                <w:sz w:val="20"/>
              </w:rPr>
              <w:t>12,4</w:t>
            </w:r>
          </w:p>
        </w:tc>
        <w:tc>
          <w:tcPr>
            <w:tcW w:w="2122" w:type="dxa"/>
            <w:tcBorders>
              <w:top w:val="nil"/>
              <w:bottom w:val="nil"/>
            </w:tcBorders>
            <w:vAlign w:val="center"/>
          </w:tcPr>
          <w:p w14:paraId="65DA8578" w14:textId="77777777" w:rsidR="00400398" w:rsidRPr="00C82494" w:rsidRDefault="00400398" w:rsidP="00425D72">
            <w:pPr>
              <w:keepNext/>
              <w:keepLines/>
              <w:jc w:val="center"/>
              <w:rPr>
                <w:rFonts w:ascii="Arial" w:eastAsia="SimSun" w:hAnsi="Arial"/>
                <w:noProof/>
                <w:sz w:val="20"/>
              </w:rPr>
            </w:pPr>
            <w:r w:rsidRPr="00215594">
              <w:rPr>
                <w:noProof/>
                <w:sz w:val="20"/>
              </w:rPr>
              <w:t>14,3</w:t>
            </w:r>
          </w:p>
        </w:tc>
        <w:tc>
          <w:tcPr>
            <w:tcW w:w="2123" w:type="dxa"/>
            <w:tcBorders>
              <w:top w:val="nil"/>
              <w:bottom w:val="nil"/>
              <w:right w:val="single" w:sz="4" w:space="0" w:color="auto"/>
            </w:tcBorders>
            <w:vAlign w:val="center"/>
          </w:tcPr>
          <w:p w14:paraId="0B3F3F3D" w14:textId="77777777" w:rsidR="00400398" w:rsidRPr="00C82494" w:rsidRDefault="00400398" w:rsidP="00B47EC5">
            <w:pPr>
              <w:pStyle w:val="TableText10"/>
              <w:keepNext/>
              <w:keepLines/>
              <w:spacing w:line="280" w:lineRule="atLeast"/>
              <w:jc w:val="center"/>
              <w:rPr>
                <w:rFonts w:eastAsia="MS Mincho"/>
                <w:noProof/>
              </w:rPr>
            </w:pPr>
            <w:r w:rsidRPr="00215594">
              <w:rPr>
                <w:noProof/>
              </w:rPr>
              <w:t>17,5</w:t>
            </w:r>
          </w:p>
        </w:tc>
      </w:tr>
      <w:tr w:rsidR="00400398" w:rsidRPr="00215594" w14:paraId="38FC623D" w14:textId="77777777" w:rsidTr="00D91337">
        <w:tc>
          <w:tcPr>
            <w:tcW w:w="2840" w:type="dxa"/>
            <w:tcBorders>
              <w:top w:val="nil"/>
              <w:left w:val="single" w:sz="4" w:space="0" w:color="auto"/>
              <w:bottom w:val="nil"/>
            </w:tcBorders>
          </w:tcPr>
          <w:p w14:paraId="36A596D6" w14:textId="77777777" w:rsidR="00400398" w:rsidRPr="00215594" w:rsidRDefault="00400398" w:rsidP="00CE4668">
            <w:pPr>
              <w:keepNext/>
              <w:keepLines/>
              <w:widowControl w:val="0"/>
              <w:rPr>
                <w:sz w:val="20"/>
              </w:rPr>
            </w:pPr>
            <w:r w:rsidRPr="00215594">
              <w:rPr>
                <w:i/>
                <w:sz w:val="20"/>
              </w:rPr>
              <w:t>Hazard ratio</w:t>
            </w:r>
            <w:r w:rsidRPr="00215594">
              <w:rPr>
                <w:sz w:val="20"/>
              </w:rPr>
              <w:t xml:space="preserve"> (taxa de risco)</w:t>
            </w:r>
          </w:p>
          <w:p w14:paraId="099866E3" w14:textId="77777777" w:rsidR="00400398" w:rsidRPr="007232E4" w:rsidRDefault="00400398" w:rsidP="00CE4668">
            <w:pPr>
              <w:keepNext/>
              <w:keepLines/>
              <w:widowControl w:val="0"/>
              <w:rPr>
                <w:rFonts w:ascii="Arial" w:eastAsia="SimSun" w:hAnsi="Arial"/>
                <w:sz w:val="20"/>
                <w:szCs w:val="24"/>
                <w:lang w:eastAsia="zh-CN"/>
              </w:rPr>
            </w:pPr>
            <w:r w:rsidRPr="00215594">
              <w:rPr>
                <w:sz w:val="20"/>
              </w:rPr>
              <w:t>(IC 95%)</w:t>
            </w:r>
            <w:r w:rsidRPr="00215594">
              <w:rPr>
                <w:sz w:val="20"/>
                <w:vertAlign w:val="superscript"/>
              </w:rPr>
              <w:t>4</w:t>
            </w:r>
          </w:p>
        </w:tc>
        <w:tc>
          <w:tcPr>
            <w:tcW w:w="2122" w:type="dxa"/>
            <w:tcBorders>
              <w:top w:val="nil"/>
              <w:bottom w:val="nil"/>
            </w:tcBorders>
            <w:vAlign w:val="center"/>
          </w:tcPr>
          <w:p w14:paraId="36AFCF75" w14:textId="77777777" w:rsidR="00400398" w:rsidRPr="007232E4" w:rsidRDefault="00400398" w:rsidP="001F3EE8">
            <w:pPr>
              <w:keepNext/>
              <w:keepLines/>
              <w:jc w:val="center"/>
              <w:rPr>
                <w:rFonts w:ascii="Arial" w:eastAsia="SimSun" w:hAnsi="Arial"/>
                <w:sz w:val="20"/>
                <w:szCs w:val="24"/>
                <w:lang w:eastAsia="zh-CN"/>
              </w:rPr>
            </w:pPr>
          </w:p>
        </w:tc>
        <w:tc>
          <w:tcPr>
            <w:tcW w:w="2122" w:type="dxa"/>
            <w:tcBorders>
              <w:top w:val="nil"/>
              <w:bottom w:val="nil"/>
            </w:tcBorders>
            <w:vAlign w:val="center"/>
          </w:tcPr>
          <w:p w14:paraId="11B68FCD" w14:textId="77777777" w:rsidR="00400398" w:rsidRPr="00C82494" w:rsidRDefault="00400398" w:rsidP="001F3EE8">
            <w:pPr>
              <w:keepNext/>
              <w:keepLines/>
              <w:jc w:val="center"/>
              <w:rPr>
                <w:rFonts w:ascii="Arial" w:eastAsia="SimSun" w:hAnsi="Arial"/>
                <w:noProof/>
                <w:sz w:val="20"/>
              </w:rPr>
            </w:pPr>
            <w:r w:rsidRPr="00215594">
              <w:rPr>
                <w:noProof/>
                <w:sz w:val="20"/>
              </w:rPr>
              <w:t>0,81</w:t>
            </w:r>
          </w:p>
          <w:p w14:paraId="23B76C36" w14:textId="77777777" w:rsidR="00400398" w:rsidRPr="00C82494" w:rsidRDefault="00400398" w:rsidP="00425D72">
            <w:pPr>
              <w:keepNext/>
              <w:keepLines/>
              <w:jc w:val="center"/>
              <w:rPr>
                <w:rFonts w:ascii="Arial" w:eastAsia="SimSun" w:hAnsi="Arial"/>
                <w:noProof/>
                <w:sz w:val="20"/>
              </w:rPr>
            </w:pPr>
            <w:r w:rsidRPr="00215594">
              <w:rPr>
                <w:noProof/>
                <w:sz w:val="20"/>
              </w:rPr>
              <w:t>(0,62; 1,05)</w:t>
            </w:r>
          </w:p>
        </w:tc>
        <w:tc>
          <w:tcPr>
            <w:tcW w:w="2123" w:type="dxa"/>
            <w:tcBorders>
              <w:top w:val="nil"/>
              <w:bottom w:val="nil"/>
              <w:right w:val="single" w:sz="4" w:space="0" w:color="auto"/>
            </w:tcBorders>
            <w:vAlign w:val="center"/>
          </w:tcPr>
          <w:p w14:paraId="4EBF2B0F" w14:textId="77777777" w:rsidR="00400398" w:rsidRPr="00C82494" w:rsidRDefault="00400398" w:rsidP="001F3EE8">
            <w:pPr>
              <w:keepNext/>
              <w:keepLines/>
              <w:jc w:val="center"/>
              <w:rPr>
                <w:rFonts w:ascii="Arial" w:eastAsia="SimSun" w:hAnsi="Arial"/>
                <w:noProof/>
                <w:sz w:val="20"/>
              </w:rPr>
            </w:pPr>
            <w:r w:rsidRPr="00215594">
              <w:rPr>
                <w:noProof/>
                <w:sz w:val="20"/>
              </w:rPr>
              <w:t>0,66</w:t>
            </w:r>
          </w:p>
          <w:p w14:paraId="16E3B751" w14:textId="77777777" w:rsidR="00400398" w:rsidRPr="00C82494" w:rsidRDefault="00400398" w:rsidP="00425D72">
            <w:pPr>
              <w:pStyle w:val="TableText10"/>
              <w:keepNext/>
              <w:keepLines/>
              <w:spacing w:line="280" w:lineRule="atLeast"/>
              <w:jc w:val="center"/>
              <w:rPr>
                <w:rFonts w:eastAsia="MS Mincho"/>
                <w:noProof/>
              </w:rPr>
            </w:pPr>
            <w:r w:rsidRPr="00215594">
              <w:rPr>
                <w:noProof/>
              </w:rPr>
              <w:t>(0,50; 0,86)</w:t>
            </w:r>
          </w:p>
        </w:tc>
      </w:tr>
      <w:tr w:rsidR="00400398" w:rsidRPr="00215594" w14:paraId="62B79268" w14:textId="77777777" w:rsidTr="00D91337">
        <w:tc>
          <w:tcPr>
            <w:tcW w:w="9207" w:type="dxa"/>
            <w:gridSpan w:val="4"/>
            <w:tcBorders>
              <w:top w:val="single" w:sz="4" w:space="0" w:color="auto"/>
              <w:left w:val="single" w:sz="4" w:space="0" w:color="auto"/>
              <w:bottom w:val="single" w:sz="4" w:space="0" w:color="auto"/>
              <w:right w:val="single" w:sz="4" w:space="0" w:color="auto"/>
            </w:tcBorders>
          </w:tcPr>
          <w:p w14:paraId="45518066" w14:textId="77777777" w:rsidR="00400398" w:rsidRPr="00215594" w:rsidRDefault="00400398" w:rsidP="00425D72">
            <w:pPr>
              <w:keepNext/>
              <w:keepLines/>
              <w:spacing w:line="280" w:lineRule="atLeast"/>
              <w:rPr>
                <w:sz w:val="20"/>
              </w:rPr>
            </w:pPr>
            <w:r w:rsidRPr="00215594">
              <w:rPr>
                <w:sz w:val="20"/>
              </w:rPr>
              <w:t>Doentes aleatorizados de estadio III com citoredução sub-ótima</w:t>
            </w:r>
            <w:r w:rsidRPr="00215594">
              <w:rPr>
                <w:sz w:val="20"/>
                <w:vertAlign w:val="superscript"/>
              </w:rPr>
              <w:t>3</w:t>
            </w:r>
          </w:p>
        </w:tc>
      </w:tr>
      <w:tr w:rsidR="00400398" w:rsidRPr="00215594" w14:paraId="61C0F2EB" w14:textId="77777777" w:rsidTr="00D91337">
        <w:tc>
          <w:tcPr>
            <w:tcW w:w="2840" w:type="dxa"/>
            <w:tcBorders>
              <w:top w:val="nil"/>
              <w:left w:val="single" w:sz="4" w:space="0" w:color="auto"/>
              <w:bottom w:val="nil"/>
            </w:tcBorders>
          </w:tcPr>
          <w:p w14:paraId="37789951" w14:textId="77777777" w:rsidR="00400398" w:rsidRPr="007232E4" w:rsidRDefault="00400398" w:rsidP="001F3EE8">
            <w:pPr>
              <w:pStyle w:val="TableText10"/>
              <w:spacing w:line="280" w:lineRule="atLeast"/>
              <w:jc w:val="center"/>
              <w:rPr>
                <w:rFonts w:eastAsia="MS Mincho"/>
              </w:rPr>
            </w:pPr>
          </w:p>
        </w:tc>
        <w:tc>
          <w:tcPr>
            <w:tcW w:w="2122" w:type="dxa"/>
            <w:tcBorders>
              <w:top w:val="nil"/>
              <w:bottom w:val="nil"/>
            </w:tcBorders>
            <w:vAlign w:val="center"/>
          </w:tcPr>
          <w:p w14:paraId="289E83BB" w14:textId="77777777" w:rsidR="00400398" w:rsidRPr="00C82494" w:rsidRDefault="00400398" w:rsidP="001F3EE8">
            <w:pPr>
              <w:jc w:val="center"/>
              <w:rPr>
                <w:rFonts w:ascii="Arial" w:eastAsia="SimSun" w:hAnsi="Arial"/>
                <w:noProof/>
                <w:sz w:val="20"/>
              </w:rPr>
            </w:pPr>
            <w:r w:rsidRPr="00215594">
              <w:rPr>
                <w:noProof/>
                <w:sz w:val="20"/>
              </w:rPr>
              <w:t xml:space="preserve">CPP </w:t>
            </w:r>
          </w:p>
          <w:p w14:paraId="64306576" w14:textId="77777777" w:rsidR="00400398" w:rsidRPr="00C82494" w:rsidRDefault="00400398" w:rsidP="001F3EE8">
            <w:pPr>
              <w:jc w:val="center"/>
              <w:rPr>
                <w:rFonts w:ascii="Arial" w:eastAsia="SimSun" w:hAnsi="Arial"/>
                <w:noProof/>
                <w:sz w:val="20"/>
              </w:rPr>
            </w:pPr>
            <w:r w:rsidRPr="00215594">
              <w:rPr>
                <w:noProof/>
                <w:sz w:val="20"/>
              </w:rPr>
              <w:t>(n = 253)</w:t>
            </w:r>
          </w:p>
        </w:tc>
        <w:tc>
          <w:tcPr>
            <w:tcW w:w="2122" w:type="dxa"/>
            <w:tcBorders>
              <w:top w:val="nil"/>
              <w:bottom w:val="nil"/>
            </w:tcBorders>
            <w:vAlign w:val="center"/>
          </w:tcPr>
          <w:p w14:paraId="2FB1597A" w14:textId="77777777" w:rsidR="00400398" w:rsidRPr="00C82494" w:rsidRDefault="00400398" w:rsidP="001F3EE8">
            <w:pPr>
              <w:jc w:val="center"/>
              <w:rPr>
                <w:rFonts w:ascii="Arial" w:eastAsia="SimSun" w:hAnsi="Arial"/>
                <w:noProof/>
                <w:sz w:val="20"/>
              </w:rPr>
            </w:pPr>
            <w:r w:rsidRPr="00215594">
              <w:rPr>
                <w:noProof/>
                <w:sz w:val="20"/>
              </w:rPr>
              <w:t xml:space="preserve">CPB15 </w:t>
            </w:r>
          </w:p>
          <w:p w14:paraId="41C26F97" w14:textId="77777777" w:rsidR="00400398" w:rsidRPr="00C82494" w:rsidRDefault="00400398" w:rsidP="001F3EE8">
            <w:pPr>
              <w:jc w:val="center"/>
              <w:rPr>
                <w:rFonts w:ascii="Arial" w:eastAsia="SimSun" w:hAnsi="Arial"/>
                <w:noProof/>
                <w:sz w:val="20"/>
              </w:rPr>
            </w:pPr>
            <w:r w:rsidRPr="00215594">
              <w:rPr>
                <w:noProof/>
                <w:sz w:val="20"/>
              </w:rPr>
              <w:t>(n = 256)</w:t>
            </w:r>
            <w:r w:rsidRPr="00215594">
              <w:rPr>
                <w:noProof/>
                <w:sz w:val="20"/>
                <w:vertAlign w:val="superscript"/>
              </w:rPr>
              <w:t xml:space="preserve"> </w:t>
            </w:r>
          </w:p>
        </w:tc>
        <w:tc>
          <w:tcPr>
            <w:tcW w:w="2123" w:type="dxa"/>
            <w:tcBorders>
              <w:top w:val="nil"/>
              <w:bottom w:val="nil"/>
              <w:right w:val="single" w:sz="4" w:space="0" w:color="auto"/>
            </w:tcBorders>
            <w:vAlign w:val="center"/>
          </w:tcPr>
          <w:p w14:paraId="5B3FDEA0" w14:textId="77777777" w:rsidR="00400398" w:rsidRPr="00C82494" w:rsidRDefault="00400398" w:rsidP="001F3EE8">
            <w:pPr>
              <w:jc w:val="center"/>
              <w:rPr>
                <w:rFonts w:ascii="Arial" w:eastAsia="SimSun" w:hAnsi="Arial"/>
                <w:noProof/>
                <w:sz w:val="20"/>
              </w:rPr>
            </w:pPr>
            <w:r w:rsidRPr="00215594">
              <w:rPr>
                <w:noProof/>
                <w:sz w:val="20"/>
              </w:rPr>
              <w:t xml:space="preserve">CPB15+ </w:t>
            </w:r>
          </w:p>
          <w:p w14:paraId="3C4C9A1C" w14:textId="77777777" w:rsidR="00400398" w:rsidRPr="00C82494" w:rsidRDefault="00400398" w:rsidP="001F3EE8">
            <w:pPr>
              <w:jc w:val="center"/>
              <w:rPr>
                <w:rFonts w:ascii="Arial" w:eastAsia="SimSun" w:hAnsi="Arial"/>
                <w:noProof/>
                <w:sz w:val="20"/>
              </w:rPr>
            </w:pPr>
            <w:r w:rsidRPr="00215594">
              <w:rPr>
                <w:noProof/>
                <w:sz w:val="20"/>
              </w:rPr>
              <w:t>(n = 242)</w:t>
            </w:r>
            <w:r w:rsidRPr="00215594">
              <w:rPr>
                <w:noProof/>
                <w:sz w:val="20"/>
                <w:vertAlign w:val="superscript"/>
              </w:rPr>
              <w:t xml:space="preserve"> </w:t>
            </w:r>
          </w:p>
        </w:tc>
      </w:tr>
      <w:tr w:rsidR="00400398" w:rsidRPr="00215594" w14:paraId="257CA3A1" w14:textId="77777777" w:rsidTr="00D91337">
        <w:tc>
          <w:tcPr>
            <w:tcW w:w="2840" w:type="dxa"/>
            <w:tcBorders>
              <w:top w:val="nil"/>
              <w:left w:val="single" w:sz="4" w:space="0" w:color="auto"/>
              <w:bottom w:val="nil"/>
            </w:tcBorders>
          </w:tcPr>
          <w:p w14:paraId="42341DE7" w14:textId="77777777" w:rsidR="00400398" w:rsidRPr="00C82494" w:rsidRDefault="00400398" w:rsidP="00425D72">
            <w:pPr>
              <w:keepNext/>
              <w:keepLines/>
              <w:rPr>
                <w:rFonts w:ascii="Arial" w:eastAsia="SimSun" w:hAnsi="Arial"/>
                <w:noProof/>
                <w:sz w:val="20"/>
              </w:rPr>
            </w:pPr>
            <w:r w:rsidRPr="00215594">
              <w:rPr>
                <w:noProof/>
                <w:sz w:val="20"/>
              </w:rPr>
              <w:t>PFS mediana (meses)</w:t>
            </w:r>
          </w:p>
        </w:tc>
        <w:tc>
          <w:tcPr>
            <w:tcW w:w="2122" w:type="dxa"/>
            <w:tcBorders>
              <w:top w:val="nil"/>
              <w:bottom w:val="nil"/>
            </w:tcBorders>
            <w:vAlign w:val="center"/>
          </w:tcPr>
          <w:p w14:paraId="646BFC69" w14:textId="77777777" w:rsidR="00400398" w:rsidRPr="00C82494" w:rsidRDefault="00400398" w:rsidP="00425D72">
            <w:pPr>
              <w:keepNext/>
              <w:keepLines/>
              <w:jc w:val="center"/>
              <w:rPr>
                <w:rFonts w:ascii="Arial" w:eastAsia="SimSun" w:hAnsi="Arial"/>
                <w:noProof/>
                <w:sz w:val="20"/>
              </w:rPr>
            </w:pPr>
            <w:r w:rsidRPr="00215594">
              <w:rPr>
                <w:noProof/>
                <w:sz w:val="20"/>
              </w:rPr>
              <w:t>10,1</w:t>
            </w:r>
          </w:p>
        </w:tc>
        <w:tc>
          <w:tcPr>
            <w:tcW w:w="2122" w:type="dxa"/>
            <w:tcBorders>
              <w:top w:val="nil"/>
              <w:bottom w:val="nil"/>
            </w:tcBorders>
            <w:vAlign w:val="center"/>
          </w:tcPr>
          <w:p w14:paraId="1DBF2BA7" w14:textId="77777777" w:rsidR="00400398" w:rsidRPr="00C82494" w:rsidRDefault="00400398" w:rsidP="00425D72">
            <w:pPr>
              <w:keepNext/>
              <w:keepLines/>
              <w:jc w:val="center"/>
              <w:rPr>
                <w:rFonts w:ascii="Arial" w:eastAsia="SimSun" w:hAnsi="Arial"/>
                <w:noProof/>
                <w:sz w:val="20"/>
              </w:rPr>
            </w:pPr>
            <w:r w:rsidRPr="00215594">
              <w:rPr>
                <w:noProof/>
                <w:sz w:val="20"/>
              </w:rPr>
              <w:t>10,9</w:t>
            </w:r>
          </w:p>
        </w:tc>
        <w:tc>
          <w:tcPr>
            <w:tcW w:w="2123" w:type="dxa"/>
            <w:tcBorders>
              <w:top w:val="nil"/>
              <w:bottom w:val="nil"/>
              <w:right w:val="single" w:sz="4" w:space="0" w:color="auto"/>
            </w:tcBorders>
            <w:vAlign w:val="center"/>
          </w:tcPr>
          <w:p w14:paraId="49FA6189" w14:textId="77777777" w:rsidR="00400398" w:rsidRPr="00C82494" w:rsidRDefault="00400398" w:rsidP="00B47EC5">
            <w:pPr>
              <w:pStyle w:val="TableText10"/>
              <w:keepNext/>
              <w:keepLines/>
              <w:spacing w:line="280" w:lineRule="atLeast"/>
              <w:jc w:val="center"/>
              <w:rPr>
                <w:rFonts w:eastAsia="MS Mincho"/>
                <w:noProof/>
              </w:rPr>
            </w:pPr>
            <w:r w:rsidRPr="00215594">
              <w:rPr>
                <w:noProof/>
              </w:rPr>
              <w:t>13,9</w:t>
            </w:r>
          </w:p>
        </w:tc>
      </w:tr>
      <w:tr w:rsidR="00400398" w:rsidRPr="00215594" w14:paraId="0FCA48FE" w14:textId="77777777" w:rsidTr="00D91337">
        <w:tc>
          <w:tcPr>
            <w:tcW w:w="2840" w:type="dxa"/>
            <w:tcBorders>
              <w:top w:val="nil"/>
              <w:left w:val="single" w:sz="4" w:space="0" w:color="auto"/>
              <w:bottom w:val="nil"/>
            </w:tcBorders>
          </w:tcPr>
          <w:p w14:paraId="399E2FAE" w14:textId="77777777" w:rsidR="00400398" w:rsidRPr="00215594" w:rsidRDefault="00400398" w:rsidP="00CE4668">
            <w:pPr>
              <w:keepNext/>
              <w:keepLines/>
              <w:widowControl w:val="0"/>
              <w:rPr>
                <w:sz w:val="20"/>
              </w:rPr>
            </w:pPr>
            <w:r w:rsidRPr="00215594">
              <w:rPr>
                <w:i/>
                <w:sz w:val="20"/>
              </w:rPr>
              <w:t>Hazard ratio</w:t>
            </w:r>
            <w:r w:rsidRPr="00215594">
              <w:rPr>
                <w:sz w:val="20"/>
              </w:rPr>
              <w:t xml:space="preserve"> (taxa de risco) </w:t>
            </w:r>
          </w:p>
          <w:p w14:paraId="0497F809" w14:textId="77777777" w:rsidR="00400398" w:rsidRPr="00215594" w:rsidRDefault="00400398" w:rsidP="00CE4668">
            <w:pPr>
              <w:keepNext/>
              <w:keepLines/>
              <w:widowControl w:val="0"/>
              <w:rPr>
                <w:sz w:val="20"/>
              </w:rPr>
            </w:pPr>
            <w:r w:rsidRPr="00215594">
              <w:rPr>
                <w:sz w:val="20"/>
              </w:rPr>
              <w:t>(IC 95%)</w:t>
            </w:r>
            <w:r w:rsidRPr="00215594">
              <w:rPr>
                <w:sz w:val="20"/>
                <w:vertAlign w:val="superscript"/>
              </w:rPr>
              <w:t>4</w:t>
            </w:r>
          </w:p>
        </w:tc>
        <w:tc>
          <w:tcPr>
            <w:tcW w:w="2122" w:type="dxa"/>
            <w:tcBorders>
              <w:top w:val="nil"/>
              <w:bottom w:val="nil"/>
            </w:tcBorders>
            <w:vAlign w:val="center"/>
          </w:tcPr>
          <w:p w14:paraId="5513323B" w14:textId="77777777" w:rsidR="00400398" w:rsidRPr="007232E4" w:rsidRDefault="00400398" w:rsidP="001F3EE8">
            <w:pPr>
              <w:keepNext/>
              <w:keepLines/>
              <w:jc w:val="center"/>
              <w:rPr>
                <w:rFonts w:ascii="Arial" w:eastAsia="SimSun" w:hAnsi="Arial"/>
                <w:sz w:val="20"/>
                <w:szCs w:val="24"/>
                <w:lang w:eastAsia="zh-CN"/>
              </w:rPr>
            </w:pPr>
          </w:p>
        </w:tc>
        <w:tc>
          <w:tcPr>
            <w:tcW w:w="2122" w:type="dxa"/>
            <w:tcBorders>
              <w:top w:val="nil"/>
              <w:bottom w:val="nil"/>
            </w:tcBorders>
            <w:vAlign w:val="center"/>
          </w:tcPr>
          <w:p w14:paraId="5C7AEDC7" w14:textId="77777777" w:rsidR="00400398" w:rsidRPr="00C82494" w:rsidRDefault="00400398" w:rsidP="001F3EE8">
            <w:pPr>
              <w:keepNext/>
              <w:keepLines/>
              <w:jc w:val="center"/>
              <w:rPr>
                <w:rFonts w:ascii="Arial" w:eastAsia="SimSun" w:hAnsi="Arial"/>
                <w:noProof/>
                <w:sz w:val="20"/>
              </w:rPr>
            </w:pPr>
            <w:r w:rsidRPr="00215594">
              <w:rPr>
                <w:noProof/>
                <w:sz w:val="20"/>
              </w:rPr>
              <w:t>0,93</w:t>
            </w:r>
          </w:p>
          <w:p w14:paraId="7300DE28" w14:textId="77777777" w:rsidR="00400398" w:rsidRPr="00C82494" w:rsidRDefault="00400398" w:rsidP="00425D72">
            <w:pPr>
              <w:keepNext/>
              <w:keepLines/>
              <w:jc w:val="center"/>
              <w:rPr>
                <w:rFonts w:ascii="Arial" w:eastAsia="SimSun" w:hAnsi="Arial"/>
                <w:noProof/>
                <w:sz w:val="20"/>
              </w:rPr>
            </w:pPr>
            <w:r w:rsidRPr="00215594">
              <w:rPr>
                <w:noProof/>
                <w:sz w:val="20"/>
              </w:rPr>
              <w:t>(0,77; 1,14)</w:t>
            </w:r>
          </w:p>
        </w:tc>
        <w:tc>
          <w:tcPr>
            <w:tcW w:w="2123" w:type="dxa"/>
            <w:tcBorders>
              <w:top w:val="nil"/>
              <w:bottom w:val="nil"/>
              <w:right w:val="single" w:sz="4" w:space="0" w:color="auto"/>
            </w:tcBorders>
            <w:vAlign w:val="center"/>
          </w:tcPr>
          <w:p w14:paraId="03578FD5" w14:textId="77777777" w:rsidR="00400398" w:rsidRPr="00C82494" w:rsidRDefault="00400398" w:rsidP="001F3EE8">
            <w:pPr>
              <w:keepNext/>
              <w:keepLines/>
              <w:jc w:val="center"/>
              <w:rPr>
                <w:rFonts w:ascii="Arial" w:eastAsia="SimSun" w:hAnsi="Arial"/>
                <w:noProof/>
                <w:sz w:val="20"/>
              </w:rPr>
            </w:pPr>
            <w:r w:rsidRPr="00215594">
              <w:rPr>
                <w:noProof/>
                <w:sz w:val="20"/>
              </w:rPr>
              <w:t>0,78</w:t>
            </w:r>
          </w:p>
          <w:p w14:paraId="5135960D" w14:textId="77777777" w:rsidR="00400398" w:rsidRPr="00C82494" w:rsidRDefault="00400398" w:rsidP="00425D72">
            <w:pPr>
              <w:pStyle w:val="TableText10"/>
              <w:keepNext/>
              <w:keepLines/>
              <w:spacing w:line="280" w:lineRule="atLeast"/>
              <w:jc w:val="center"/>
              <w:rPr>
                <w:rFonts w:eastAsia="MS Mincho"/>
                <w:noProof/>
              </w:rPr>
            </w:pPr>
            <w:r w:rsidRPr="00215594">
              <w:rPr>
                <w:noProof/>
              </w:rPr>
              <w:t>(0,63; 0,96)</w:t>
            </w:r>
          </w:p>
        </w:tc>
      </w:tr>
      <w:tr w:rsidR="00400398" w:rsidRPr="00215594" w14:paraId="7A5EB83B" w14:textId="77777777" w:rsidTr="00D91337">
        <w:tc>
          <w:tcPr>
            <w:tcW w:w="9207" w:type="dxa"/>
            <w:gridSpan w:val="4"/>
            <w:tcBorders>
              <w:top w:val="single" w:sz="4" w:space="0" w:color="auto"/>
              <w:left w:val="single" w:sz="4" w:space="0" w:color="auto"/>
              <w:bottom w:val="single" w:sz="4" w:space="0" w:color="auto"/>
              <w:right w:val="single" w:sz="4" w:space="0" w:color="auto"/>
            </w:tcBorders>
          </w:tcPr>
          <w:p w14:paraId="5E5EEAB3" w14:textId="77777777" w:rsidR="00400398" w:rsidRPr="00215594" w:rsidRDefault="00400398" w:rsidP="00425D72">
            <w:pPr>
              <w:pStyle w:val="TableText10"/>
              <w:keepNext/>
              <w:keepLines/>
              <w:spacing w:line="280" w:lineRule="atLeast"/>
              <w:rPr>
                <w:bCs/>
              </w:rPr>
            </w:pPr>
            <w:r w:rsidRPr="00215594">
              <w:rPr>
                <w:bCs/>
              </w:rPr>
              <w:t>Doentes aleatorizados de estadio IV</w:t>
            </w:r>
          </w:p>
        </w:tc>
      </w:tr>
      <w:tr w:rsidR="00400398" w:rsidRPr="00215594" w14:paraId="45939BC7" w14:textId="77777777" w:rsidTr="00D91337">
        <w:tc>
          <w:tcPr>
            <w:tcW w:w="2840" w:type="dxa"/>
            <w:tcBorders>
              <w:top w:val="nil"/>
              <w:left w:val="single" w:sz="4" w:space="0" w:color="auto"/>
              <w:bottom w:val="nil"/>
            </w:tcBorders>
          </w:tcPr>
          <w:p w14:paraId="1ECE9C28" w14:textId="77777777" w:rsidR="00400398" w:rsidRPr="007232E4" w:rsidRDefault="00400398" w:rsidP="001F3EE8">
            <w:pPr>
              <w:pStyle w:val="TableText10"/>
              <w:spacing w:line="280" w:lineRule="atLeast"/>
              <w:jc w:val="center"/>
              <w:rPr>
                <w:rFonts w:eastAsia="MS Mincho"/>
              </w:rPr>
            </w:pPr>
          </w:p>
        </w:tc>
        <w:tc>
          <w:tcPr>
            <w:tcW w:w="2122" w:type="dxa"/>
            <w:tcBorders>
              <w:top w:val="nil"/>
              <w:bottom w:val="nil"/>
            </w:tcBorders>
            <w:vAlign w:val="center"/>
          </w:tcPr>
          <w:p w14:paraId="77497395" w14:textId="77777777" w:rsidR="00400398" w:rsidRPr="00C82494" w:rsidRDefault="00400398" w:rsidP="001F3EE8">
            <w:pPr>
              <w:jc w:val="center"/>
              <w:rPr>
                <w:rFonts w:ascii="Arial" w:eastAsia="SimSun" w:hAnsi="Arial"/>
                <w:noProof/>
                <w:sz w:val="20"/>
              </w:rPr>
            </w:pPr>
            <w:r w:rsidRPr="00215594">
              <w:rPr>
                <w:noProof/>
                <w:sz w:val="20"/>
              </w:rPr>
              <w:t>CPP</w:t>
            </w:r>
            <w:r w:rsidRPr="00215594">
              <w:rPr>
                <w:noProof/>
                <w:sz w:val="20"/>
              </w:rPr>
              <w:br/>
              <w:t>(n = 153)</w:t>
            </w:r>
          </w:p>
        </w:tc>
        <w:tc>
          <w:tcPr>
            <w:tcW w:w="2122" w:type="dxa"/>
            <w:tcBorders>
              <w:top w:val="nil"/>
              <w:bottom w:val="nil"/>
            </w:tcBorders>
            <w:vAlign w:val="center"/>
          </w:tcPr>
          <w:p w14:paraId="57E41F27" w14:textId="77777777" w:rsidR="00400398" w:rsidRPr="00C82494" w:rsidRDefault="00400398" w:rsidP="001F3EE8">
            <w:pPr>
              <w:jc w:val="center"/>
              <w:rPr>
                <w:rFonts w:ascii="Arial" w:eastAsia="SimSun" w:hAnsi="Arial"/>
                <w:noProof/>
                <w:sz w:val="20"/>
              </w:rPr>
            </w:pPr>
            <w:r w:rsidRPr="00215594">
              <w:rPr>
                <w:noProof/>
                <w:sz w:val="20"/>
              </w:rPr>
              <w:t>CPB15</w:t>
            </w:r>
            <w:r w:rsidRPr="00215594">
              <w:rPr>
                <w:noProof/>
                <w:sz w:val="20"/>
              </w:rPr>
              <w:br/>
              <w:t>(n = 165)</w:t>
            </w:r>
          </w:p>
        </w:tc>
        <w:tc>
          <w:tcPr>
            <w:tcW w:w="2123" w:type="dxa"/>
            <w:tcBorders>
              <w:top w:val="nil"/>
              <w:bottom w:val="nil"/>
              <w:right w:val="single" w:sz="4" w:space="0" w:color="auto"/>
            </w:tcBorders>
            <w:vAlign w:val="center"/>
          </w:tcPr>
          <w:p w14:paraId="658BF71A" w14:textId="77777777" w:rsidR="00400398" w:rsidRPr="00C82494" w:rsidRDefault="00400398" w:rsidP="001F3EE8">
            <w:pPr>
              <w:pStyle w:val="TableText10"/>
              <w:spacing w:line="280" w:lineRule="atLeast"/>
              <w:jc w:val="center"/>
              <w:rPr>
                <w:rFonts w:eastAsia="MS Mincho"/>
                <w:noProof/>
              </w:rPr>
            </w:pPr>
            <w:r w:rsidRPr="00215594">
              <w:rPr>
                <w:noProof/>
              </w:rPr>
              <w:t>CPB15+</w:t>
            </w:r>
            <w:r w:rsidRPr="00215594">
              <w:rPr>
                <w:noProof/>
              </w:rPr>
              <w:br/>
              <w:t>(n = 165)</w:t>
            </w:r>
          </w:p>
        </w:tc>
      </w:tr>
      <w:tr w:rsidR="00400398" w:rsidRPr="00215594" w14:paraId="25DE99C5" w14:textId="77777777" w:rsidTr="00D91337">
        <w:tc>
          <w:tcPr>
            <w:tcW w:w="2840" w:type="dxa"/>
            <w:tcBorders>
              <w:top w:val="nil"/>
              <w:left w:val="single" w:sz="4" w:space="0" w:color="auto"/>
              <w:bottom w:val="nil"/>
            </w:tcBorders>
          </w:tcPr>
          <w:p w14:paraId="4ACBFA62" w14:textId="77777777" w:rsidR="00400398" w:rsidRPr="00215594" w:rsidRDefault="00400398" w:rsidP="00425D72">
            <w:pPr>
              <w:rPr>
                <w:noProof/>
                <w:sz w:val="20"/>
              </w:rPr>
            </w:pPr>
            <w:r w:rsidRPr="00215594">
              <w:rPr>
                <w:noProof/>
                <w:sz w:val="20"/>
              </w:rPr>
              <w:t>PFS mediana (meses)</w:t>
            </w:r>
          </w:p>
        </w:tc>
        <w:tc>
          <w:tcPr>
            <w:tcW w:w="2122" w:type="dxa"/>
            <w:tcBorders>
              <w:top w:val="nil"/>
              <w:bottom w:val="nil"/>
            </w:tcBorders>
            <w:vAlign w:val="center"/>
          </w:tcPr>
          <w:p w14:paraId="0E515A52" w14:textId="77777777" w:rsidR="00400398" w:rsidRPr="00215594" w:rsidRDefault="00400398" w:rsidP="00425D72">
            <w:pPr>
              <w:jc w:val="center"/>
              <w:rPr>
                <w:noProof/>
                <w:sz w:val="20"/>
              </w:rPr>
            </w:pPr>
            <w:r w:rsidRPr="00215594">
              <w:rPr>
                <w:noProof/>
                <w:sz w:val="20"/>
              </w:rPr>
              <w:t>9,5</w:t>
            </w:r>
          </w:p>
        </w:tc>
        <w:tc>
          <w:tcPr>
            <w:tcW w:w="2122" w:type="dxa"/>
            <w:tcBorders>
              <w:top w:val="nil"/>
              <w:bottom w:val="nil"/>
            </w:tcBorders>
            <w:vAlign w:val="center"/>
          </w:tcPr>
          <w:p w14:paraId="6202B1A9" w14:textId="77777777" w:rsidR="00400398" w:rsidRPr="00215594" w:rsidRDefault="00400398" w:rsidP="00425D72">
            <w:pPr>
              <w:jc w:val="center"/>
              <w:rPr>
                <w:noProof/>
                <w:sz w:val="20"/>
              </w:rPr>
            </w:pPr>
            <w:r w:rsidRPr="00215594">
              <w:rPr>
                <w:noProof/>
                <w:sz w:val="20"/>
              </w:rPr>
              <w:t>10,4</w:t>
            </w:r>
          </w:p>
        </w:tc>
        <w:tc>
          <w:tcPr>
            <w:tcW w:w="2123" w:type="dxa"/>
            <w:tcBorders>
              <w:top w:val="nil"/>
              <w:bottom w:val="nil"/>
              <w:right w:val="single" w:sz="4" w:space="0" w:color="auto"/>
            </w:tcBorders>
            <w:vAlign w:val="center"/>
          </w:tcPr>
          <w:p w14:paraId="1C66913D" w14:textId="77777777" w:rsidR="00400398" w:rsidRPr="00215594" w:rsidRDefault="00400398" w:rsidP="00EE4D25">
            <w:pPr>
              <w:jc w:val="center"/>
              <w:rPr>
                <w:noProof/>
                <w:sz w:val="20"/>
              </w:rPr>
            </w:pPr>
            <w:r w:rsidRPr="00215594">
              <w:rPr>
                <w:noProof/>
                <w:sz w:val="20"/>
              </w:rPr>
              <w:t>12,8</w:t>
            </w:r>
          </w:p>
        </w:tc>
      </w:tr>
      <w:tr w:rsidR="00400398" w:rsidRPr="00215594" w14:paraId="427C787F" w14:textId="77777777" w:rsidTr="00D91337">
        <w:tc>
          <w:tcPr>
            <w:tcW w:w="2840" w:type="dxa"/>
            <w:tcBorders>
              <w:top w:val="nil"/>
              <w:left w:val="single" w:sz="4" w:space="0" w:color="auto"/>
              <w:bottom w:val="single" w:sz="4" w:space="0" w:color="auto"/>
            </w:tcBorders>
          </w:tcPr>
          <w:p w14:paraId="67BDCE6A" w14:textId="77777777" w:rsidR="00400398" w:rsidRPr="007232E4" w:rsidRDefault="00400398" w:rsidP="00CE4668">
            <w:pPr>
              <w:rPr>
                <w:rFonts w:ascii="Arial" w:eastAsia="SimSun" w:hAnsi="Arial"/>
                <w:sz w:val="20"/>
                <w:szCs w:val="24"/>
                <w:lang w:eastAsia="zh-CN"/>
              </w:rPr>
            </w:pPr>
            <w:r w:rsidRPr="00215594">
              <w:rPr>
                <w:i/>
                <w:sz w:val="20"/>
              </w:rPr>
              <w:t>Hazard ratio</w:t>
            </w:r>
            <w:r w:rsidRPr="00215594">
              <w:rPr>
                <w:sz w:val="20"/>
              </w:rPr>
              <w:t xml:space="preserve"> (taxa de risco) (IC 95%)</w:t>
            </w:r>
            <w:r w:rsidRPr="00215594">
              <w:rPr>
                <w:sz w:val="20"/>
                <w:vertAlign w:val="superscript"/>
              </w:rPr>
              <w:t>4</w:t>
            </w:r>
          </w:p>
        </w:tc>
        <w:tc>
          <w:tcPr>
            <w:tcW w:w="2122" w:type="dxa"/>
            <w:tcBorders>
              <w:top w:val="nil"/>
              <w:bottom w:val="single" w:sz="4" w:space="0" w:color="auto"/>
            </w:tcBorders>
            <w:vAlign w:val="center"/>
          </w:tcPr>
          <w:p w14:paraId="77A4AD05" w14:textId="77777777" w:rsidR="00400398" w:rsidRPr="007232E4" w:rsidRDefault="00400398" w:rsidP="001F3EE8">
            <w:pPr>
              <w:jc w:val="center"/>
              <w:rPr>
                <w:rFonts w:ascii="Arial" w:eastAsia="SimSun" w:hAnsi="Arial"/>
                <w:sz w:val="20"/>
                <w:szCs w:val="24"/>
                <w:lang w:eastAsia="zh-CN"/>
              </w:rPr>
            </w:pPr>
          </w:p>
        </w:tc>
        <w:tc>
          <w:tcPr>
            <w:tcW w:w="2122" w:type="dxa"/>
            <w:tcBorders>
              <w:top w:val="nil"/>
              <w:bottom w:val="single" w:sz="4" w:space="0" w:color="auto"/>
            </w:tcBorders>
            <w:vAlign w:val="center"/>
          </w:tcPr>
          <w:p w14:paraId="038E83F8" w14:textId="77777777" w:rsidR="00400398" w:rsidRPr="00C82494" w:rsidRDefault="00400398" w:rsidP="001F3EE8">
            <w:pPr>
              <w:jc w:val="center"/>
              <w:rPr>
                <w:rFonts w:ascii="Arial" w:eastAsia="SimSun" w:hAnsi="Arial"/>
                <w:noProof/>
                <w:sz w:val="20"/>
              </w:rPr>
            </w:pPr>
            <w:r w:rsidRPr="00215594">
              <w:rPr>
                <w:noProof/>
                <w:sz w:val="20"/>
              </w:rPr>
              <w:t xml:space="preserve">0,90 </w:t>
            </w:r>
          </w:p>
          <w:p w14:paraId="0D696AFB" w14:textId="77777777" w:rsidR="00400398" w:rsidRPr="00C82494" w:rsidRDefault="00400398" w:rsidP="00425D72">
            <w:pPr>
              <w:jc w:val="center"/>
              <w:rPr>
                <w:rFonts w:ascii="Arial" w:eastAsia="SimSun" w:hAnsi="Arial"/>
                <w:noProof/>
                <w:sz w:val="20"/>
              </w:rPr>
            </w:pPr>
            <w:r w:rsidRPr="00215594">
              <w:rPr>
                <w:noProof/>
                <w:sz w:val="20"/>
              </w:rPr>
              <w:t>(0,70; 1,16)</w:t>
            </w:r>
          </w:p>
        </w:tc>
        <w:tc>
          <w:tcPr>
            <w:tcW w:w="2123" w:type="dxa"/>
            <w:tcBorders>
              <w:top w:val="nil"/>
              <w:bottom w:val="single" w:sz="4" w:space="0" w:color="auto"/>
              <w:right w:val="single" w:sz="4" w:space="0" w:color="auto"/>
            </w:tcBorders>
            <w:vAlign w:val="center"/>
          </w:tcPr>
          <w:p w14:paraId="2039E744" w14:textId="77777777" w:rsidR="00400398" w:rsidRPr="00C82494" w:rsidRDefault="00400398" w:rsidP="001F3EE8">
            <w:pPr>
              <w:jc w:val="center"/>
              <w:rPr>
                <w:rFonts w:ascii="Arial" w:eastAsia="SimSun" w:hAnsi="Arial"/>
                <w:noProof/>
                <w:sz w:val="20"/>
              </w:rPr>
            </w:pPr>
            <w:r w:rsidRPr="00215594">
              <w:rPr>
                <w:noProof/>
                <w:sz w:val="20"/>
              </w:rPr>
              <w:t xml:space="preserve">0,64 </w:t>
            </w:r>
          </w:p>
          <w:p w14:paraId="6869EB80" w14:textId="77777777" w:rsidR="00400398" w:rsidRPr="00C82494" w:rsidRDefault="00400398" w:rsidP="00425D72">
            <w:pPr>
              <w:jc w:val="center"/>
              <w:rPr>
                <w:rFonts w:ascii="Arial" w:eastAsia="SimSun" w:hAnsi="Arial"/>
                <w:noProof/>
                <w:sz w:val="20"/>
              </w:rPr>
            </w:pPr>
            <w:r w:rsidRPr="00215594">
              <w:rPr>
                <w:noProof/>
                <w:sz w:val="20"/>
              </w:rPr>
              <w:t>(0,49; 0,82)</w:t>
            </w:r>
          </w:p>
        </w:tc>
      </w:tr>
    </w:tbl>
    <w:p w14:paraId="3C2788AA" w14:textId="77777777" w:rsidR="00400398" w:rsidRPr="007232E4" w:rsidRDefault="00400398" w:rsidP="00481C46">
      <w:pPr>
        <w:ind w:left="142" w:hanging="142"/>
        <w:rPr>
          <w:sz w:val="20"/>
        </w:rPr>
      </w:pPr>
      <w:r w:rsidRPr="007232E4">
        <w:rPr>
          <w:sz w:val="20"/>
          <w:vertAlign w:val="superscript"/>
        </w:rPr>
        <w:t>1</w:t>
      </w:r>
      <w:r w:rsidRPr="007232E4">
        <w:rPr>
          <w:sz w:val="20"/>
        </w:rPr>
        <w:t xml:space="preserve"> Análise PFS GOG protocolo-específica avaliada pelo investigador (não censurada para progressões CA-125 ou terapia não-protocolo (NPT) anterior a progressão da doença) com</w:t>
      </w:r>
      <w:r>
        <w:rPr>
          <w:sz w:val="20"/>
        </w:rPr>
        <w:t xml:space="preserve"> data</w:t>
      </w:r>
      <w:r w:rsidRPr="007232E4">
        <w:rPr>
          <w:sz w:val="20"/>
        </w:rPr>
        <w:t xml:space="preserve"> </w:t>
      </w:r>
      <w:r w:rsidRPr="007232E4">
        <w:rPr>
          <w:i/>
          <w:sz w:val="20"/>
        </w:rPr>
        <w:t xml:space="preserve">cut-off </w:t>
      </w:r>
      <w:r w:rsidRPr="007232E4">
        <w:rPr>
          <w:sz w:val="20"/>
        </w:rPr>
        <w:t>de dados a 25 fevereiro 2010.</w:t>
      </w:r>
    </w:p>
    <w:p w14:paraId="53B2A425" w14:textId="77777777" w:rsidR="00400398" w:rsidRPr="007232E4" w:rsidRDefault="00400398" w:rsidP="000E634D">
      <w:pPr>
        <w:rPr>
          <w:sz w:val="20"/>
        </w:rPr>
      </w:pPr>
      <w:r w:rsidRPr="007232E4">
        <w:rPr>
          <w:sz w:val="20"/>
          <w:vertAlign w:val="superscript"/>
        </w:rPr>
        <w:t xml:space="preserve">2 </w:t>
      </w:r>
      <w:r w:rsidRPr="007232E4">
        <w:rPr>
          <w:sz w:val="20"/>
        </w:rPr>
        <w:t>Com doença residual vísivel.</w:t>
      </w:r>
    </w:p>
    <w:p w14:paraId="074FF6BD" w14:textId="77777777" w:rsidR="00400398" w:rsidRPr="007232E4" w:rsidRDefault="00400398" w:rsidP="000E634D">
      <w:pPr>
        <w:rPr>
          <w:sz w:val="20"/>
        </w:rPr>
      </w:pPr>
      <w:r w:rsidRPr="007232E4">
        <w:rPr>
          <w:sz w:val="20"/>
          <w:vertAlign w:val="superscript"/>
        </w:rPr>
        <w:t>3 </w:t>
      </w:r>
      <w:r w:rsidRPr="007232E4">
        <w:rPr>
          <w:sz w:val="20"/>
        </w:rPr>
        <w:t>3,7% da população global dos doentes aleatorizados tinha doença de estadio IIIB.</w:t>
      </w:r>
    </w:p>
    <w:p w14:paraId="21B9553A" w14:textId="77777777" w:rsidR="00400398" w:rsidRPr="007232E4" w:rsidRDefault="00400398" w:rsidP="000E634D">
      <w:pPr>
        <w:rPr>
          <w:i/>
          <w:iCs/>
          <w:sz w:val="20"/>
        </w:rPr>
      </w:pPr>
      <w:r w:rsidRPr="007232E4">
        <w:rPr>
          <w:sz w:val="20"/>
          <w:vertAlign w:val="superscript"/>
        </w:rPr>
        <w:t>4</w:t>
      </w:r>
      <w:r w:rsidR="00481C46">
        <w:rPr>
          <w:sz w:val="20"/>
          <w:vertAlign w:val="superscript"/>
        </w:rPr>
        <w:t xml:space="preserve"> </w:t>
      </w:r>
      <w:r w:rsidRPr="007232E4">
        <w:rPr>
          <w:sz w:val="20"/>
        </w:rPr>
        <w:t>Em relação ao braço controlo.</w:t>
      </w:r>
    </w:p>
    <w:p w14:paraId="5E075E1F" w14:textId="77777777" w:rsidR="00400398" w:rsidRPr="007232E4" w:rsidRDefault="00400398" w:rsidP="00380346">
      <w:pPr>
        <w:autoSpaceDE w:val="0"/>
        <w:autoSpaceDN w:val="0"/>
        <w:adjustRightInd w:val="0"/>
        <w:rPr>
          <w:i/>
          <w:iCs/>
          <w:szCs w:val="22"/>
        </w:rPr>
      </w:pPr>
    </w:p>
    <w:p w14:paraId="5BB2B31C" w14:textId="77777777" w:rsidR="00400398" w:rsidRPr="007232E4" w:rsidRDefault="00400398" w:rsidP="00380346">
      <w:pPr>
        <w:autoSpaceDE w:val="0"/>
        <w:autoSpaceDN w:val="0"/>
        <w:adjustRightInd w:val="0"/>
        <w:rPr>
          <w:i/>
          <w:iCs/>
          <w:szCs w:val="22"/>
        </w:rPr>
      </w:pPr>
      <w:r w:rsidRPr="007232E4">
        <w:rPr>
          <w:i/>
          <w:iCs/>
          <w:szCs w:val="22"/>
        </w:rPr>
        <w:t>BO17707 (ICON7)</w:t>
      </w:r>
    </w:p>
    <w:p w14:paraId="718E2FEE" w14:textId="77777777" w:rsidR="00400398" w:rsidRPr="007232E4" w:rsidRDefault="00400398" w:rsidP="00380346">
      <w:pPr>
        <w:autoSpaceDE w:val="0"/>
        <w:autoSpaceDN w:val="0"/>
        <w:adjustRightInd w:val="0"/>
        <w:rPr>
          <w:iCs/>
          <w:szCs w:val="22"/>
        </w:rPr>
      </w:pPr>
      <w:r w:rsidRPr="007232E4">
        <w:rPr>
          <w:szCs w:val="22"/>
        </w:rPr>
        <w:t xml:space="preserve">BO17707 foi um estudo de fase III, com dois braços, multicêntrico, aleatorizado, controlado, aberto, para comparação dos efeitos da adição de </w:t>
      </w:r>
      <w:r w:rsidR="00CD4102">
        <w:rPr>
          <w:szCs w:val="22"/>
        </w:rPr>
        <w:t>bevacizumab</w:t>
      </w:r>
      <w:r w:rsidR="00CD4102" w:rsidRPr="007232E4">
        <w:rPr>
          <w:szCs w:val="22"/>
        </w:rPr>
        <w:t xml:space="preserve"> </w:t>
      </w:r>
      <w:r w:rsidRPr="007232E4">
        <w:rPr>
          <w:szCs w:val="22"/>
        </w:rPr>
        <w:t xml:space="preserve">a carboplatina e paclitaxel em doentes com cancro epitelial do ovário, da trompa de falópio ou peritoneal primário após cirurgia de estadio FIGO I ou IIA (Grau 3 ou histologia de células claras apenas; n=142), ou estadio FIGO IIB – IV (todos os Graus e todos os tipos histológicos; n = 1386) </w:t>
      </w:r>
      <w:r w:rsidRPr="007232E4">
        <w:t>(NCI-CTCAE v.3).</w:t>
      </w:r>
      <w:r w:rsidR="008D4766">
        <w:t xml:space="preserve"> Neste ensaio foi utilizada a versão d</w:t>
      </w:r>
      <w:r w:rsidR="002166F9">
        <w:t>e</w:t>
      </w:r>
      <w:r w:rsidR="008D4766">
        <w:t xml:space="preserve"> estadiamento FIGO datada de 1988.</w:t>
      </w:r>
    </w:p>
    <w:p w14:paraId="76D1B9D7" w14:textId="77777777" w:rsidR="00481C46" w:rsidRDefault="00481C46" w:rsidP="00425D72">
      <w:pPr>
        <w:rPr>
          <w:szCs w:val="22"/>
        </w:rPr>
      </w:pPr>
    </w:p>
    <w:p w14:paraId="66D35B06" w14:textId="77777777" w:rsidR="00400398" w:rsidRPr="007232E4" w:rsidRDefault="00400398" w:rsidP="00425D72">
      <w:pPr>
        <w:rPr>
          <w:szCs w:val="22"/>
        </w:rPr>
      </w:pPr>
      <w:r w:rsidRPr="007232E4">
        <w:rPr>
          <w:szCs w:val="22"/>
        </w:rPr>
        <w:t>Foram excluídos do estudo os doentes que receberam terapêutica prévia com bevacizumab, tratamento sistémico antineoplásico prévio para o cancro do ovário (ex: quimioterapia, terapêutica com anticorpos monoclonais, inibidores da tirosina cinase ou terapêutica hormonal) ou que foram previamente sujeitos a radioterapia no abdomén ou pélvis.</w:t>
      </w:r>
    </w:p>
    <w:p w14:paraId="5557E100" w14:textId="77777777" w:rsidR="00400398" w:rsidRPr="007232E4" w:rsidRDefault="00400398" w:rsidP="00380346">
      <w:pPr>
        <w:autoSpaceDE w:val="0"/>
        <w:autoSpaceDN w:val="0"/>
        <w:adjustRightInd w:val="0"/>
        <w:rPr>
          <w:szCs w:val="22"/>
        </w:rPr>
      </w:pPr>
    </w:p>
    <w:p w14:paraId="275FA574" w14:textId="77777777" w:rsidR="00400398" w:rsidRPr="007232E4" w:rsidRDefault="00400398" w:rsidP="00380346">
      <w:pPr>
        <w:autoSpaceDE w:val="0"/>
        <w:autoSpaceDN w:val="0"/>
        <w:adjustRightInd w:val="0"/>
        <w:rPr>
          <w:szCs w:val="22"/>
        </w:rPr>
      </w:pPr>
      <w:r w:rsidRPr="007232E4">
        <w:rPr>
          <w:szCs w:val="22"/>
        </w:rPr>
        <w:t>Um total de 1528 doentes foi aleatorizado em proporções iguais para os seguintes dois braços:</w:t>
      </w:r>
    </w:p>
    <w:p w14:paraId="1B5B0E90" w14:textId="77777777" w:rsidR="00400398" w:rsidRPr="007232E4" w:rsidRDefault="00400398" w:rsidP="00380346">
      <w:pPr>
        <w:autoSpaceDE w:val="0"/>
        <w:autoSpaceDN w:val="0"/>
        <w:adjustRightInd w:val="0"/>
        <w:rPr>
          <w:szCs w:val="22"/>
        </w:rPr>
      </w:pPr>
    </w:p>
    <w:p w14:paraId="0F4A5F5D" w14:textId="77777777" w:rsidR="00400398" w:rsidRPr="007232E4" w:rsidRDefault="00400398" w:rsidP="00CA5962">
      <w:pPr>
        <w:autoSpaceDE w:val="0"/>
        <w:autoSpaceDN w:val="0"/>
        <w:adjustRightInd w:val="0"/>
        <w:ind w:left="567" w:hanging="567"/>
        <w:contextualSpacing/>
        <w:rPr>
          <w:szCs w:val="22"/>
        </w:rPr>
      </w:pPr>
      <w:r w:rsidRPr="007232E4">
        <w:rPr>
          <w:sz w:val="32"/>
          <w:szCs w:val="32"/>
        </w:rPr>
        <w:t>•</w:t>
      </w:r>
      <w:r w:rsidRPr="007232E4">
        <w:rPr>
          <w:sz w:val="32"/>
          <w:szCs w:val="32"/>
        </w:rPr>
        <w:tab/>
      </w:r>
      <w:r w:rsidRPr="007232E4">
        <w:rPr>
          <w:szCs w:val="22"/>
        </w:rPr>
        <w:t>Braço CP: Carboplatina (AUC 6) e paclitaxel (175 mg/m</w:t>
      </w:r>
      <w:r w:rsidRPr="007232E4">
        <w:rPr>
          <w:szCs w:val="22"/>
          <w:vertAlign w:val="superscript"/>
        </w:rPr>
        <w:t>2</w:t>
      </w:r>
      <w:r w:rsidRPr="007232E4">
        <w:rPr>
          <w:szCs w:val="22"/>
        </w:rPr>
        <w:t>) durante 6 ciclos de 3 semanas de duração</w:t>
      </w:r>
    </w:p>
    <w:p w14:paraId="33393D57" w14:textId="77777777" w:rsidR="00400398" w:rsidRPr="007232E4" w:rsidRDefault="00400398" w:rsidP="00CA5962">
      <w:pPr>
        <w:autoSpaceDE w:val="0"/>
        <w:autoSpaceDN w:val="0"/>
        <w:adjustRightInd w:val="0"/>
        <w:ind w:left="567" w:hanging="567"/>
        <w:rPr>
          <w:szCs w:val="22"/>
        </w:rPr>
      </w:pPr>
      <w:r w:rsidRPr="007232E4">
        <w:rPr>
          <w:sz w:val="32"/>
          <w:szCs w:val="32"/>
        </w:rPr>
        <w:t>•</w:t>
      </w:r>
      <w:r w:rsidRPr="007232E4">
        <w:rPr>
          <w:sz w:val="32"/>
          <w:szCs w:val="32"/>
        </w:rPr>
        <w:tab/>
      </w:r>
      <w:r w:rsidRPr="007232E4">
        <w:rPr>
          <w:szCs w:val="22"/>
        </w:rPr>
        <w:t>Braço CPB7,5+: Carboplatina (AUC 6) e paclitaxel (175 mg/m</w:t>
      </w:r>
      <w:r w:rsidRPr="007232E4">
        <w:rPr>
          <w:szCs w:val="22"/>
          <w:vertAlign w:val="superscript"/>
        </w:rPr>
        <w:t>2</w:t>
      </w:r>
      <w:r w:rsidRPr="007232E4">
        <w:rPr>
          <w:szCs w:val="22"/>
        </w:rPr>
        <w:t>) durante 6 ciclos de 3</w:t>
      </w:r>
      <w:r w:rsidR="00812456">
        <w:rPr>
          <w:szCs w:val="22"/>
        </w:rPr>
        <w:t> </w:t>
      </w:r>
      <w:r w:rsidRPr="007232E4">
        <w:rPr>
          <w:szCs w:val="22"/>
        </w:rPr>
        <w:t xml:space="preserve">semanas mais </w:t>
      </w:r>
      <w:r w:rsidR="00CD4102">
        <w:rPr>
          <w:szCs w:val="22"/>
        </w:rPr>
        <w:t>bevacizumab</w:t>
      </w:r>
      <w:r w:rsidR="00CD4102" w:rsidRPr="007232E4">
        <w:rPr>
          <w:szCs w:val="22"/>
        </w:rPr>
        <w:t xml:space="preserve"> </w:t>
      </w:r>
      <w:r w:rsidRPr="007232E4">
        <w:rPr>
          <w:szCs w:val="22"/>
        </w:rPr>
        <w:t>(7,5 mg/kg a cada 3 semanas) durante até 12 meses (</w:t>
      </w:r>
      <w:r w:rsidR="00CD4102">
        <w:rPr>
          <w:szCs w:val="22"/>
        </w:rPr>
        <w:t>bevacizumab</w:t>
      </w:r>
      <w:r w:rsidR="00CD4102" w:rsidRPr="007232E4">
        <w:rPr>
          <w:szCs w:val="22"/>
        </w:rPr>
        <w:t xml:space="preserve"> </w:t>
      </w:r>
      <w:r w:rsidRPr="007232E4">
        <w:rPr>
          <w:szCs w:val="22"/>
        </w:rPr>
        <w:t xml:space="preserve">foi iniciado no 2º ciclo de quimioterapia se o tratamento tivesse sido iniciado a menos de 4 semanas da cirurgia ou ao 1º ciclo se o tratamento tivesse sido iniciado a mais de 4 semanas após a cirurgia). </w:t>
      </w:r>
    </w:p>
    <w:p w14:paraId="35F3022E" w14:textId="77777777" w:rsidR="00400398" w:rsidRPr="007232E4" w:rsidRDefault="00400398" w:rsidP="00380346">
      <w:pPr>
        <w:autoSpaceDE w:val="0"/>
        <w:autoSpaceDN w:val="0"/>
        <w:adjustRightInd w:val="0"/>
        <w:rPr>
          <w:szCs w:val="22"/>
        </w:rPr>
      </w:pPr>
    </w:p>
    <w:p w14:paraId="46A774CE" w14:textId="77777777" w:rsidR="00400398" w:rsidRPr="007232E4" w:rsidRDefault="00400398" w:rsidP="001F3EE8">
      <w:pPr>
        <w:rPr>
          <w:szCs w:val="22"/>
        </w:rPr>
      </w:pPr>
      <w:r w:rsidRPr="007232E4">
        <w:rPr>
          <w:szCs w:val="22"/>
        </w:rPr>
        <w:t>A maioria dos doentes incluídos no ensaio era de raça branca (96%), a mediana da idade era de 57</w:t>
      </w:r>
      <w:r w:rsidR="00812456">
        <w:rPr>
          <w:szCs w:val="22"/>
        </w:rPr>
        <w:t> </w:t>
      </w:r>
      <w:r w:rsidRPr="007232E4">
        <w:rPr>
          <w:szCs w:val="22"/>
        </w:rPr>
        <w:t>anos em ambos os braços de tratamento, 25% dos doentes em cada braço tinha idade igual ou superior a 65 anos, e aproximadamente 50% dos doentes tinha PS ECOG de 1; 7% dos doentes em cada braço de tratamento tinha PS ECOG de 2. A maioria dos doentes tinha cancro epitelial do ovário</w:t>
      </w:r>
      <w:r w:rsidRPr="007232E4">
        <w:rPr>
          <w:rFonts w:eastAsia="PMingLiU"/>
          <w:lang w:eastAsia="zh-CN"/>
        </w:rPr>
        <w:t xml:space="preserve"> </w:t>
      </w:r>
      <w:r w:rsidRPr="007232E4">
        <w:rPr>
          <w:szCs w:val="22"/>
        </w:rPr>
        <w:t xml:space="preserve">(87,7%) </w:t>
      </w:r>
      <w:r w:rsidRPr="007232E4">
        <w:rPr>
          <w:rFonts w:eastAsia="PMingLiU"/>
          <w:lang w:eastAsia="zh-CN"/>
        </w:rPr>
        <w:t xml:space="preserve">seguido do cancro </w:t>
      </w:r>
      <w:r w:rsidRPr="007232E4">
        <w:rPr>
          <w:szCs w:val="22"/>
        </w:rPr>
        <w:t>peritoneal primário</w:t>
      </w:r>
      <w:r w:rsidRPr="007232E4">
        <w:rPr>
          <w:rFonts w:eastAsia="PMingLiU"/>
          <w:lang w:eastAsia="zh-CN"/>
        </w:rPr>
        <w:t xml:space="preserve"> </w:t>
      </w:r>
      <w:r w:rsidRPr="007232E4">
        <w:rPr>
          <w:szCs w:val="22"/>
        </w:rPr>
        <w:t xml:space="preserve">(6,9%) e </w:t>
      </w:r>
      <w:r w:rsidRPr="007232E4">
        <w:rPr>
          <w:rFonts w:eastAsia="PMingLiU"/>
          <w:lang w:eastAsia="zh-CN"/>
        </w:rPr>
        <w:t xml:space="preserve">do cancro da </w:t>
      </w:r>
      <w:r w:rsidRPr="007232E4">
        <w:rPr>
          <w:szCs w:val="22"/>
        </w:rPr>
        <w:t>trompa de Falópio</w:t>
      </w:r>
      <w:r w:rsidRPr="007232E4">
        <w:rPr>
          <w:rFonts w:eastAsia="PMingLiU"/>
          <w:lang w:eastAsia="zh-CN"/>
        </w:rPr>
        <w:t xml:space="preserve"> </w:t>
      </w:r>
      <w:r w:rsidRPr="007232E4">
        <w:rPr>
          <w:szCs w:val="22"/>
        </w:rPr>
        <w:t>(3,7%) ou uma mistura das três origens (1,7%). A maioria dos doentes estavam no estadio FIGO III (ambos 68%), seguido do estadio FIGO IV (13% e 14%), estadio FIGO II (10% e 11%) e estadio FIGO I (9% e 7%). A maioria dos doentes em cada braço de tratamento (74% e 71%) tinha tumores primários pouco diferenciados (Grau 3) à entrada no ensaio. A incidência de cada sub-tipo histológico EOC era semelhante entre os braços de tratamento; 69% dos doentes em cada braço tinha a</w:t>
      </w:r>
      <w:r w:rsidRPr="007232E4">
        <w:rPr>
          <w:rFonts w:eastAsia="PMingLiU"/>
          <w:lang w:eastAsia="zh-CN"/>
        </w:rPr>
        <w:t>denocarcinoma histológico do tipo seroso.</w:t>
      </w:r>
    </w:p>
    <w:p w14:paraId="2138D15D" w14:textId="77777777" w:rsidR="00400398" w:rsidRPr="007232E4" w:rsidRDefault="00400398" w:rsidP="00380346">
      <w:pPr>
        <w:autoSpaceDE w:val="0"/>
        <w:autoSpaceDN w:val="0"/>
        <w:adjustRightInd w:val="0"/>
        <w:rPr>
          <w:szCs w:val="22"/>
        </w:rPr>
      </w:pPr>
    </w:p>
    <w:p w14:paraId="1BC49E0D" w14:textId="77777777" w:rsidR="00400398" w:rsidRPr="007232E4" w:rsidRDefault="00400398" w:rsidP="00380346">
      <w:pPr>
        <w:autoSpaceDE w:val="0"/>
        <w:autoSpaceDN w:val="0"/>
        <w:adjustRightInd w:val="0"/>
        <w:rPr>
          <w:szCs w:val="22"/>
        </w:rPr>
      </w:pPr>
      <w:r w:rsidRPr="007232E4">
        <w:rPr>
          <w:szCs w:val="22"/>
        </w:rPr>
        <w:t xml:space="preserve">O objetivo primário foi a PFS avaliada pelo investigador usando os RECIST. </w:t>
      </w:r>
    </w:p>
    <w:p w14:paraId="60F01437" w14:textId="77777777" w:rsidR="00400398" w:rsidRPr="007232E4" w:rsidRDefault="00400398" w:rsidP="00380346">
      <w:pPr>
        <w:autoSpaceDE w:val="0"/>
        <w:autoSpaceDN w:val="0"/>
        <w:adjustRightInd w:val="0"/>
        <w:rPr>
          <w:szCs w:val="22"/>
        </w:rPr>
      </w:pPr>
    </w:p>
    <w:p w14:paraId="7544645C" w14:textId="77777777" w:rsidR="00400398" w:rsidRPr="007232E4" w:rsidRDefault="00400398" w:rsidP="006560D8">
      <w:pPr>
        <w:autoSpaceDE w:val="0"/>
        <w:autoSpaceDN w:val="0"/>
        <w:adjustRightInd w:val="0"/>
        <w:rPr>
          <w:szCs w:val="22"/>
        </w:rPr>
      </w:pPr>
      <w:r w:rsidRPr="007232E4">
        <w:rPr>
          <w:szCs w:val="22"/>
        </w:rPr>
        <w:t>O ensaio atingiu o objetivo primário de aumento da PFS. Comparativamente com os doentes tratados apenas com quimioterapia em primeira linha (carboplatina e paclitaxel), os doentes que receberam bevacizumab numa dose de 7,5 mg/kg a cada 3 semanas em associação com quimioterapia e continuaram a receber bevacizumab durante até 18 ciclos tiveram um aumento estatisticamente significativo da PFS.</w:t>
      </w:r>
    </w:p>
    <w:p w14:paraId="5BCB0A37" w14:textId="77777777" w:rsidR="00400398" w:rsidRPr="007232E4" w:rsidRDefault="00400398" w:rsidP="006560D8">
      <w:pPr>
        <w:autoSpaceDE w:val="0"/>
        <w:autoSpaceDN w:val="0"/>
        <w:adjustRightInd w:val="0"/>
        <w:rPr>
          <w:szCs w:val="22"/>
        </w:rPr>
      </w:pPr>
    </w:p>
    <w:p w14:paraId="1753D64C" w14:textId="77777777" w:rsidR="00400398" w:rsidRPr="007232E4" w:rsidRDefault="00400398" w:rsidP="00380346">
      <w:pPr>
        <w:autoSpaceDE w:val="0"/>
        <w:autoSpaceDN w:val="0"/>
        <w:adjustRightInd w:val="0"/>
        <w:rPr>
          <w:szCs w:val="22"/>
        </w:rPr>
      </w:pPr>
      <w:r w:rsidRPr="007232E4">
        <w:rPr>
          <w:szCs w:val="22"/>
        </w:rPr>
        <w:t xml:space="preserve">Os resultados deste estudo são resumidos na Tabela </w:t>
      </w:r>
      <w:r w:rsidR="00835CCD" w:rsidRPr="007232E4">
        <w:rPr>
          <w:szCs w:val="22"/>
        </w:rPr>
        <w:t>1</w:t>
      </w:r>
      <w:r w:rsidR="00835CCD">
        <w:rPr>
          <w:szCs w:val="22"/>
        </w:rPr>
        <w:t>8</w:t>
      </w:r>
      <w:r w:rsidRPr="007232E4">
        <w:rPr>
          <w:szCs w:val="22"/>
        </w:rPr>
        <w:t>.</w:t>
      </w:r>
    </w:p>
    <w:p w14:paraId="0650CDD2" w14:textId="77777777" w:rsidR="00400398" w:rsidRDefault="00400398" w:rsidP="00380346">
      <w:pPr>
        <w:autoSpaceDE w:val="0"/>
        <w:autoSpaceDN w:val="0"/>
        <w:adjustRightInd w:val="0"/>
        <w:rPr>
          <w:szCs w:val="22"/>
        </w:rPr>
      </w:pPr>
    </w:p>
    <w:p w14:paraId="64F4AB35" w14:textId="77777777" w:rsidR="00400398" w:rsidRPr="007232E4" w:rsidRDefault="00400398" w:rsidP="000C3BFB">
      <w:pPr>
        <w:keepNext/>
        <w:keepLines/>
        <w:autoSpaceDE w:val="0"/>
        <w:autoSpaceDN w:val="0"/>
        <w:adjustRightInd w:val="0"/>
        <w:rPr>
          <w:b/>
          <w:szCs w:val="22"/>
        </w:rPr>
      </w:pPr>
      <w:r w:rsidRPr="007232E4">
        <w:rPr>
          <w:b/>
          <w:szCs w:val="22"/>
        </w:rPr>
        <w:lastRenderedPageBreak/>
        <w:t xml:space="preserve">Tabela </w:t>
      </w:r>
      <w:r w:rsidR="00835CCD" w:rsidRPr="007232E4">
        <w:rPr>
          <w:b/>
          <w:szCs w:val="22"/>
        </w:rPr>
        <w:t>1</w:t>
      </w:r>
      <w:r w:rsidR="00835CCD">
        <w:rPr>
          <w:b/>
          <w:szCs w:val="22"/>
        </w:rPr>
        <w:t>8</w:t>
      </w:r>
      <w:r w:rsidRPr="007232E4">
        <w:rPr>
          <w:b/>
          <w:szCs w:val="22"/>
        </w:rPr>
        <w:tab/>
        <w:t>Resultados de eficácia do estudo BO17707 (ICON7)</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21"/>
        <w:gridCol w:w="3020"/>
        <w:gridCol w:w="3020"/>
      </w:tblGrid>
      <w:tr w:rsidR="00400398" w:rsidRPr="00215594" w14:paraId="0572315E" w14:textId="77777777" w:rsidTr="00D91337">
        <w:tc>
          <w:tcPr>
            <w:tcW w:w="9207" w:type="dxa"/>
            <w:gridSpan w:val="3"/>
            <w:tcBorders>
              <w:top w:val="single" w:sz="4" w:space="0" w:color="auto"/>
              <w:left w:val="single" w:sz="4" w:space="0" w:color="auto"/>
              <w:bottom w:val="single" w:sz="6" w:space="0" w:color="000000"/>
              <w:right w:val="single" w:sz="4" w:space="0" w:color="auto"/>
            </w:tcBorders>
          </w:tcPr>
          <w:p w14:paraId="1958F9C1" w14:textId="77777777" w:rsidR="00400398" w:rsidRPr="007232E4" w:rsidRDefault="00400398" w:rsidP="000C3BFB">
            <w:pPr>
              <w:pStyle w:val="TextTi12"/>
              <w:keepNext/>
              <w:keepLines/>
              <w:spacing w:after="0" w:line="240" w:lineRule="auto"/>
              <w:jc w:val="left"/>
              <w:rPr>
                <w:rFonts w:eastAsia="MS Mincho"/>
                <w:sz w:val="20"/>
              </w:rPr>
            </w:pPr>
            <w:r w:rsidRPr="007232E4">
              <w:rPr>
                <w:rFonts w:eastAsia="MS Mincho"/>
                <w:sz w:val="20"/>
              </w:rPr>
              <w:t xml:space="preserve">Sobrevivência livre de progressão </w:t>
            </w:r>
            <w:r w:rsidRPr="007232E4">
              <w:rPr>
                <w:rFonts w:eastAsia="MS Mincho"/>
                <w:i/>
                <w:sz w:val="20"/>
              </w:rPr>
              <w:t>(PFS)</w:t>
            </w:r>
          </w:p>
        </w:tc>
      </w:tr>
      <w:tr w:rsidR="00400398" w:rsidRPr="00215594" w14:paraId="7062ECAB" w14:textId="77777777" w:rsidTr="00D91337">
        <w:tc>
          <w:tcPr>
            <w:tcW w:w="3069" w:type="dxa"/>
            <w:tcBorders>
              <w:top w:val="single" w:sz="6" w:space="0" w:color="000000"/>
              <w:left w:val="single" w:sz="4" w:space="0" w:color="auto"/>
            </w:tcBorders>
          </w:tcPr>
          <w:p w14:paraId="08DC84DF" w14:textId="77777777" w:rsidR="00400398" w:rsidRPr="007232E4" w:rsidRDefault="00400398" w:rsidP="000C3BFB">
            <w:pPr>
              <w:pStyle w:val="TableText10"/>
              <w:keepNext/>
              <w:keepLines/>
              <w:spacing w:line="280" w:lineRule="atLeast"/>
              <w:jc w:val="center"/>
              <w:rPr>
                <w:rFonts w:eastAsia="MS Mincho"/>
              </w:rPr>
            </w:pPr>
          </w:p>
        </w:tc>
        <w:tc>
          <w:tcPr>
            <w:tcW w:w="3069" w:type="dxa"/>
            <w:tcBorders>
              <w:top w:val="single" w:sz="6" w:space="0" w:color="000000"/>
            </w:tcBorders>
          </w:tcPr>
          <w:p w14:paraId="0EE20873" w14:textId="77777777" w:rsidR="00400398" w:rsidRPr="007232E4" w:rsidRDefault="00400398" w:rsidP="000C3BFB">
            <w:pPr>
              <w:pStyle w:val="TableText10"/>
              <w:keepNext/>
              <w:keepLines/>
              <w:spacing w:line="280" w:lineRule="atLeast"/>
              <w:jc w:val="center"/>
              <w:rPr>
                <w:rFonts w:eastAsia="MS Mincho"/>
              </w:rPr>
            </w:pPr>
          </w:p>
        </w:tc>
        <w:tc>
          <w:tcPr>
            <w:tcW w:w="3069" w:type="dxa"/>
            <w:tcBorders>
              <w:top w:val="single" w:sz="6" w:space="0" w:color="000000"/>
              <w:right w:val="single" w:sz="4" w:space="0" w:color="auto"/>
            </w:tcBorders>
          </w:tcPr>
          <w:p w14:paraId="106AE86A" w14:textId="77777777" w:rsidR="00400398" w:rsidRPr="007232E4" w:rsidRDefault="00400398" w:rsidP="000C3BFB">
            <w:pPr>
              <w:pStyle w:val="TableText10"/>
              <w:keepNext/>
              <w:keepLines/>
              <w:spacing w:line="280" w:lineRule="atLeast"/>
              <w:jc w:val="center"/>
              <w:rPr>
                <w:rFonts w:eastAsia="MS Mincho"/>
              </w:rPr>
            </w:pPr>
          </w:p>
        </w:tc>
      </w:tr>
      <w:tr w:rsidR="00400398" w:rsidRPr="00215594" w14:paraId="758DA589" w14:textId="77777777" w:rsidTr="00D91337">
        <w:tc>
          <w:tcPr>
            <w:tcW w:w="3069" w:type="dxa"/>
            <w:tcBorders>
              <w:left w:val="single" w:sz="4" w:space="0" w:color="auto"/>
            </w:tcBorders>
          </w:tcPr>
          <w:p w14:paraId="1E1E44E0" w14:textId="77777777" w:rsidR="00400398" w:rsidRPr="007232E4" w:rsidRDefault="00400398" w:rsidP="000C3BFB">
            <w:pPr>
              <w:pStyle w:val="TextTi12"/>
              <w:keepNext/>
              <w:keepLines/>
              <w:spacing w:after="0" w:line="240" w:lineRule="auto"/>
              <w:jc w:val="left"/>
              <w:rPr>
                <w:rFonts w:eastAsia="MS Mincho"/>
                <w:sz w:val="20"/>
              </w:rPr>
            </w:pPr>
          </w:p>
        </w:tc>
        <w:tc>
          <w:tcPr>
            <w:tcW w:w="3069" w:type="dxa"/>
          </w:tcPr>
          <w:p w14:paraId="0A44F675" w14:textId="77777777" w:rsidR="00400398" w:rsidRPr="00C82494" w:rsidRDefault="00400398" w:rsidP="000C3BFB">
            <w:pPr>
              <w:pStyle w:val="TableText10"/>
              <w:keepNext/>
              <w:keepLines/>
              <w:spacing w:line="280" w:lineRule="atLeast"/>
              <w:jc w:val="center"/>
              <w:rPr>
                <w:rFonts w:eastAsia="MS Mincho"/>
                <w:noProof/>
              </w:rPr>
            </w:pPr>
            <w:r w:rsidRPr="00C82494">
              <w:rPr>
                <w:rFonts w:eastAsia="MS Mincho"/>
                <w:noProof/>
              </w:rPr>
              <w:t>CP</w:t>
            </w:r>
            <w:r w:rsidRPr="00292ADE">
              <w:rPr>
                <w:rFonts w:eastAsia="MS Mincho"/>
                <w:noProof/>
              </w:rPr>
              <w:br/>
            </w:r>
            <w:r w:rsidRPr="00C82494">
              <w:rPr>
                <w:rFonts w:eastAsia="MS Mincho"/>
                <w:noProof/>
              </w:rPr>
              <w:t>(n</w:t>
            </w:r>
            <w:r w:rsidRPr="00292ADE">
              <w:rPr>
                <w:rFonts w:eastAsia="MS Mincho"/>
                <w:noProof/>
              </w:rPr>
              <w:t> </w:t>
            </w:r>
            <w:r w:rsidRPr="00C82494">
              <w:rPr>
                <w:rFonts w:eastAsia="MS Mincho"/>
                <w:noProof/>
              </w:rPr>
              <w:t>= 764)</w:t>
            </w:r>
          </w:p>
        </w:tc>
        <w:tc>
          <w:tcPr>
            <w:tcW w:w="3069" w:type="dxa"/>
            <w:tcBorders>
              <w:right w:val="single" w:sz="4" w:space="0" w:color="auto"/>
            </w:tcBorders>
          </w:tcPr>
          <w:p w14:paraId="12AF9902" w14:textId="77777777" w:rsidR="00400398" w:rsidRPr="00C82494" w:rsidDel="005123C6" w:rsidRDefault="00400398" w:rsidP="000C3BFB">
            <w:pPr>
              <w:pStyle w:val="TableText10"/>
              <w:keepNext/>
              <w:keepLines/>
              <w:spacing w:line="280" w:lineRule="atLeast"/>
              <w:jc w:val="center"/>
              <w:rPr>
                <w:rFonts w:eastAsia="MS Mincho"/>
                <w:noProof/>
              </w:rPr>
            </w:pPr>
            <w:r w:rsidRPr="00C82494">
              <w:rPr>
                <w:rFonts w:eastAsia="MS Mincho"/>
                <w:noProof/>
              </w:rPr>
              <w:t>CPB7,5+</w:t>
            </w:r>
            <w:r w:rsidRPr="00292ADE">
              <w:rPr>
                <w:rFonts w:eastAsia="MS Mincho"/>
                <w:noProof/>
              </w:rPr>
              <w:br/>
            </w:r>
            <w:r w:rsidRPr="00C82494">
              <w:rPr>
                <w:rFonts w:eastAsia="MS Mincho"/>
                <w:noProof/>
              </w:rPr>
              <w:t>(n</w:t>
            </w:r>
            <w:r w:rsidRPr="00292ADE">
              <w:rPr>
                <w:rFonts w:eastAsia="MS Mincho"/>
                <w:noProof/>
              </w:rPr>
              <w:t> </w:t>
            </w:r>
            <w:r w:rsidRPr="00C82494">
              <w:rPr>
                <w:rFonts w:eastAsia="MS Mincho"/>
                <w:noProof/>
              </w:rPr>
              <w:t>= 764</w:t>
            </w:r>
            <w:r w:rsidRPr="00C82494">
              <w:rPr>
                <w:rFonts w:eastAsia="SimSun"/>
                <w:noProof/>
              </w:rPr>
              <w:t>)</w:t>
            </w:r>
          </w:p>
        </w:tc>
      </w:tr>
      <w:tr w:rsidR="00400398" w:rsidRPr="00215594" w14:paraId="556A7097" w14:textId="77777777" w:rsidTr="00D91337">
        <w:tc>
          <w:tcPr>
            <w:tcW w:w="3069" w:type="dxa"/>
            <w:tcBorders>
              <w:left w:val="single" w:sz="4" w:space="0" w:color="auto"/>
            </w:tcBorders>
          </w:tcPr>
          <w:p w14:paraId="5614615E" w14:textId="77777777" w:rsidR="00400398" w:rsidRPr="00C82494" w:rsidRDefault="00400398" w:rsidP="000C3BFB">
            <w:pPr>
              <w:pStyle w:val="TableText10"/>
              <w:keepNext/>
              <w:keepLines/>
              <w:spacing w:line="280" w:lineRule="atLeast"/>
              <w:rPr>
                <w:rFonts w:eastAsia="MS Mincho"/>
                <w:noProof/>
                <w:vertAlign w:val="superscript"/>
              </w:rPr>
            </w:pPr>
            <w:r w:rsidRPr="00C82494">
              <w:rPr>
                <w:rFonts w:eastAsia="MS Mincho"/>
                <w:noProof/>
              </w:rPr>
              <w:t>PFS mediana (meses)</w:t>
            </w:r>
            <w:r w:rsidRPr="00C82494">
              <w:rPr>
                <w:rFonts w:eastAsia="MS Mincho"/>
                <w:noProof/>
                <w:vertAlign w:val="superscript"/>
              </w:rPr>
              <w:t xml:space="preserve"> 2</w:t>
            </w:r>
          </w:p>
        </w:tc>
        <w:tc>
          <w:tcPr>
            <w:tcW w:w="3069" w:type="dxa"/>
          </w:tcPr>
          <w:p w14:paraId="66E842DD" w14:textId="77777777" w:rsidR="00400398" w:rsidRPr="00C82494" w:rsidRDefault="00400398" w:rsidP="000C3BFB">
            <w:pPr>
              <w:pStyle w:val="TableText10"/>
              <w:keepNext/>
              <w:keepLines/>
              <w:spacing w:line="280" w:lineRule="atLeast"/>
              <w:jc w:val="center"/>
              <w:rPr>
                <w:rFonts w:eastAsia="MS Mincho"/>
                <w:noProof/>
              </w:rPr>
            </w:pPr>
            <w:r w:rsidRPr="00C82494">
              <w:rPr>
                <w:rFonts w:eastAsia="MS Mincho"/>
                <w:noProof/>
              </w:rPr>
              <w:t>16,9</w:t>
            </w:r>
          </w:p>
        </w:tc>
        <w:tc>
          <w:tcPr>
            <w:tcW w:w="3069" w:type="dxa"/>
            <w:tcBorders>
              <w:right w:val="single" w:sz="4" w:space="0" w:color="auto"/>
            </w:tcBorders>
          </w:tcPr>
          <w:p w14:paraId="775A11D1" w14:textId="77777777" w:rsidR="00400398" w:rsidRPr="00C82494" w:rsidRDefault="00400398" w:rsidP="000C3BFB">
            <w:pPr>
              <w:pStyle w:val="TableText10"/>
              <w:keepNext/>
              <w:keepLines/>
              <w:spacing w:line="280" w:lineRule="atLeast"/>
              <w:jc w:val="center"/>
              <w:rPr>
                <w:rFonts w:eastAsia="MS Mincho"/>
                <w:noProof/>
              </w:rPr>
            </w:pPr>
            <w:r w:rsidRPr="00C82494">
              <w:rPr>
                <w:rFonts w:eastAsia="MS Mincho"/>
                <w:noProof/>
              </w:rPr>
              <w:t>19,3</w:t>
            </w:r>
          </w:p>
        </w:tc>
      </w:tr>
      <w:tr w:rsidR="00400398" w:rsidRPr="00215594" w14:paraId="18E2E606" w14:textId="77777777" w:rsidTr="00D91337">
        <w:tc>
          <w:tcPr>
            <w:tcW w:w="3069" w:type="dxa"/>
            <w:tcBorders>
              <w:left w:val="single" w:sz="4" w:space="0" w:color="auto"/>
              <w:bottom w:val="single" w:sz="6" w:space="0" w:color="000000"/>
            </w:tcBorders>
          </w:tcPr>
          <w:p w14:paraId="6F6E3FD2" w14:textId="77777777" w:rsidR="00400398" w:rsidRPr="007232E4" w:rsidRDefault="00400398" w:rsidP="000C3BFB">
            <w:pPr>
              <w:pStyle w:val="TableText10"/>
              <w:keepNext/>
              <w:keepLines/>
              <w:spacing w:line="280" w:lineRule="atLeast"/>
              <w:rPr>
                <w:rFonts w:eastAsia="MS Mincho"/>
              </w:rPr>
            </w:pPr>
            <w:r w:rsidRPr="007232E4">
              <w:rPr>
                <w:rFonts w:eastAsia="MS Mincho"/>
                <w:i/>
              </w:rPr>
              <w:t>Hazard ratio</w:t>
            </w:r>
            <w:r w:rsidRPr="007232E4">
              <w:rPr>
                <w:rFonts w:eastAsia="MS Mincho"/>
              </w:rPr>
              <w:t xml:space="preserve"> (taxa de risco) </w:t>
            </w:r>
          </w:p>
          <w:p w14:paraId="73935BDD" w14:textId="77777777" w:rsidR="00400398" w:rsidRPr="007232E4" w:rsidRDefault="00400398" w:rsidP="000C3BFB">
            <w:pPr>
              <w:pStyle w:val="TableText10"/>
              <w:keepNext/>
              <w:keepLines/>
              <w:spacing w:line="280" w:lineRule="atLeast"/>
              <w:rPr>
                <w:rFonts w:eastAsia="MS Mincho"/>
              </w:rPr>
            </w:pPr>
            <w:r w:rsidRPr="007232E4">
              <w:rPr>
                <w:rFonts w:eastAsia="MS Mincho"/>
              </w:rPr>
              <w:t>[IC 95%]</w:t>
            </w:r>
            <w:r w:rsidRPr="007232E4">
              <w:rPr>
                <w:rFonts w:eastAsia="MS Mincho"/>
                <w:vertAlign w:val="superscript"/>
              </w:rPr>
              <w:t xml:space="preserve"> 2</w:t>
            </w:r>
          </w:p>
        </w:tc>
        <w:tc>
          <w:tcPr>
            <w:tcW w:w="6138" w:type="dxa"/>
            <w:gridSpan w:val="2"/>
            <w:tcBorders>
              <w:bottom w:val="single" w:sz="6" w:space="0" w:color="000000"/>
              <w:right w:val="single" w:sz="4" w:space="0" w:color="auto"/>
            </w:tcBorders>
          </w:tcPr>
          <w:p w14:paraId="773821CC" w14:textId="77777777" w:rsidR="00400398" w:rsidRPr="00C82494" w:rsidRDefault="00400398" w:rsidP="000C3BFB">
            <w:pPr>
              <w:pStyle w:val="TableText10"/>
              <w:keepNext/>
              <w:keepLines/>
              <w:spacing w:line="280" w:lineRule="atLeast"/>
              <w:jc w:val="center"/>
              <w:rPr>
                <w:rFonts w:eastAsia="MS Mincho"/>
                <w:noProof/>
              </w:rPr>
            </w:pPr>
            <w:r w:rsidRPr="00C82494">
              <w:rPr>
                <w:rFonts w:eastAsia="MS Mincho"/>
                <w:noProof/>
              </w:rPr>
              <w:t>0,86 [0,75; 0,98]</w:t>
            </w:r>
          </w:p>
          <w:p w14:paraId="3F757A55" w14:textId="77777777" w:rsidR="00400398" w:rsidRPr="00C82494" w:rsidRDefault="00400398" w:rsidP="000C3BFB">
            <w:pPr>
              <w:pStyle w:val="TableText10"/>
              <w:keepNext/>
              <w:keepLines/>
              <w:spacing w:line="280" w:lineRule="atLeast"/>
              <w:jc w:val="center"/>
              <w:rPr>
                <w:rFonts w:eastAsia="MS Mincho"/>
                <w:noProof/>
              </w:rPr>
            </w:pPr>
            <w:r w:rsidRPr="00C82494">
              <w:rPr>
                <w:rFonts w:eastAsia="MS Mincho"/>
                <w:noProof/>
              </w:rPr>
              <w:t>(valor de p =</w:t>
            </w:r>
            <w:r w:rsidRPr="00292ADE">
              <w:rPr>
                <w:rFonts w:eastAsia="MS Mincho"/>
                <w:noProof/>
              </w:rPr>
              <w:t> </w:t>
            </w:r>
            <w:r w:rsidRPr="00C82494">
              <w:rPr>
                <w:rFonts w:eastAsia="MS Mincho"/>
                <w:noProof/>
              </w:rPr>
              <w:t>0,0185)</w:t>
            </w:r>
          </w:p>
        </w:tc>
      </w:tr>
      <w:tr w:rsidR="00400398" w:rsidRPr="00215594" w14:paraId="1D2E3948" w14:textId="77777777" w:rsidTr="00D91337">
        <w:tc>
          <w:tcPr>
            <w:tcW w:w="9207" w:type="dxa"/>
            <w:gridSpan w:val="3"/>
            <w:tcBorders>
              <w:top w:val="single" w:sz="6" w:space="0" w:color="000000"/>
              <w:left w:val="single" w:sz="4" w:space="0" w:color="auto"/>
              <w:bottom w:val="single" w:sz="6" w:space="0" w:color="000000"/>
              <w:right w:val="single" w:sz="4" w:space="0" w:color="auto"/>
            </w:tcBorders>
          </w:tcPr>
          <w:p w14:paraId="539F312C" w14:textId="77777777" w:rsidR="00400398" w:rsidRPr="00C82494" w:rsidRDefault="00400398" w:rsidP="000C3BFB">
            <w:pPr>
              <w:pStyle w:val="TableText10"/>
              <w:keepNext/>
              <w:keepLines/>
              <w:spacing w:line="280" w:lineRule="atLeast"/>
              <w:rPr>
                <w:rFonts w:eastAsia="MS Mincho"/>
                <w:noProof/>
              </w:rPr>
            </w:pPr>
            <w:r w:rsidRPr="007232E4">
              <w:rPr>
                <w:rFonts w:eastAsia="MS Mincho"/>
                <w:bCs/>
              </w:rPr>
              <w:t>Taxa de resposta objetiva</w:t>
            </w:r>
            <w:r w:rsidRPr="00C82494">
              <w:rPr>
                <w:rFonts w:eastAsia="MS Mincho"/>
                <w:noProof/>
                <w:vertAlign w:val="superscript"/>
              </w:rPr>
              <w:t xml:space="preserve"> 1</w:t>
            </w:r>
          </w:p>
        </w:tc>
      </w:tr>
      <w:tr w:rsidR="00400398" w:rsidRPr="00215594" w14:paraId="2FBE3CA8" w14:textId="77777777" w:rsidTr="00D91337">
        <w:tc>
          <w:tcPr>
            <w:tcW w:w="3069" w:type="dxa"/>
            <w:tcBorders>
              <w:top w:val="single" w:sz="6" w:space="0" w:color="000000"/>
              <w:left w:val="single" w:sz="4" w:space="0" w:color="auto"/>
            </w:tcBorders>
          </w:tcPr>
          <w:p w14:paraId="11583FE6" w14:textId="77777777" w:rsidR="00400398" w:rsidRPr="00C82494" w:rsidRDefault="00400398" w:rsidP="000C3BFB">
            <w:pPr>
              <w:pStyle w:val="TableText10"/>
              <w:keepNext/>
              <w:keepLines/>
              <w:spacing w:line="280" w:lineRule="atLeast"/>
              <w:rPr>
                <w:rFonts w:eastAsia="MS Mincho"/>
                <w:noProof/>
              </w:rPr>
            </w:pPr>
          </w:p>
        </w:tc>
        <w:tc>
          <w:tcPr>
            <w:tcW w:w="3069" w:type="dxa"/>
            <w:tcBorders>
              <w:top w:val="single" w:sz="6" w:space="0" w:color="000000"/>
            </w:tcBorders>
          </w:tcPr>
          <w:p w14:paraId="01980BA3" w14:textId="77777777" w:rsidR="00400398" w:rsidRPr="00C82494" w:rsidRDefault="00400398" w:rsidP="000C3BFB">
            <w:pPr>
              <w:pStyle w:val="TableText10"/>
              <w:keepNext/>
              <w:keepLines/>
              <w:spacing w:line="280" w:lineRule="atLeast"/>
              <w:jc w:val="center"/>
              <w:rPr>
                <w:rFonts w:eastAsia="MS Mincho"/>
                <w:noProof/>
              </w:rPr>
            </w:pPr>
            <w:r w:rsidRPr="00C82494">
              <w:rPr>
                <w:rFonts w:eastAsia="MS Mincho"/>
                <w:noProof/>
              </w:rPr>
              <w:t>CP</w:t>
            </w:r>
            <w:r w:rsidRPr="00292ADE">
              <w:rPr>
                <w:rFonts w:eastAsia="MS Mincho"/>
                <w:noProof/>
              </w:rPr>
              <w:br/>
            </w:r>
            <w:r w:rsidRPr="00C82494">
              <w:rPr>
                <w:rFonts w:eastAsia="MS Mincho"/>
                <w:noProof/>
              </w:rPr>
              <w:t>(n</w:t>
            </w:r>
            <w:r w:rsidRPr="00292ADE">
              <w:rPr>
                <w:rFonts w:eastAsia="MS Mincho"/>
                <w:noProof/>
              </w:rPr>
              <w:t> </w:t>
            </w:r>
            <w:r w:rsidRPr="00C82494">
              <w:rPr>
                <w:rFonts w:eastAsia="MS Mincho"/>
                <w:noProof/>
              </w:rPr>
              <w:t>=</w:t>
            </w:r>
            <w:r w:rsidRPr="00292ADE">
              <w:rPr>
                <w:rFonts w:eastAsia="MS Mincho"/>
                <w:noProof/>
              </w:rPr>
              <w:t> </w:t>
            </w:r>
            <w:r w:rsidRPr="00C82494">
              <w:rPr>
                <w:rFonts w:eastAsia="MS Mincho"/>
                <w:noProof/>
              </w:rPr>
              <w:t>277)</w:t>
            </w:r>
          </w:p>
        </w:tc>
        <w:tc>
          <w:tcPr>
            <w:tcW w:w="3069" w:type="dxa"/>
            <w:tcBorders>
              <w:top w:val="single" w:sz="6" w:space="0" w:color="000000"/>
              <w:right w:val="single" w:sz="4" w:space="0" w:color="auto"/>
            </w:tcBorders>
          </w:tcPr>
          <w:p w14:paraId="41031EB7" w14:textId="77777777" w:rsidR="00400398" w:rsidRPr="00C82494" w:rsidRDefault="00400398" w:rsidP="000C3BFB">
            <w:pPr>
              <w:pStyle w:val="TableText10"/>
              <w:keepNext/>
              <w:keepLines/>
              <w:spacing w:line="280" w:lineRule="atLeast"/>
              <w:jc w:val="center"/>
              <w:rPr>
                <w:rFonts w:eastAsia="MS Mincho"/>
                <w:noProof/>
              </w:rPr>
            </w:pPr>
            <w:r w:rsidRPr="00C82494">
              <w:rPr>
                <w:rFonts w:eastAsia="MS Mincho"/>
                <w:noProof/>
              </w:rPr>
              <w:t>CPB7,5+</w:t>
            </w:r>
            <w:r w:rsidRPr="00292ADE">
              <w:rPr>
                <w:rFonts w:eastAsia="MS Mincho"/>
                <w:noProof/>
              </w:rPr>
              <w:br/>
            </w:r>
            <w:r w:rsidRPr="00C82494">
              <w:rPr>
                <w:rFonts w:eastAsia="MS Mincho"/>
                <w:noProof/>
              </w:rPr>
              <w:t>(n</w:t>
            </w:r>
            <w:r w:rsidRPr="00292ADE">
              <w:rPr>
                <w:rFonts w:eastAsia="MS Mincho"/>
                <w:noProof/>
              </w:rPr>
              <w:t> </w:t>
            </w:r>
            <w:r w:rsidRPr="00C82494">
              <w:rPr>
                <w:rFonts w:eastAsia="MS Mincho"/>
                <w:noProof/>
              </w:rPr>
              <w:t>=</w:t>
            </w:r>
            <w:r w:rsidRPr="00292ADE">
              <w:rPr>
                <w:rFonts w:eastAsia="MS Mincho"/>
                <w:noProof/>
              </w:rPr>
              <w:t> </w:t>
            </w:r>
            <w:r w:rsidRPr="00C82494">
              <w:rPr>
                <w:rFonts w:eastAsia="MS Mincho"/>
                <w:noProof/>
              </w:rPr>
              <w:t>272)</w:t>
            </w:r>
          </w:p>
        </w:tc>
      </w:tr>
      <w:tr w:rsidR="00400398" w:rsidRPr="00215594" w14:paraId="1F3ED11C" w14:textId="77777777" w:rsidTr="00D91337">
        <w:tc>
          <w:tcPr>
            <w:tcW w:w="3069" w:type="dxa"/>
            <w:tcBorders>
              <w:left w:val="single" w:sz="4" w:space="0" w:color="auto"/>
            </w:tcBorders>
          </w:tcPr>
          <w:p w14:paraId="3029C6BC" w14:textId="77777777" w:rsidR="00400398" w:rsidRPr="00C82494" w:rsidRDefault="00400398" w:rsidP="000C3BFB">
            <w:pPr>
              <w:pStyle w:val="TableText10"/>
              <w:keepNext/>
              <w:keepLines/>
              <w:spacing w:line="280" w:lineRule="atLeast"/>
              <w:rPr>
                <w:rFonts w:eastAsia="MS Mincho"/>
                <w:noProof/>
              </w:rPr>
            </w:pPr>
            <w:r w:rsidRPr="00C82494">
              <w:rPr>
                <w:rFonts w:eastAsia="MS Mincho"/>
                <w:noProof/>
              </w:rPr>
              <w:t>Taxa de resposta</w:t>
            </w:r>
          </w:p>
        </w:tc>
        <w:tc>
          <w:tcPr>
            <w:tcW w:w="3069" w:type="dxa"/>
          </w:tcPr>
          <w:p w14:paraId="4DB9DBA2" w14:textId="77777777" w:rsidR="00400398" w:rsidRPr="00C82494" w:rsidRDefault="00400398" w:rsidP="000C3BFB">
            <w:pPr>
              <w:pStyle w:val="TableText10"/>
              <w:keepNext/>
              <w:keepLines/>
              <w:spacing w:line="280" w:lineRule="atLeast"/>
              <w:jc w:val="center"/>
              <w:rPr>
                <w:rFonts w:eastAsia="MS Mincho"/>
                <w:noProof/>
              </w:rPr>
            </w:pPr>
            <w:r w:rsidRPr="00C82494">
              <w:rPr>
                <w:rFonts w:eastAsia="MS Mincho"/>
                <w:noProof/>
              </w:rPr>
              <w:t>54,9%</w:t>
            </w:r>
          </w:p>
        </w:tc>
        <w:tc>
          <w:tcPr>
            <w:tcW w:w="3069" w:type="dxa"/>
            <w:tcBorders>
              <w:right w:val="single" w:sz="4" w:space="0" w:color="auto"/>
            </w:tcBorders>
          </w:tcPr>
          <w:p w14:paraId="6E2BBEAC" w14:textId="77777777" w:rsidR="00400398" w:rsidRPr="00C82494" w:rsidRDefault="00400398" w:rsidP="000C3BFB">
            <w:pPr>
              <w:pStyle w:val="TableText10"/>
              <w:keepNext/>
              <w:keepLines/>
              <w:spacing w:line="280" w:lineRule="atLeast"/>
              <w:jc w:val="center"/>
              <w:rPr>
                <w:rFonts w:eastAsia="MS Mincho"/>
                <w:noProof/>
              </w:rPr>
            </w:pPr>
            <w:r w:rsidRPr="00C82494">
              <w:rPr>
                <w:rFonts w:eastAsia="MS Mincho"/>
                <w:noProof/>
              </w:rPr>
              <w:t>64,7%</w:t>
            </w:r>
          </w:p>
        </w:tc>
      </w:tr>
      <w:tr w:rsidR="00400398" w:rsidRPr="00215594" w14:paraId="16840AC9" w14:textId="77777777" w:rsidTr="00D91337">
        <w:tc>
          <w:tcPr>
            <w:tcW w:w="3069" w:type="dxa"/>
            <w:tcBorders>
              <w:left w:val="single" w:sz="4" w:space="0" w:color="auto"/>
              <w:bottom w:val="single" w:sz="6" w:space="0" w:color="000000"/>
            </w:tcBorders>
          </w:tcPr>
          <w:p w14:paraId="47E8E621" w14:textId="77777777" w:rsidR="00400398" w:rsidRPr="00C82494" w:rsidRDefault="00400398" w:rsidP="000C3BFB">
            <w:pPr>
              <w:pStyle w:val="TableText10"/>
              <w:keepNext/>
              <w:keepLines/>
              <w:spacing w:line="280" w:lineRule="atLeast"/>
              <w:ind w:left="567" w:hanging="567"/>
              <w:outlineLvl w:val="0"/>
              <w:rPr>
                <w:rFonts w:eastAsia="MS Mincho"/>
                <w:noProof/>
              </w:rPr>
            </w:pPr>
          </w:p>
        </w:tc>
        <w:tc>
          <w:tcPr>
            <w:tcW w:w="6138" w:type="dxa"/>
            <w:gridSpan w:val="2"/>
            <w:tcBorders>
              <w:bottom w:val="single" w:sz="6" w:space="0" w:color="000000"/>
              <w:right w:val="single" w:sz="4" w:space="0" w:color="auto"/>
            </w:tcBorders>
          </w:tcPr>
          <w:p w14:paraId="4CD15A5A" w14:textId="77777777" w:rsidR="00400398" w:rsidRPr="00C82494" w:rsidRDefault="00400398" w:rsidP="000C3BFB">
            <w:pPr>
              <w:pStyle w:val="TableText10"/>
              <w:keepNext/>
              <w:keepLines/>
              <w:spacing w:line="280" w:lineRule="atLeast"/>
              <w:jc w:val="center"/>
              <w:rPr>
                <w:rFonts w:eastAsia="MS Mincho"/>
                <w:noProof/>
              </w:rPr>
            </w:pPr>
            <w:r w:rsidRPr="00C82494">
              <w:rPr>
                <w:rFonts w:eastAsia="MS Mincho"/>
                <w:noProof/>
              </w:rPr>
              <w:t>(valor de p = 0,0188)</w:t>
            </w:r>
          </w:p>
        </w:tc>
      </w:tr>
      <w:tr w:rsidR="00400398" w:rsidRPr="00215594" w14:paraId="7543CE28" w14:textId="77777777" w:rsidTr="00D91337">
        <w:tc>
          <w:tcPr>
            <w:tcW w:w="9207" w:type="dxa"/>
            <w:gridSpan w:val="3"/>
            <w:tcBorders>
              <w:top w:val="single" w:sz="6" w:space="0" w:color="000000"/>
              <w:left w:val="single" w:sz="4" w:space="0" w:color="auto"/>
              <w:bottom w:val="single" w:sz="6" w:space="0" w:color="000000"/>
              <w:right w:val="single" w:sz="4" w:space="0" w:color="auto"/>
            </w:tcBorders>
          </w:tcPr>
          <w:p w14:paraId="629E7D8F" w14:textId="77777777" w:rsidR="00400398" w:rsidRPr="00C82494" w:rsidRDefault="00400398" w:rsidP="000C3BFB">
            <w:pPr>
              <w:pStyle w:val="TableText10"/>
              <w:keepNext/>
              <w:keepLines/>
              <w:spacing w:line="280" w:lineRule="atLeast"/>
              <w:rPr>
                <w:rFonts w:eastAsia="MS Mincho"/>
                <w:noProof/>
              </w:rPr>
            </w:pPr>
            <w:r w:rsidRPr="00C82494">
              <w:rPr>
                <w:rFonts w:eastAsia="MS Mincho"/>
                <w:noProof/>
              </w:rPr>
              <w:t>Sobrevivência Global</w:t>
            </w:r>
            <w:r w:rsidRPr="00292ADE">
              <w:rPr>
                <w:rFonts w:eastAsia="MS Mincho"/>
                <w:noProof/>
              </w:rPr>
              <w:t> </w:t>
            </w:r>
            <w:r w:rsidRPr="00C82494">
              <w:rPr>
                <w:rFonts w:eastAsia="MS Mincho"/>
                <w:noProof/>
                <w:sz w:val="24"/>
                <w:vertAlign w:val="superscript"/>
              </w:rPr>
              <w:t>3</w:t>
            </w:r>
          </w:p>
        </w:tc>
      </w:tr>
      <w:tr w:rsidR="00400398" w:rsidRPr="00215594" w14:paraId="09CF860B" w14:textId="77777777" w:rsidTr="00D91337">
        <w:tc>
          <w:tcPr>
            <w:tcW w:w="3069" w:type="dxa"/>
            <w:tcBorders>
              <w:top w:val="single" w:sz="6" w:space="0" w:color="000000"/>
              <w:left w:val="single" w:sz="4" w:space="0" w:color="auto"/>
            </w:tcBorders>
          </w:tcPr>
          <w:p w14:paraId="4548D45C" w14:textId="77777777" w:rsidR="00400398" w:rsidRPr="00C82494" w:rsidRDefault="00400398" w:rsidP="000C3BFB">
            <w:pPr>
              <w:pStyle w:val="TableText10"/>
              <w:keepNext/>
              <w:keepLines/>
              <w:spacing w:line="280" w:lineRule="atLeast"/>
              <w:rPr>
                <w:rFonts w:eastAsia="MS Mincho"/>
                <w:noProof/>
              </w:rPr>
            </w:pPr>
          </w:p>
        </w:tc>
        <w:tc>
          <w:tcPr>
            <w:tcW w:w="3069" w:type="dxa"/>
            <w:tcBorders>
              <w:top w:val="single" w:sz="6" w:space="0" w:color="000000"/>
            </w:tcBorders>
          </w:tcPr>
          <w:p w14:paraId="1607A2C5" w14:textId="77777777" w:rsidR="00400398" w:rsidRPr="00C82494" w:rsidRDefault="00400398" w:rsidP="000C3BFB">
            <w:pPr>
              <w:pStyle w:val="TableText10"/>
              <w:keepNext/>
              <w:keepLines/>
              <w:spacing w:line="280" w:lineRule="atLeast"/>
              <w:jc w:val="center"/>
              <w:rPr>
                <w:rFonts w:eastAsia="MS Mincho"/>
                <w:noProof/>
              </w:rPr>
            </w:pPr>
            <w:r w:rsidRPr="00C82494">
              <w:rPr>
                <w:rFonts w:eastAsia="MS Mincho"/>
                <w:noProof/>
              </w:rPr>
              <w:t>CP</w:t>
            </w:r>
            <w:r w:rsidRPr="00292ADE">
              <w:rPr>
                <w:rFonts w:eastAsia="MS Mincho"/>
                <w:noProof/>
              </w:rPr>
              <w:br/>
            </w:r>
            <w:r w:rsidRPr="00C82494">
              <w:rPr>
                <w:rFonts w:eastAsia="MS Mincho"/>
                <w:noProof/>
              </w:rPr>
              <w:t>(n</w:t>
            </w:r>
            <w:r w:rsidRPr="00292ADE">
              <w:rPr>
                <w:rFonts w:eastAsia="MS Mincho"/>
                <w:noProof/>
              </w:rPr>
              <w:t> </w:t>
            </w:r>
            <w:r w:rsidRPr="00C82494">
              <w:rPr>
                <w:rFonts w:eastAsia="MS Mincho"/>
                <w:noProof/>
              </w:rPr>
              <w:t>= 764)</w:t>
            </w:r>
          </w:p>
        </w:tc>
        <w:tc>
          <w:tcPr>
            <w:tcW w:w="3069" w:type="dxa"/>
            <w:tcBorders>
              <w:top w:val="single" w:sz="6" w:space="0" w:color="000000"/>
              <w:right w:val="single" w:sz="4" w:space="0" w:color="auto"/>
            </w:tcBorders>
          </w:tcPr>
          <w:p w14:paraId="3DFC0EC6" w14:textId="77777777" w:rsidR="00400398" w:rsidRPr="00C82494" w:rsidRDefault="00400398" w:rsidP="000C3BFB">
            <w:pPr>
              <w:pStyle w:val="TableText10"/>
              <w:keepNext/>
              <w:keepLines/>
              <w:spacing w:line="280" w:lineRule="atLeast"/>
              <w:jc w:val="center"/>
              <w:rPr>
                <w:rFonts w:eastAsia="MS Mincho"/>
                <w:noProof/>
              </w:rPr>
            </w:pPr>
            <w:r w:rsidRPr="00C82494">
              <w:rPr>
                <w:rFonts w:eastAsia="MS Mincho"/>
                <w:noProof/>
              </w:rPr>
              <w:t>CPB7,5+</w:t>
            </w:r>
            <w:r w:rsidRPr="00292ADE">
              <w:rPr>
                <w:rFonts w:eastAsia="MS Mincho"/>
                <w:noProof/>
              </w:rPr>
              <w:br/>
            </w:r>
            <w:r w:rsidRPr="00C82494">
              <w:rPr>
                <w:rFonts w:eastAsia="MS Mincho"/>
                <w:noProof/>
              </w:rPr>
              <w:t>(n</w:t>
            </w:r>
            <w:r w:rsidRPr="00292ADE">
              <w:rPr>
                <w:rFonts w:eastAsia="MS Mincho"/>
                <w:noProof/>
              </w:rPr>
              <w:t> </w:t>
            </w:r>
            <w:r w:rsidRPr="00C82494">
              <w:rPr>
                <w:rFonts w:eastAsia="MS Mincho"/>
                <w:noProof/>
              </w:rPr>
              <w:t>=</w:t>
            </w:r>
            <w:r w:rsidRPr="00292ADE">
              <w:rPr>
                <w:rFonts w:eastAsia="MS Mincho"/>
                <w:noProof/>
              </w:rPr>
              <w:t> </w:t>
            </w:r>
            <w:r w:rsidRPr="00C82494">
              <w:rPr>
                <w:rFonts w:eastAsia="MS Mincho"/>
                <w:noProof/>
              </w:rPr>
              <w:t>764</w:t>
            </w:r>
            <w:r w:rsidRPr="00C82494">
              <w:rPr>
                <w:rFonts w:eastAsia="SimSun"/>
                <w:noProof/>
              </w:rPr>
              <w:t>)</w:t>
            </w:r>
          </w:p>
        </w:tc>
      </w:tr>
      <w:tr w:rsidR="00400398" w:rsidRPr="00215594" w14:paraId="7B6DA477" w14:textId="77777777" w:rsidTr="00D91337">
        <w:tc>
          <w:tcPr>
            <w:tcW w:w="3069" w:type="dxa"/>
            <w:tcBorders>
              <w:left w:val="single" w:sz="4" w:space="0" w:color="auto"/>
              <w:bottom w:val="nil"/>
            </w:tcBorders>
          </w:tcPr>
          <w:p w14:paraId="79560BBD" w14:textId="77777777" w:rsidR="00400398" w:rsidRPr="00C82494" w:rsidRDefault="00400398" w:rsidP="000C3BFB">
            <w:pPr>
              <w:pStyle w:val="TableText10"/>
              <w:keepNext/>
              <w:keepLines/>
              <w:spacing w:line="280" w:lineRule="atLeast"/>
              <w:rPr>
                <w:rFonts w:eastAsia="MS Mincho"/>
                <w:noProof/>
              </w:rPr>
            </w:pPr>
            <w:r w:rsidRPr="00C82494">
              <w:rPr>
                <w:rFonts w:eastAsia="MS Mincho"/>
                <w:noProof/>
              </w:rPr>
              <w:t>Mediana (meses)</w:t>
            </w:r>
          </w:p>
        </w:tc>
        <w:tc>
          <w:tcPr>
            <w:tcW w:w="3069" w:type="dxa"/>
          </w:tcPr>
          <w:p w14:paraId="750D5741" w14:textId="77777777" w:rsidR="00400398" w:rsidRPr="00C82494" w:rsidRDefault="00400398" w:rsidP="000C3BFB">
            <w:pPr>
              <w:pStyle w:val="TableText10"/>
              <w:keepNext/>
              <w:keepLines/>
              <w:spacing w:line="280" w:lineRule="atLeast"/>
              <w:jc w:val="center"/>
              <w:rPr>
                <w:rFonts w:eastAsia="MS Mincho"/>
                <w:noProof/>
              </w:rPr>
            </w:pPr>
            <w:r w:rsidRPr="00C82494">
              <w:rPr>
                <w:rFonts w:eastAsia="MS Mincho"/>
                <w:noProof/>
              </w:rPr>
              <w:t>58,0</w:t>
            </w:r>
          </w:p>
        </w:tc>
        <w:tc>
          <w:tcPr>
            <w:tcW w:w="3069" w:type="dxa"/>
            <w:tcBorders>
              <w:right w:val="single" w:sz="4" w:space="0" w:color="auto"/>
            </w:tcBorders>
          </w:tcPr>
          <w:p w14:paraId="1BD953B9" w14:textId="77777777" w:rsidR="00400398" w:rsidRPr="00C82494" w:rsidRDefault="00400398" w:rsidP="000C3BFB">
            <w:pPr>
              <w:pStyle w:val="TableText10"/>
              <w:keepNext/>
              <w:keepLines/>
              <w:spacing w:line="280" w:lineRule="atLeast"/>
              <w:jc w:val="center"/>
              <w:rPr>
                <w:rFonts w:eastAsia="MS Mincho"/>
                <w:noProof/>
              </w:rPr>
            </w:pPr>
            <w:r w:rsidRPr="00C82494">
              <w:rPr>
                <w:rFonts w:eastAsia="MS Mincho"/>
                <w:noProof/>
              </w:rPr>
              <w:t>57,4</w:t>
            </w:r>
          </w:p>
        </w:tc>
      </w:tr>
      <w:tr w:rsidR="00400398" w:rsidRPr="00215594" w14:paraId="59DE9001" w14:textId="77777777" w:rsidTr="00D91337">
        <w:tc>
          <w:tcPr>
            <w:tcW w:w="3069" w:type="dxa"/>
            <w:tcBorders>
              <w:top w:val="nil"/>
              <w:left w:val="single" w:sz="4" w:space="0" w:color="auto"/>
              <w:bottom w:val="single" w:sz="4" w:space="0" w:color="auto"/>
            </w:tcBorders>
          </w:tcPr>
          <w:p w14:paraId="384B5547" w14:textId="77777777" w:rsidR="00400398" w:rsidRPr="007232E4" w:rsidRDefault="00400398" w:rsidP="000C3BFB">
            <w:pPr>
              <w:pStyle w:val="TableText10"/>
              <w:keepNext/>
              <w:keepLines/>
              <w:spacing w:line="280" w:lineRule="atLeast"/>
              <w:rPr>
                <w:rFonts w:eastAsia="MS Mincho"/>
              </w:rPr>
            </w:pPr>
            <w:r w:rsidRPr="007232E4">
              <w:rPr>
                <w:rFonts w:eastAsia="MS Mincho"/>
                <w:i/>
              </w:rPr>
              <w:t>Hazard ratio</w:t>
            </w:r>
            <w:r w:rsidRPr="007232E4">
              <w:rPr>
                <w:rFonts w:eastAsia="MS Mincho"/>
              </w:rPr>
              <w:t xml:space="preserve"> (taxa de risco) [IC 95%]</w:t>
            </w:r>
          </w:p>
        </w:tc>
        <w:tc>
          <w:tcPr>
            <w:tcW w:w="6138" w:type="dxa"/>
            <w:gridSpan w:val="2"/>
            <w:tcBorders>
              <w:bottom w:val="single" w:sz="4" w:space="0" w:color="auto"/>
              <w:right w:val="single" w:sz="4" w:space="0" w:color="auto"/>
            </w:tcBorders>
          </w:tcPr>
          <w:p w14:paraId="3D135BEF" w14:textId="77777777" w:rsidR="00400398" w:rsidRPr="00C82494" w:rsidRDefault="00400398" w:rsidP="000C3BFB">
            <w:pPr>
              <w:pStyle w:val="TableText10"/>
              <w:keepNext/>
              <w:keepLines/>
              <w:spacing w:line="280" w:lineRule="atLeast"/>
              <w:jc w:val="center"/>
              <w:rPr>
                <w:rFonts w:eastAsia="MS Mincho"/>
                <w:noProof/>
              </w:rPr>
            </w:pPr>
            <w:r w:rsidRPr="00C82494">
              <w:rPr>
                <w:rFonts w:eastAsia="MS Mincho"/>
                <w:noProof/>
              </w:rPr>
              <w:t>0,99 [0,85; 1,15]</w:t>
            </w:r>
          </w:p>
          <w:p w14:paraId="2ABAC32E" w14:textId="77777777" w:rsidR="00400398" w:rsidRPr="00C82494" w:rsidRDefault="00400398" w:rsidP="000C3BFB">
            <w:pPr>
              <w:pStyle w:val="TableText10"/>
              <w:keepNext/>
              <w:keepLines/>
              <w:spacing w:line="280" w:lineRule="atLeast"/>
              <w:jc w:val="center"/>
              <w:rPr>
                <w:rFonts w:eastAsia="MS Mincho"/>
                <w:noProof/>
              </w:rPr>
            </w:pPr>
            <w:r w:rsidRPr="00C82494">
              <w:rPr>
                <w:rFonts w:eastAsia="MS Mincho"/>
                <w:noProof/>
              </w:rPr>
              <w:t>(valor de p</w:t>
            </w:r>
            <w:r w:rsidRPr="00292ADE">
              <w:rPr>
                <w:rFonts w:eastAsia="MS Mincho"/>
                <w:noProof/>
              </w:rPr>
              <w:t> </w:t>
            </w:r>
            <w:r w:rsidRPr="00C82494">
              <w:rPr>
                <w:rFonts w:eastAsia="MS Mincho"/>
                <w:noProof/>
              </w:rPr>
              <w:t>= 0,8910)</w:t>
            </w:r>
          </w:p>
        </w:tc>
      </w:tr>
    </w:tbl>
    <w:p w14:paraId="4A475D77" w14:textId="77777777" w:rsidR="00400398" w:rsidRPr="007232E4" w:rsidRDefault="00400398" w:rsidP="00243763">
      <w:pPr>
        <w:autoSpaceDE w:val="0"/>
        <w:autoSpaceDN w:val="0"/>
        <w:adjustRightInd w:val="0"/>
        <w:rPr>
          <w:sz w:val="20"/>
        </w:rPr>
      </w:pPr>
      <w:r w:rsidRPr="007232E4">
        <w:rPr>
          <w:sz w:val="20"/>
          <w:vertAlign w:val="superscript"/>
        </w:rPr>
        <w:t>1</w:t>
      </w:r>
      <w:r w:rsidRPr="007232E4">
        <w:rPr>
          <w:sz w:val="20"/>
        </w:rPr>
        <w:t xml:space="preserve"> Em doentes com doença mensurável à entrada no estudo</w:t>
      </w:r>
    </w:p>
    <w:p w14:paraId="2ED975AC" w14:textId="77777777" w:rsidR="00400398" w:rsidRPr="007232E4" w:rsidRDefault="00400398" w:rsidP="00243763">
      <w:pPr>
        <w:autoSpaceDE w:val="0"/>
        <w:autoSpaceDN w:val="0"/>
        <w:adjustRightInd w:val="0"/>
        <w:rPr>
          <w:i/>
          <w:sz w:val="20"/>
        </w:rPr>
      </w:pPr>
      <w:r w:rsidRPr="007232E4">
        <w:rPr>
          <w:sz w:val="20"/>
          <w:vertAlign w:val="superscript"/>
        </w:rPr>
        <w:t>2</w:t>
      </w:r>
      <w:r w:rsidRPr="007232E4">
        <w:rPr>
          <w:sz w:val="20"/>
        </w:rPr>
        <w:t xml:space="preserve"> Análise da PFS avaliada pelo investigador com </w:t>
      </w:r>
      <w:r>
        <w:rPr>
          <w:sz w:val="20"/>
        </w:rPr>
        <w:t xml:space="preserve">data </w:t>
      </w:r>
      <w:r w:rsidRPr="007232E4">
        <w:rPr>
          <w:i/>
          <w:sz w:val="20"/>
        </w:rPr>
        <w:t>cut-off</w:t>
      </w:r>
      <w:r w:rsidRPr="007232E4">
        <w:rPr>
          <w:sz w:val="20"/>
        </w:rPr>
        <w:t xml:space="preserve"> de dados a 30 novembro 2010</w:t>
      </w:r>
    </w:p>
    <w:p w14:paraId="67842059" w14:textId="77777777" w:rsidR="00400398" w:rsidRPr="007232E4" w:rsidRDefault="00400398" w:rsidP="00481C46">
      <w:pPr>
        <w:autoSpaceDE w:val="0"/>
        <w:autoSpaceDN w:val="0"/>
        <w:adjustRightInd w:val="0"/>
        <w:ind w:left="142" w:hanging="142"/>
        <w:rPr>
          <w:sz w:val="20"/>
        </w:rPr>
      </w:pPr>
      <w:r w:rsidRPr="007232E4">
        <w:rPr>
          <w:sz w:val="20"/>
          <w:vertAlign w:val="superscript"/>
        </w:rPr>
        <w:t>3</w:t>
      </w:r>
      <w:r w:rsidRPr="007232E4">
        <w:rPr>
          <w:sz w:val="20"/>
        </w:rPr>
        <w:t xml:space="preserve"> Análise </w:t>
      </w:r>
      <w:r>
        <w:rPr>
          <w:sz w:val="20"/>
        </w:rPr>
        <w:t xml:space="preserve">final da </w:t>
      </w:r>
      <w:r w:rsidR="00D35B8D">
        <w:rPr>
          <w:sz w:val="20"/>
        </w:rPr>
        <w:t>OS</w:t>
      </w:r>
      <w:r>
        <w:rPr>
          <w:sz w:val="20"/>
        </w:rPr>
        <w:t xml:space="preserve"> realizada quando tinham morrido 46,7% dos doentes com data </w:t>
      </w:r>
      <w:r w:rsidRPr="00913779">
        <w:rPr>
          <w:i/>
          <w:sz w:val="20"/>
        </w:rPr>
        <w:t>cut-off</w:t>
      </w:r>
      <w:r>
        <w:rPr>
          <w:sz w:val="20"/>
        </w:rPr>
        <w:t xml:space="preserve"> de dados a 31 março 2013.</w:t>
      </w:r>
    </w:p>
    <w:p w14:paraId="52D9E081" w14:textId="77777777" w:rsidR="00400398" w:rsidRPr="007232E4" w:rsidRDefault="00400398" w:rsidP="00380346">
      <w:pPr>
        <w:autoSpaceDE w:val="0"/>
        <w:autoSpaceDN w:val="0"/>
        <w:adjustRightInd w:val="0"/>
        <w:rPr>
          <w:szCs w:val="22"/>
        </w:rPr>
      </w:pPr>
    </w:p>
    <w:p w14:paraId="0B869D77" w14:textId="77777777" w:rsidR="00400398" w:rsidRPr="007232E4" w:rsidRDefault="00400398" w:rsidP="00DF56F2">
      <w:pPr>
        <w:autoSpaceDE w:val="0"/>
        <w:autoSpaceDN w:val="0"/>
        <w:adjustRightInd w:val="0"/>
        <w:rPr>
          <w:szCs w:val="22"/>
        </w:rPr>
      </w:pPr>
      <w:r w:rsidRPr="007232E4">
        <w:rPr>
          <w:iCs/>
          <w:szCs w:val="22"/>
        </w:rPr>
        <w:t xml:space="preserve">A análise primária da PFS avaliada pelo investigador </w:t>
      </w:r>
      <w:r w:rsidRPr="007232E4">
        <w:rPr>
          <w:szCs w:val="22"/>
        </w:rPr>
        <w:t xml:space="preserve">com uma data de </w:t>
      </w:r>
      <w:r w:rsidRPr="007232E4">
        <w:rPr>
          <w:i/>
          <w:szCs w:val="22"/>
        </w:rPr>
        <w:t>cut-off</w:t>
      </w:r>
      <w:r w:rsidRPr="007232E4">
        <w:rPr>
          <w:szCs w:val="22"/>
        </w:rPr>
        <w:t xml:space="preserve"> a 28 de fevereiro de 2010</w:t>
      </w:r>
      <w:r w:rsidRPr="007232E4">
        <w:rPr>
          <w:iCs/>
          <w:szCs w:val="22"/>
        </w:rPr>
        <w:t>, mostra uma taxa de risco estratificada de 0,79 (IC 95%: 0,68-0,91, valor de p no teste log-rank bilateral &lt;0,0010) com uma PFS mediana de 16,0 meses no braço CP e 18,3 meses no braço CPB7,5+.</w:t>
      </w:r>
      <w:r w:rsidRPr="007232E4">
        <w:rPr>
          <w:szCs w:val="22"/>
        </w:rPr>
        <w:t xml:space="preserve"> </w:t>
      </w:r>
    </w:p>
    <w:p w14:paraId="4653A796" w14:textId="77777777" w:rsidR="00400398" w:rsidRPr="007232E4" w:rsidRDefault="00400398" w:rsidP="00DF56F2">
      <w:pPr>
        <w:autoSpaceDE w:val="0"/>
        <w:autoSpaceDN w:val="0"/>
        <w:adjustRightInd w:val="0"/>
        <w:rPr>
          <w:iCs/>
          <w:szCs w:val="22"/>
        </w:rPr>
      </w:pPr>
    </w:p>
    <w:p w14:paraId="1250F8AA" w14:textId="77777777" w:rsidR="00400398" w:rsidRPr="007232E4" w:rsidRDefault="00400398" w:rsidP="000E634D">
      <w:pPr>
        <w:rPr>
          <w:rFonts w:eastAsia="PMingLiU"/>
          <w:lang w:eastAsia="zh-CN"/>
        </w:rPr>
      </w:pPr>
      <w:r w:rsidRPr="007232E4">
        <w:rPr>
          <w:rFonts w:eastAsia="PMingLiU"/>
          <w:lang w:eastAsia="zh-CN"/>
        </w:rPr>
        <w:t xml:space="preserve">Na Tabela </w:t>
      </w:r>
      <w:r w:rsidR="00835CCD" w:rsidRPr="007232E4">
        <w:rPr>
          <w:rFonts w:eastAsia="PMingLiU"/>
          <w:lang w:eastAsia="zh-CN"/>
        </w:rPr>
        <w:t>1</w:t>
      </w:r>
      <w:r w:rsidR="00835CCD">
        <w:rPr>
          <w:rFonts w:eastAsia="PMingLiU"/>
          <w:lang w:eastAsia="zh-CN"/>
        </w:rPr>
        <w:t>9</w:t>
      </w:r>
      <w:r w:rsidR="00835CCD" w:rsidRPr="007232E4">
        <w:rPr>
          <w:rFonts w:eastAsia="PMingLiU"/>
          <w:lang w:eastAsia="zh-CN"/>
        </w:rPr>
        <w:t xml:space="preserve"> </w:t>
      </w:r>
      <w:r w:rsidRPr="007232E4">
        <w:rPr>
          <w:rFonts w:eastAsia="PMingLiU"/>
          <w:lang w:eastAsia="zh-CN"/>
        </w:rPr>
        <w:t xml:space="preserve">está resumida a análise da PFS por subgrupos tendo em conta o estadio da doença e o estadio após citoredução. Estes resultados demonstram a robustez da análise primária da PFS apresentada na Tabela </w:t>
      </w:r>
      <w:r w:rsidR="00835CCD" w:rsidRPr="007232E4">
        <w:rPr>
          <w:rFonts w:eastAsia="PMingLiU"/>
          <w:lang w:eastAsia="zh-CN"/>
        </w:rPr>
        <w:t>1</w:t>
      </w:r>
      <w:r w:rsidR="00835CCD">
        <w:rPr>
          <w:rFonts w:eastAsia="PMingLiU"/>
          <w:lang w:eastAsia="zh-CN"/>
        </w:rPr>
        <w:t>8</w:t>
      </w:r>
      <w:r w:rsidRPr="007232E4">
        <w:rPr>
          <w:rFonts w:eastAsia="PMingLiU"/>
          <w:lang w:eastAsia="zh-CN"/>
        </w:rPr>
        <w:t>.</w:t>
      </w:r>
    </w:p>
    <w:p w14:paraId="47605D10" w14:textId="77777777" w:rsidR="00400398" w:rsidRPr="007232E4" w:rsidRDefault="00400398" w:rsidP="000E634D"/>
    <w:p w14:paraId="56DEF758" w14:textId="77777777" w:rsidR="00400398" w:rsidRPr="007232E4" w:rsidRDefault="00400398" w:rsidP="00AA1367">
      <w:pPr>
        <w:keepNext/>
        <w:keepLines/>
        <w:widowControl w:val="0"/>
        <w:ind w:left="1134" w:hanging="1134"/>
        <w:rPr>
          <w:b/>
        </w:rPr>
      </w:pPr>
      <w:r w:rsidRPr="007232E4">
        <w:rPr>
          <w:b/>
        </w:rPr>
        <w:lastRenderedPageBreak/>
        <w:t xml:space="preserve">Tabela </w:t>
      </w:r>
      <w:r w:rsidR="00835CCD" w:rsidRPr="007232E4">
        <w:rPr>
          <w:b/>
        </w:rPr>
        <w:t>1</w:t>
      </w:r>
      <w:r w:rsidR="00835CCD">
        <w:rPr>
          <w:b/>
        </w:rPr>
        <w:t>9</w:t>
      </w:r>
      <w:r w:rsidR="00812456">
        <w:rPr>
          <w:b/>
        </w:rPr>
        <w:tab/>
      </w:r>
      <w:r w:rsidRPr="007232E4">
        <w:rPr>
          <w:b/>
        </w:rPr>
        <w:t>Resultados da PFS</w:t>
      </w:r>
      <w:r w:rsidRPr="007232E4">
        <w:rPr>
          <w:b/>
          <w:vertAlign w:val="superscript"/>
        </w:rPr>
        <w:t>1</w:t>
      </w:r>
      <w:r w:rsidRPr="007232E4">
        <w:rPr>
          <w:b/>
        </w:rPr>
        <w:t xml:space="preserve"> do ensaio BO17707 (ICON7) por estadio da doença e estadio após citoredução</w:t>
      </w:r>
    </w:p>
    <w:tbl>
      <w:tblPr>
        <w:tblW w:w="481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2759"/>
        <w:gridCol w:w="2610"/>
        <w:gridCol w:w="3348"/>
      </w:tblGrid>
      <w:tr w:rsidR="00400398" w:rsidRPr="00215594" w14:paraId="6A651640" w14:textId="77777777" w:rsidTr="001E05C2">
        <w:tc>
          <w:tcPr>
            <w:tcW w:w="8857" w:type="dxa"/>
            <w:gridSpan w:val="3"/>
            <w:tcBorders>
              <w:top w:val="single" w:sz="6" w:space="0" w:color="000000"/>
              <w:left w:val="single" w:sz="4" w:space="0" w:color="auto"/>
              <w:bottom w:val="single" w:sz="6" w:space="0" w:color="000000"/>
              <w:right w:val="single" w:sz="4" w:space="0" w:color="auto"/>
            </w:tcBorders>
          </w:tcPr>
          <w:p w14:paraId="42C3BE37" w14:textId="77777777" w:rsidR="00400398" w:rsidRPr="00215594" w:rsidRDefault="00400398" w:rsidP="000C3BFB">
            <w:pPr>
              <w:pStyle w:val="TableText10"/>
              <w:keepNext/>
              <w:keepLines/>
              <w:widowControl w:val="0"/>
              <w:spacing w:line="280" w:lineRule="atLeast"/>
            </w:pPr>
            <w:r w:rsidRPr="00215594">
              <w:t>Doentes aleatorizados de estadio III com citoredução ótima</w:t>
            </w:r>
            <w:r w:rsidRPr="00215594">
              <w:rPr>
                <w:vertAlign w:val="superscript"/>
              </w:rPr>
              <w:t xml:space="preserve"> 2,3</w:t>
            </w:r>
          </w:p>
        </w:tc>
      </w:tr>
      <w:tr w:rsidR="00400398" w:rsidRPr="00215594" w14:paraId="7ED7C226" w14:textId="77777777" w:rsidTr="001E05C2">
        <w:tc>
          <w:tcPr>
            <w:tcW w:w="2803" w:type="dxa"/>
            <w:tcBorders>
              <w:top w:val="nil"/>
              <w:left w:val="single" w:sz="4" w:space="0" w:color="auto"/>
              <w:bottom w:val="nil"/>
            </w:tcBorders>
          </w:tcPr>
          <w:p w14:paraId="43138006" w14:textId="77777777" w:rsidR="00400398" w:rsidRPr="007232E4" w:rsidRDefault="00400398" w:rsidP="000C3BFB">
            <w:pPr>
              <w:pStyle w:val="TableText10"/>
              <w:keepNext/>
              <w:keepLines/>
              <w:widowControl w:val="0"/>
              <w:spacing w:line="280" w:lineRule="atLeast"/>
              <w:jc w:val="center"/>
              <w:rPr>
                <w:rFonts w:eastAsia="MS Mincho"/>
              </w:rPr>
            </w:pPr>
          </w:p>
        </w:tc>
        <w:tc>
          <w:tcPr>
            <w:tcW w:w="2652" w:type="dxa"/>
            <w:tcBorders>
              <w:top w:val="nil"/>
              <w:bottom w:val="nil"/>
            </w:tcBorders>
            <w:vAlign w:val="center"/>
          </w:tcPr>
          <w:p w14:paraId="5E2339CC" w14:textId="77777777" w:rsidR="00400398" w:rsidRPr="00C82494" w:rsidRDefault="00400398" w:rsidP="000C3BFB">
            <w:pPr>
              <w:pStyle w:val="NormalWeb"/>
              <w:keepNext/>
              <w:keepLines/>
              <w:widowControl w:val="0"/>
              <w:spacing w:before="0" w:beforeAutospacing="0" w:after="0" w:afterAutospacing="0" w:line="280" w:lineRule="atLeast"/>
              <w:jc w:val="center"/>
              <w:rPr>
                <w:rFonts w:ascii="Arial" w:hAnsi="Arial"/>
                <w:noProof/>
                <w:sz w:val="20"/>
              </w:rPr>
            </w:pPr>
            <w:r w:rsidRPr="00C82494">
              <w:rPr>
                <w:noProof/>
                <w:sz w:val="20"/>
              </w:rPr>
              <w:t>CP</w:t>
            </w:r>
          </w:p>
          <w:p w14:paraId="086D3C3A" w14:textId="77777777" w:rsidR="00400398" w:rsidRPr="00C82494" w:rsidRDefault="00400398" w:rsidP="000C3BFB">
            <w:pPr>
              <w:keepNext/>
              <w:keepLines/>
              <w:widowControl w:val="0"/>
              <w:jc w:val="center"/>
              <w:rPr>
                <w:rFonts w:ascii="Arial" w:eastAsia="SimSun" w:hAnsi="Arial"/>
                <w:noProof/>
                <w:sz w:val="20"/>
              </w:rPr>
            </w:pPr>
            <w:r w:rsidRPr="00215594">
              <w:rPr>
                <w:noProof/>
                <w:sz w:val="20"/>
              </w:rPr>
              <w:t xml:space="preserve"> (n = 368)</w:t>
            </w:r>
          </w:p>
        </w:tc>
        <w:tc>
          <w:tcPr>
            <w:tcW w:w="3402" w:type="dxa"/>
            <w:tcBorders>
              <w:top w:val="nil"/>
              <w:bottom w:val="nil"/>
              <w:right w:val="single" w:sz="4" w:space="0" w:color="auto"/>
            </w:tcBorders>
            <w:vAlign w:val="center"/>
          </w:tcPr>
          <w:p w14:paraId="61AC2CDF" w14:textId="77777777" w:rsidR="00400398" w:rsidRPr="00C82494" w:rsidRDefault="00400398" w:rsidP="000C3BFB">
            <w:pPr>
              <w:keepNext/>
              <w:keepLines/>
              <w:widowControl w:val="0"/>
              <w:jc w:val="center"/>
              <w:rPr>
                <w:rFonts w:ascii="Arial" w:eastAsia="SimSun" w:hAnsi="Arial"/>
                <w:noProof/>
                <w:sz w:val="20"/>
              </w:rPr>
            </w:pPr>
            <w:r w:rsidRPr="00215594">
              <w:rPr>
                <w:noProof/>
                <w:sz w:val="20"/>
              </w:rPr>
              <w:t>CPB7,5+</w:t>
            </w:r>
          </w:p>
          <w:p w14:paraId="254262DF" w14:textId="77777777" w:rsidR="00400398" w:rsidRPr="00C82494" w:rsidRDefault="00400398" w:rsidP="000C3BFB">
            <w:pPr>
              <w:pStyle w:val="TableText10"/>
              <w:keepNext/>
              <w:keepLines/>
              <w:widowControl w:val="0"/>
              <w:spacing w:line="280" w:lineRule="atLeast"/>
              <w:jc w:val="center"/>
              <w:rPr>
                <w:rFonts w:eastAsia="MS Mincho"/>
                <w:noProof/>
              </w:rPr>
            </w:pPr>
            <w:r w:rsidRPr="00215594">
              <w:rPr>
                <w:noProof/>
              </w:rPr>
              <w:t xml:space="preserve"> (n = 383)</w:t>
            </w:r>
          </w:p>
        </w:tc>
      </w:tr>
      <w:tr w:rsidR="00400398" w:rsidRPr="00215594" w14:paraId="451F283D" w14:textId="77777777" w:rsidTr="001E05C2">
        <w:tc>
          <w:tcPr>
            <w:tcW w:w="2803" w:type="dxa"/>
            <w:tcBorders>
              <w:top w:val="nil"/>
              <w:left w:val="single" w:sz="4" w:space="0" w:color="auto"/>
              <w:bottom w:val="nil"/>
            </w:tcBorders>
          </w:tcPr>
          <w:p w14:paraId="36403466" w14:textId="77777777" w:rsidR="00400398" w:rsidRPr="00C82494" w:rsidRDefault="00400398" w:rsidP="000C3BFB">
            <w:pPr>
              <w:pStyle w:val="TableText10"/>
              <w:keepNext/>
              <w:keepLines/>
              <w:widowControl w:val="0"/>
              <w:spacing w:line="280" w:lineRule="atLeast"/>
              <w:rPr>
                <w:rFonts w:ascii="Arial" w:eastAsia="SimSun" w:hAnsi="Arial"/>
                <w:noProof/>
              </w:rPr>
            </w:pPr>
            <w:r w:rsidRPr="00215594">
              <w:rPr>
                <w:noProof/>
              </w:rPr>
              <w:t>PFS mediana (meses)</w:t>
            </w:r>
          </w:p>
        </w:tc>
        <w:tc>
          <w:tcPr>
            <w:tcW w:w="2652" w:type="dxa"/>
            <w:tcBorders>
              <w:top w:val="nil"/>
              <w:bottom w:val="nil"/>
            </w:tcBorders>
            <w:vAlign w:val="center"/>
          </w:tcPr>
          <w:p w14:paraId="58270BFD" w14:textId="77777777" w:rsidR="00400398" w:rsidRPr="00C82494" w:rsidRDefault="00400398" w:rsidP="000C3BFB">
            <w:pPr>
              <w:keepNext/>
              <w:keepLines/>
              <w:widowControl w:val="0"/>
              <w:jc w:val="center"/>
              <w:rPr>
                <w:rFonts w:ascii="Arial" w:eastAsia="SimSun" w:hAnsi="Arial"/>
                <w:noProof/>
                <w:sz w:val="20"/>
              </w:rPr>
            </w:pPr>
            <w:r w:rsidRPr="00215594">
              <w:rPr>
                <w:noProof/>
                <w:sz w:val="20"/>
              </w:rPr>
              <w:t>17,7</w:t>
            </w:r>
          </w:p>
        </w:tc>
        <w:tc>
          <w:tcPr>
            <w:tcW w:w="3402" w:type="dxa"/>
            <w:tcBorders>
              <w:top w:val="nil"/>
              <w:bottom w:val="nil"/>
              <w:right w:val="single" w:sz="4" w:space="0" w:color="auto"/>
            </w:tcBorders>
            <w:vAlign w:val="center"/>
          </w:tcPr>
          <w:p w14:paraId="6D03C811" w14:textId="77777777" w:rsidR="00400398" w:rsidRPr="00C82494" w:rsidRDefault="00400398" w:rsidP="000C3BFB">
            <w:pPr>
              <w:pStyle w:val="TableText10"/>
              <w:keepNext/>
              <w:keepLines/>
              <w:widowControl w:val="0"/>
              <w:spacing w:line="280" w:lineRule="atLeast"/>
              <w:jc w:val="center"/>
              <w:rPr>
                <w:rFonts w:eastAsia="MS Mincho"/>
                <w:noProof/>
              </w:rPr>
            </w:pPr>
            <w:r w:rsidRPr="00215594">
              <w:rPr>
                <w:noProof/>
              </w:rPr>
              <w:t>19,3</w:t>
            </w:r>
          </w:p>
        </w:tc>
      </w:tr>
      <w:tr w:rsidR="00400398" w:rsidRPr="00215594" w14:paraId="368F2F55" w14:textId="77777777" w:rsidTr="001E05C2">
        <w:tc>
          <w:tcPr>
            <w:tcW w:w="2803" w:type="dxa"/>
            <w:tcBorders>
              <w:top w:val="nil"/>
              <w:left w:val="single" w:sz="4" w:space="0" w:color="auto"/>
              <w:bottom w:val="nil"/>
            </w:tcBorders>
          </w:tcPr>
          <w:p w14:paraId="575793EF" w14:textId="77777777" w:rsidR="00400398" w:rsidRPr="007232E4" w:rsidRDefault="00400398" w:rsidP="000C3BFB">
            <w:pPr>
              <w:keepNext/>
              <w:keepLines/>
              <w:widowControl w:val="0"/>
              <w:rPr>
                <w:rFonts w:ascii="Arial" w:eastAsia="SimSun" w:hAnsi="Arial"/>
                <w:sz w:val="20"/>
                <w:szCs w:val="24"/>
                <w:lang w:eastAsia="zh-CN"/>
              </w:rPr>
            </w:pPr>
            <w:r w:rsidRPr="00215594">
              <w:rPr>
                <w:i/>
                <w:sz w:val="20"/>
              </w:rPr>
              <w:t>Hazard ratio</w:t>
            </w:r>
            <w:r w:rsidRPr="00215594">
              <w:rPr>
                <w:sz w:val="20"/>
              </w:rPr>
              <w:t xml:space="preserve"> (taxa de risco) (IC 95%)</w:t>
            </w:r>
            <w:r w:rsidRPr="00215594">
              <w:rPr>
                <w:sz w:val="20"/>
                <w:vertAlign w:val="superscript"/>
              </w:rPr>
              <w:t>4</w:t>
            </w:r>
          </w:p>
        </w:tc>
        <w:tc>
          <w:tcPr>
            <w:tcW w:w="2652" w:type="dxa"/>
            <w:tcBorders>
              <w:top w:val="nil"/>
              <w:bottom w:val="nil"/>
            </w:tcBorders>
            <w:vAlign w:val="center"/>
          </w:tcPr>
          <w:p w14:paraId="55D3279E" w14:textId="77777777" w:rsidR="00400398" w:rsidRPr="007232E4" w:rsidRDefault="00400398" w:rsidP="000C3BFB">
            <w:pPr>
              <w:keepNext/>
              <w:keepLines/>
              <w:widowControl w:val="0"/>
              <w:jc w:val="center"/>
              <w:rPr>
                <w:rFonts w:ascii="Arial" w:eastAsia="SimSun" w:hAnsi="Arial"/>
                <w:sz w:val="20"/>
                <w:szCs w:val="24"/>
                <w:lang w:eastAsia="zh-CN"/>
              </w:rPr>
            </w:pPr>
          </w:p>
        </w:tc>
        <w:tc>
          <w:tcPr>
            <w:tcW w:w="3402" w:type="dxa"/>
            <w:tcBorders>
              <w:top w:val="nil"/>
              <w:bottom w:val="nil"/>
              <w:right w:val="single" w:sz="4" w:space="0" w:color="auto"/>
            </w:tcBorders>
            <w:vAlign w:val="center"/>
          </w:tcPr>
          <w:p w14:paraId="20A3B28A" w14:textId="77777777" w:rsidR="00400398" w:rsidRPr="00C82494" w:rsidRDefault="00400398" w:rsidP="000C3BFB">
            <w:pPr>
              <w:keepNext/>
              <w:keepLines/>
              <w:widowControl w:val="0"/>
              <w:jc w:val="center"/>
              <w:rPr>
                <w:rFonts w:ascii="Arial" w:eastAsia="SimSun" w:hAnsi="Arial"/>
                <w:noProof/>
                <w:sz w:val="20"/>
              </w:rPr>
            </w:pPr>
            <w:r w:rsidRPr="00215594">
              <w:rPr>
                <w:noProof/>
                <w:sz w:val="20"/>
              </w:rPr>
              <w:t>0,89</w:t>
            </w:r>
          </w:p>
          <w:p w14:paraId="43051F51" w14:textId="77777777" w:rsidR="00400398" w:rsidRPr="00215594" w:rsidRDefault="00400398" w:rsidP="000C3BFB">
            <w:pPr>
              <w:pStyle w:val="TableText10"/>
              <w:keepNext/>
              <w:keepLines/>
              <w:widowControl w:val="0"/>
              <w:spacing w:line="280" w:lineRule="atLeast"/>
              <w:jc w:val="center"/>
              <w:rPr>
                <w:noProof/>
              </w:rPr>
            </w:pPr>
            <w:r w:rsidRPr="00215594">
              <w:rPr>
                <w:noProof/>
              </w:rPr>
              <w:t>(0,74; 1,07)</w:t>
            </w:r>
          </w:p>
        </w:tc>
      </w:tr>
      <w:tr w:rsidR="00400398" w:rsidRPr="00215594" w14:paraId="5B52BAF9" w14:textId="77777777" w:rsidTr="001E05C2">
        <w:tc>
          <w:tcPr>
            <w:tcW w:w="8857" w:type="dxa"/>
            <w:gridSpan w:val="3"/>
            <w:tcBorders>
              <w:top w:val="single" w:sz="4" w:space="0" w:color="auto"/>
              <w:left w:val="single" w:sz="4" w:space="0" w:color="auto"/>
              <w:bottom w:val="single" w:sz="4" w:space="0" w:color="auto"/>
              <w:right w:val="single" w:sz="4" w:space="0" w:color="auto"/>
            </w:tcBorders>
          </w:tcPr>
          <w:p w14:paraId="2E179F9B" w14:textId="77777777" w:rsidR="00400398" w:rsidRPr="007232E4" w:rsidRDefault="00400398" w:rsidP="000C3BFB">
            <w:pPr>
              <w:pStyle w:val="TableText10"/>
              <w:keepNext/>
              <w:keepLines/>
              <w:widowControl w:val="0"/>
              <w:spacing w:line="280" w:lineRule="atLeast"/>
              <w:rPr>
                <w:rFonts w:eastAsia="MS Mincho"/>
              </w:rPr>
            </w:pPr>
            <w:r w:rsidRPr="00215594">
              <w:t>Doentes aleatorizados de estadio III com citoredução sub-ótima</w:t>
            </w:r>
            <w:r w:rsidRPr="00215594">
              <w:rPr>
                <w:bCs/>
                <w:vertAlign w:val="superscript"/>
              </w:rPr>
              <w:t>3</w:t>
            </w:r>
          </w:p>
        </w:tc>
      </w:tr>
      <w:tr w:rsidR="00400398" w:rsidRPr="00215594" w14:paraId="2DFCB0E2" w14:textId="77777777" w:rsidTr="001E05C2">
        <w:tc>
          <w:tcPr>
            <w:tcW w:w="2803" w:type="dxa"/>
            <w:tcBorders>
              <w:top w:val="nil"/>
              <w:left w:val="single" w:sz="4" w:space="0" w:color="auto"/>
              <w:bottom w:val="nil"/>
            </w:tcBorders>
          </w:tcPr>
          <w:p w14:paraId="0FDBCF1B" w14:textId="77777777" w:rsidR="00400398" w:rsidRPr="007232E4" w:rsidRDefault="00400398" w:rsidP="000C3BFB">
            <w:pPr>
              <w:pStyle w:val="TableText10"/>
              <w:keepNext/>
              <w:keepLines/>
              <w:widowControl w:val="0"/>
              <w:spacing w:line="280" w:lineRule="atLeast"/>
              <w:jc w:val="center"/>
              <w:rPr>
                <w:rFonts w:eastAsia="MS Mincho"/>
              </w:rPr>
            </w:pPr>
          </w:p>
        </w:tc>
        <w:tc>
          <w:tcPr>
            <w:tcW w:w="2652" w:type="dxa"/>
            <w:tcBorders>
              <w:top w:val="nil"/>
              <w:bottom w:val="nil"/>
            </w:tcBorders>
            <w:vAlign w:val="center"/>
          </w:tcPr>
          <w:p w14:paraId="7EA500D1" w14:textId="77777777" w:rsidR="00400398" w:rsidRPr="00C82494" w:rsidRDefault="00400398" w:rsidP="000C3BFB">
            <w:pPr>
              <w:keepNext/>
              <w:keepLines/>
              <w:widowControl w:val="0"/>
              <w:jc w:val="center"/>
              <w:rPr>
                <w:rFonts w:ascii="Arial" w:eastAsia="SimSun" w:hAnsi="Arial"/>
                <w:noProof/>
                <w:sz w:val="20"/>
              </w:rPr>
            </w:pPr>
            <w:r w:rsidRPr="00215594">
              <w:rPr>
                <w:noProof/>
                <w:sz w:val="20"/>
              </w:rPr>
              <w:t>CP</w:t>
            </w:r>
          </w:p>
          <w:p w14:paraId="1B1D531B" w14:textId="77777777" w:rsidR="00400398" w:rsidRPr="00C82494" w:rsidRDefault="00400398" w:rsidP="000C3BFB">
            <w:pPr>
              <w:keepNext/>
              <w:keepLines/>
              <w:widowControl w:val="0"/>
              <w:jc w:val="center"/>
              <w:rPr>
                <w:rFonts w:ascii="Arial" w:eastAsia="SimSun" w:hAnsi="Arial"/>
                <w:noProof/>
                <w:sz w:val="20"/>
              </w:rPr>
            </w:pPr>
            <w:r w:rsidRPr="00215594">
              <w:rPr>
                <w:noProof/>
                <w:sz w:val="20"/>
              </w:rPr>
              <w:t>(n = 154)</w:t>
            </w:r>
          </w:p>
        </w:tc>
        <w:tc>
          <w:tcPr>
            <w:tcW w:w="3402" w:type="dxa"/>
            <w:tcBorders>
              <w:top w:val="nil"/>
              <w:bottom w:val="nil"/>
              <w:right w:val="single" w:sz="4" w:space="0" w:color="auto"/>
            </w:tcBorders>
            <w:vAlign w:val="center"/>
          </w:tcPr>
          <w:p w14:paraId="4F09EBFA" w14:textId="77777777" w:rsidR="00400398" w:rsidRPr="00C82494" w:rsidRDefault="00400398" w:rsidP="000C3BFB">
            <w:pPr>
              <w:keepNext/>
              <w:keepLines/>
              <w:widowControl w:val="0"/>
              <w:jc w:val="center"/>
              <w:rPr>
                <w:rFonts w:ascii="Arial" w:eastAsia="SimSun" w:hAnsi="Arial"/>
                <w:noProof/>
                <w:sz w:val="20"/>
              </w:rPr>
            </w:pPr>
            <w:r w:rsidRPr="00215594">
              <w:rPr>
                <w:noProof/>
                <w:sz w:val="20"/>
              </w:rPr>
              <w:t>CPB7,5+</w:t>
            </w:r>
          </w:p>
          <w:p w14:paraId="4AAEC65D" w14:textId="77777777" w:rsidR="00400398" w:rsidRPr="00C82494" w:rsidRDefault="00400398" w:rsidP="000C3BFB">
            <w:pPr>
              <w:keepNext/>
              <w:keepLines/>
              <w:widowControl w:val="0"/>
              <w:jc w:val="center"/>
              <w:rPr>
                <w:rFonts w:ascii="Arial" w:eastAsia="SimSun" w:hAnsi="Arial"/>
                <w:noProof/>
                <w:sz w:val="20"/>
              </w:rPr>
            </w:pPr>
            <w:r w:rsidRPr="00215594">
              <w:rPr>
                <w:noProof/>
                <w:sz w:val="20"/>
              </w:rPr>
              <w:t xml:space="preserve"> (n = 140)</w:t>
            </w:r>
            <w:r w:rsidRPr="00215594">
              <w:rPr>
                <w:noProof/>
                <w:sz w:val="20"/>
                <w:vertAlign w:val="superscript"/>
              </w:rPr>
              <w:t xml:space="preserve"> </w:t>
            </w:r>
          </w:p>
        </w:tc>
      </w:tr>
      <w:tr w:rsidR="00400398" w:rsidRPr="00215594" w14:paraId="48FBE11D" w14:textId="77777777" w:rsidTr="001E05C2">
        <w:tc>
          <w:tcPr>
            <w:tcW w:w="2803" w:type="dxa"/>
            <w:tcBorders>
              <w:top w:val="nil"/>
              <w:left w:val="single" w:sz="4" w:space="0" w:color="auto"/>
              <w:bottom w:val="nil"/>
            </w:tcBorders>
          </w:tcPr>
          <w:p w14:paraId="521A926F" w14:textId="77777777" w:rsidR="00400398" w:rsidRPr="00C82494" w:rsidRDefault="00400398" w:rsidP="000C3BFB">
            <w:pPr>
              <w:pStyle w:val="TableText10"/>
              <w:keepNext/>
              <w:keepLines/>
              <w:widowControl w:val="0"/>
              <w:spacing w:line="280" w:lineRule="atLeast"/>
              <w:rPr>
                <w:rFonts w:ascii="Arial" w:eastAsia="SimSun" w:hAnsi="Arial"/>
                <w:noProof/>
              </w:rPr>
            </w:pPr>
            <w:r w:rsidRPr="00215594">
              <w:rPr>
                <w:noProof/>
              </w:rPr>
              <w:t>PFS mediana (meses)</w:t>
            </w:r>
          </w:p>
        </w:tc>
        <w:tc>
          <w:tcPr>
            <w:tcW w:w="2652" w:type="dxa"/>
            <w:tcBorders>
              <w:top w:val="nil"/>
              <w:bottom w:val="nil"/>
            </w:tcBorders>
            <w:vAlign w:val="center"/>
          </w:tcPr>
          <w:p w14:paraId="60709F56" w14:textId="77777777" w:rsidR="00400398" w:rsidRPr="00C82494" w:rsidRDefault="00400398" w:rsidP="000C3BFB">
            <w:pPr>
              <w:keepNext/>
              <w:keepLines/>
              <w:widowControl w:val="0"/>
              <w:jc w:val="center"/>
              <w:rPr>
                <w:rFonts w:ascii="Arial" w:eastAsia="SimSun" w:hAnsi="Arial"/>
                <w:noProof/>
                <w:sz w:val="20"/>
              </w:rPr>
            </w:pPr>
            <w:r w:rsidRPr="00215594">
              <w:rPr>
                <w:noProof/>
                <w:sz w:val="20"/>
              </w:rPr>
              <w:t>10,1</w:t>
            </w:r>
          </w:p>
        </w:tc>
        <w:tc>
          <w:tcPr>
            <w:tcW w:w="3402" w:type="dxa"/>
            <w:tcBorders>
              <w:top w:val="nil"/>
              <w:bottom w:val="nil"/>
              <w:right w:val="single" w:sz="4" w:space="0" w:color="auto"/>
            </w:tcBorders>
            <w:vAlign w:val="center"/>
          </w:tcPr>
          <w:p w14:paraId="5B9D9F7A" w14:textId="77777777" w:rsidR="00400398" w:rsidRPr="00C82494" w:rsidRDefault="00400398" w:rsidP="000C3BFB">
            <w:pPr>
              <w:pStyle w:val="TableText10"/>
              <w:keepNext/>
              <w:keepLines/>
              <w:widowControl w:val="0"/>
              <w:spacing w:line="280" w:lineRule="atLeast"/>
              <w:jc w:val="center"/>
              <w:rPr>
                <w:rFonts w:eastAsia="MS Mincho"/>
                <w:noProof/>
              </w:rPr>
            </w:pPr>
            <w:r w:rsidRPr="00215594">
              <w:rPr>
                <w:noProof/>
              </w:rPr>
              <w:t>16,9</w:t>
            </w:r>
          </w:p>
        </w:tc>
      </w:tr>
      <w:tr w:rsidR="00400398" w:rsidRPr="00215594" w14:paraId="78FB2D57" w14:textId="77777777" w:rsidTr="001E05C2">
        <w:tc>
          <w:tcPr>
            <w:tcW w:w="2803" w:type="dxa"/>
            <w:tcBorders>
              <w:top w:val="nil"/>
              <w:left w:val="single" w:sz="4" w:space="0" w:color="auto"/>
              <w:bottom w:val="nil"/>
            </w:tcBorders>
          </w:tcPr>
          <w:p w14:paraId="01F7EE8E" w14:textId="77777777" w:rsidR="00400398" w:rsidRPr="00215594" w:rsidRDefault="00400398" w:rsidP="000C3BFB">
            <w:pPr>
              <w:keepNext/>
              <w:keepLines/>
              <w:widowControl w:val="0"/>
              <w:rPr>
                <w:sz w:val="20"/>
              </w:rPr>
            </w:pPr>
            <w:r w:rsidRPr="00215594">
              <w:rPr>
                <w:i/>
                <w:sz w:val="20"/>
              </w:rPr>
              <w:t>Hazard ratio</w:t>
            </w:r>
            <w:r w:rsidRPr="00215594">
              <w:rPr>
                <w:sz w:val="20"/>
              </w:rPr>
              <w:t xml:space="preserve"> (taxa de risco)</w:t>
            </w:r>
          </w:p>
          <w:p w14:paraId="1F8768F9" w14:textId="77777777" w:rsidR="00400398" w:rsidRPr="007232E4" w:rsidRDefault="00400398" w:rsidP="000C3BFB">
            <w:pPr>
              <w:keepNext/>
              <w:keepLines/>
              <w:widowControl w:val="0"/>
              <w:rPr>
                <w:rFonts w:ascii="Arial" w:eastAsia="SimSun" w:hAnsi="Arial"/>
                <w:sz w:val="20"/>
                <w:szCs w:val="24"/>
                <w:lang w:eastAsia="zh-CN"/>
              </w:rPr>
            </w:pPr>
            <w:r w:rsidRPr="00215594">
              <w:rPr>
                <w:sz w:val="20"/>
              </w:rPr>
              <w:t>(IC 95%)</w:t>
            </w:r>
            <w:r w:rsidRPr="00215594">
              <w:rPr>
                <w:sz w:val="20"/>
                <w:vertAlign w:val="superscript"/>
              </w:rPr>
              <w:t>4</w:t>
            </w:r>
          </w:p>
        </w:tc>
        <w:tc>
          <w:tcPr>
            <w:tcW w:w="2652" w:type="dxa"/>
            <w:tcBorders>
              <w:top w:val="nil"/>
              <w:bottom w:val="nil"/>
            </w:tcBorders>
            <w:vAlign w:val="center"/>
          </w:tcPr>
          <w:p w14:paraId="28D2D275" w14:textId="77777777" w:rsidR="00400398" w:rsidRPr="007232E4" w:rsidRDefault="00400398" w:rsidP="000C3BFB">
            <w:pPr>
              <w:keepNext/>
              <w:keepLines/>
              <w:widowControl w:val="0"/>
              <w:jc w:val="center"/>
              <w:rPr>
                <w:rFonts w:ascii="Arial" w:eastAsia="SimSun" w:hAnsi="Arial"/>
                <w:sz w:val="20"/>
                <w:szCs w:val="24"/>
                <w:lang w:eastAsia="zh-CN"/>
              </w:rPr>
            </w:pPr>
          </w:p>
        </w:tc>
        <w:tc>
          <w:tcPr>
            <w:tcW w:w="3402" w:type="dxa"/>
            <w:tcBorders>
              <w:top w:val="nil"/>
              <w:bottom w:val="nil"/>
              <w:right w:val="single" w:sz="4" w:space="0" w:color="auto"/>
            </w:tcBorders>
            <w:vAlign w:val="center"/>
          </w:tcPr>
          <w:p w14:paraId="3AE08D40" w14:textId="77777777" w:rsidR="00400398" w:rsidRPr="00C82494" w:rsidRDefault="00400398" w:rsidP="000C3BFB">
            <w:pPr>
              <w:keepNext/>
              <w:keepLines/>
              <w:widowControl w:val="0"/>
              <w:jc w:val="center"/>
              <w:rPr>
                <w:rFonts w:ascii="Arial" w:eastAsia="SimSun" w:hAnsi="Arial"/>
                <w:noProof/>
                <w:sz w:val="20"/>
              </w:rPr>
            </w:pPr>
            <w:r w:rsidRPr="00215594">
              <w:rPr>
                <w:noProof/>
                <w:sz w:val="20"/>
              </w:rPr>
              <w:t>0,67</w:t>
            </w:r>
          </w:p>
          <w:p w14:paraId="5397934F" w14:textId="77777777" w:rsidR="00400398" w:rsidRPr="00C82494" w:rsidRDefault="00400398" w:rsidP="000C3BFB">
            <w:pPr>
              <w:pStyle w:val="TableText10"/>
              <w:keepNext/>
              <w:keepLines/>
              <w:widowControl w:val="0"/>
              <w:spacing w:line="280" w:lineRule="atLeast"/>
              <w:jc w:val="center"/>
              <w:rPr>
                <w:rFonts w:eastAsia="MS Mincho"/>
                <w:noProof/>
              </w:rPr>
            </w:pPr>
            <w:r w:rsidRPr="00215594">
              <w:rPr>
                <w:noProof/>
              </w:rPr>
              <w:t>(0,52; 0,87)</w:t>
            </w:r>
          </w:p>
        </w:tc>
      </w:tr>
      <w:tr w:rsidR="00400398" w:rsidRPr="00215594" w14:paraId="4F5B487C" w14:textId="77777777" w:rsidTr="001E05C2">
        <w:tc>
          <w:tcPr>
            <w:tcW w:w="8857" w:type="dxa"/>
            <w:gridSpan w:val="3"/>
            <w:tcBorders>
              <w:top w:val="single" w:sz="4" w:space="0" w:color="auto"/>
              <w:left w:val="single" w:sz="4" w:space="0" w:color="auto"/>
              <w:bottom w:val="single" w:sz="4" w:space="0" w:color="auto"/>
              <w:right w:val="single" w:sz="4" w:space="0" w:color="auto"/>
            </w:tcBorders>
          </w:tcPr>
          <w:p w14:paraId="5707552B" w14:textId="77777777" w:rsidR="00400398" w:rsidRPr="007232E4" w:rsidRDefault="00400398" w:rsidP="000C3BFB">
            <w:pPr>
              <w:pStyle w:val="TableText10"/>
              <w:keepNext/>
              <w:keepLines/>
              <w:widowControl w:val="0"/>
              <w:spacing w:line="280" w:lineRule="atLeast"/>
              <w:rPr>
                <w:rFonts w:eastAsia="MS Mincho"/>
              </w:rPr>
            </w:pPr>
            <w:r w:rsidRPr="00215594">
              <w:rPr>
                <w:bCs/>
              </w:rPr>
              <w:t>Doentes aleatorizados de estadio IV</w:t>
            </w:r>
          </w:p>
        </w:tc>
      </w:tr>
      <w:tr w:rsidR="00400398" w:rsidRPr="00215594" w14:paraId="216498E9" w14:textId="77777777" w:rsidTr="001E05C2">
        <w:tc>
          <w:tcPr>
            <w:tcW w:w="2803" w:type="dxa"/>
            <w:tcBorders>
              <w:top w:val="nil"/>
              <w:left w:val="single" w:sz="4" w:space="0" w:color="auto"/>
              <w:bottom w:val="nil"/>
            </w:tcBorders>
          </w:tcPr>
          <w:p w14:paraId="7BF88C2B" w14:textId="77777777" w:rsidR="00400398" w:rsidRPr="007232E4" w:rsidRDefault="00400398" w:rsidP="000C3BFB">
            <w:pPr>
              <w:pStyle w:val="TableText10"/>
              <w:keepNext/>
              <w:keepLines/>
              <w:widowControl w:val="0"/>
              <w:spacing w:line="280" w:lineRule="atLeast"/>
              <w:jc w:val="center"/>
              <w:rPr>
                <w:rFonts w:eastAsia="MS Mincho"/>
              </w:rPr>
            </w:pPr>
          </w:p>
        </w:tc>
        <w:tc>
          <w:tcPr>
            <w:tcW w:w="2652" w:type="dxa"/>
            <w:tcBorders>
              <w:top w:val="nil"/>
              <w:bottom w:val="nil"/>
            </w:tcBorders>
            <w:vAlign w:val="center"/>
          </w:tcPr>
          <w:p w14:paraId="092646A2" w14:textId="77777777" w:rsidR="00400398" w:rsidRPr="00C82494" w:rsidRDefault="00400398" w:rsidP="000C3BFB">
            <w:pPr>
              <w:keepNext/>
              <w:keepLines/>
              <w:widowControl w:val="0"/>
              <w:jc w:val="center"/>
              <w:rPr>
                <w:rFonts w:ascii="Arial" w:eastAsia="SimSun" w:hAnsi="Arial"/>
                <w:noProof/>
                <w:sz w:val="20"/>
              </w:rPr>
            </w:pPr>
            <w:r w:rsidRPr="00215594">
              <w:rPr>
                <w:noProof/>
                <w:sz w:val="20"/>
              </w:rPr>
              <w:t>CP</w:t>
            </w:r>
            <w:r w:rsidRPr="00215594">
              <w:rPr>
                <w:noProof/>
                <w:sz w:val="20"/>
              </w:rPr>
              <w:br/>
              <w:t>(n = 97)</w:t>
            </w:r>
          </w:p>
        </w:tc>
        <w:tc>
          <w:tcPr>
            <w:tcW w:w="3402" w:type="dxa"/>
            <w:tcBorders>
              <w:top w:val="nil"/>
              <w:bottom w:val="nil"/>
              <w:right w:val="single" w:sz="4" w:space="0" w:color="auto"/>
            </w:tcBorders>
            <w:vAlign w:val="center"/>
          </w:tcPr>
          <w:p w14:paraId="1C7075D1" w14:textId="77777777" w:rsidR="00400398" w:rsidRPr="00C82494" w:rsidRDefault="00400398" w:rsidP="000C3BFB">
            <w:pPr>
              <w:pStyle w:val="TableText10"/>
              <w:keepNext/>
              <w:keepLines/>
              <w:widowControl w:val="0"/>
              <w:spacing w:line="280" w:lineRule="atLeast"/>
              <w:jc w:val="center"/>
              <w:rPr>
                <w:rFonts w:eastAsia="MS Mincho"/>
                <w:noProof/>
              </w:rPr>
            </w:pPr>
            <w:r w:rsidRPr="00215594">
              <w:rPr>
                <w:noProof/>
              </w:rPr>
              <w:t>CPB7,5+</w:t>
            </w:r>
            <w:r w:rsidRPr="00215594">
              <w:rPr>
                <w:noProof/>
              </w:rPr>
              <w:br/>
              <w:t>(n = 104)</w:t>
            </w:r>
          </w:p>
        </w:tc>
      </w:tr>
      <w:tr w:rsidR="00400398" w:rsidRPr="00215594" w14:paraId="63094601" w14:textId="77777777" w:rsidTr="001E05C2">
        <w:tc>
          <w:tcPr>
            <w:tcW w:w="2803" w:type="dxa"/>
            <w:tcBorders>
              <w:top w:val="nil"/>
              <w:left w:val="single" w:sz="4" w:space="0" w:color="auto"/>
              <w:bottom w:val="nil"/>
            </w:tcBorders>
          </w:tcPr>
          <w:p w14:paraId="2B4AEF26" w14:textId="77777777" w:rsidR="00400398" w:rsidRPr="00C82494" w:rsidRDefault="00400398" w:rsidP="000C3BFB">
            <w:pPr>
              <w:pStyle w:val="TableText10"/>
              <w:keepNext/>
              <w:keepLines/>
              <w:widowControl w:val="0"/>
              <w:spacing w:line="280" w:lineRule="atLeast"/>
              <w:rPr>
                <w:rFonts w:ascii="Arial" w:eastAsia="SimSun" w:hAnsi="Arial"/>
                <w:noProof/>
              </w:rPr>
            </w:pPr>
            <w:r w:rsidRPr="00215594">
              <w:rPr>
                <w:noProof/>
              </w:rPr>
              <w:t>PFS mediana (meses)</w:t>
            </w:r>
          </w:p>
        </w:tc>
        <w:tc>
          <w:tcPr>
            <w:tcW w:w="2652" w:type="dxa"/>
            <w:tcBorders>
              <w:top w:val="nil"/>
              <w:bottom w:val="nil"/>
            </w:tcBorders>
            <w:vAlign w:val="center"/>
          </w:tcPr>
          <w:p w14:paraId="74C549BC" w14:textId="77777777" w:rsidR="00400398" w:rsidRPr="00C82494" w:rsidRDefault="00400398" w:rsidP="000C3BFB">
            <w:pPr>
              <w:keepNext/>
              <w:keepLines/>
              <w:widowControl w:val="0"/>
              <w:jc w:val="center"/>
              <w:rPr>
                <w:rFonts w:ascii="Arial" w:eastAsia="SimSun" w:hAnsi="Arial"/>
                <w:noProof/>
                <w:sz w:val="20"/>
              </w:rPr>
            </w:pPr>
            <w:r w:rsidRPr="00215594">
              <w:rPr>
                <w:noProof/>
                <w:sz w:val="20"/>
              </w:rPr>
              <w:t>10,1</w:t>
            </w:r>
          </w:p>
        </w:tc>
        <w:tc>
          <w:tcPr>
            <w:tcW w:w="3402" w:type="dxa"/>
            <w:tcBorders>
              <w:top w:val="nil"/>
              <w:bottom w:val="nil"/>
              <w:right w:val="single" w:sz="4" w:space="0" w:color="auto"/>
            </w:tcBorders>
            <w:vAlign w:val="center"/>
          </w:tcPr>
          <w:p w14:paraId="4FAAB5B2" w14:textId="77777777" w:rsidR="00400398" w:rsidRPr="00C82494" w:rsidRDefault="00400398" w:rsidP="000C3BFB">
            <w:pPr>
              <w:keepNext/>
              <w:keepLines/>
              <w:widowControl w:val="0"/>
              <w:jc w:val="center"/>
              <w:rPr>
                <w:rFonts w:ascii="Arial" w:eastAsia="SimSun" w:hAnsi="Arial"/>
                <w:noProof/>
                <w:sz w:val="20"/>
              </w:rPr>
            </w:pPr>
            <w:r w:rsidRPr="00215594">
              <w:rPr>
                <w:noProof/>
                <w:sz w:val="20"/>
              </w:rPr>
              <w:t>13,5</w:t>
            </w:r>
          </w:p>
        </w:tc>
      </w:tr>
      <w:tr w:rsidR="00400398" w:rsidRPr="00215594" w14:paraId="39862108" w14:textId="77777777" w:rsidTr="001E05C2">
        <w:tc>
          <w:tcPr>
            <w:tcW w:w="2803" w:type="dxa"/>
            <w:tcBorders>
              <w:top w:val="nil"/>
              <w:left w:val="single" w:sz="4" w:space="0" w:color="auto"/>
              <w:bottom w:val="single" w:sz="4" w:space="0" w:color="auto"/>
            </w:tcBorders>
          </w:tcPr>
          <w:p w14:paraId="75CF741E" w14:textId="77777777" w:rsidR="00400398" w:rsidRPr="00215594" w:rsidRDefault="00400398" w:rsidP="000C3BFB">
            <w:pPr>
              <w:keepNext/>
              <w:keepLines/>
              <w:widowControl w:val="0"/>
              <w:rPr>
                <w:sz w:val="20"/>
              </w:rPr>
            </w:pPr>
            <w:r w:rsidRPr="00215594">
              <w:rPr>
                <w:i/>
                <w:sz w:val="20"/>
              </w:rPr>
              <w:t>Hazard ratio</w:t>
            </w:r>
            <w:r w:rsidRPr="00215594">
              <w:rPr>
                <w:sz w:val="20"/>
              </w:rPr>
              <w:t xml:space="preserve"> (taxa de risco)</w:t>
            </w:r>
          </w:p>
          <w:p w14:paraId="32A6A859" w14:textId="77777777" w:rsidR="00400398" w:rsidRPr="007232E4" w:rsidRDefault="00400398" w:rsidP="000C3BFB">
            <w:pPr>
              <w:keepNext/>
              <w:keepLines/>
              <w:widowControl w:val="0"/>
              <w:rPr>
                <w:rFonts w:ascii="Arial" w:eastAsia="SimSun" w:hAnsi="Arial"/>
                <w:sz w:val="20"/>
                <w:szCs w:val="24"/>
                <w:lang w:eastAsia="zh-CN"/>
              </w:rPr>
            </w:pPr>
            <w:r w:rsidRPr="00215594">
              <w:rPr>
                <w:sz w:val="20"/>
              </w:rPr>
              <w:t>(IC 95%)</w:t>
            </w:r>
            <w:r w:rsidRPr="00215594">
              <w:rPr>
                <w:sz w:val="20"/>
                <w:vertAlign w:val="superscript"/>
              </w:rPr>
              <w:t>4</w:t>
            </w:r>
          </w:p>
        </w:tc>
        <w:tc>
          <w:tcPr>
            <w:tcW w:w="2652" w:type="dxa"/>
            <w:tcBorders>
              <w:top w:val="nil"/>
              <w:bottom w:val="single" w:sz="4" w:space="0" w:color="auto"/>
            </w:tcBorders>
            <w:vAlign w:val="center"/>
          </w:tcPr>
          <w:p w14:paraId="3E952524" w14:textId="77777777" w:rsidR="00400398" w:rsidRPr="007232E4" w:rsidRDefault="00400398" w:rsidP="000C3BFB">
            <w:pPr>
              <w:keepNext/>
              <w:keepLines/>
              <w:widowControl w:val="0"/>
              <w:jc w:val="center"/>
              <w:rPr>
                <w:rFonts w:ascii="Arial" w:eastAsia="SimSun" w:hAnsi="Arial"/>
                <w:sz w:val="20"/>
                <w:szCs w:val="24"/>
                <w:lang w:eastAsia="zh-CN"/>
              </w:rPr>
            </w:pPr>
          </w:p>
        </w:tc>
        <w:tc>
          <w:tcPr>
            <w:tcW w:w="3402" w:type="dxa"/>
            <w:tcBorders>
              <w:top w:val="nil"/>
              <w:bottom w:val="single" w:sz="4" w:space="0" w:color="auto"/>
              <w:right w:val="single" w:sz="4" w:space="0" w:color="auto"/>
            </w:tcBorders>
            <w:vAlign w:val="center"/>
          </w:tcPr>
          <w:p w14:paraId="7ABEA280" w14:textId="77777777" w:rsidR="00400398" w:rsidRPr="00C82494" w:rsidRDefault="00400398" w:rsidP="000C3BFB">
            <w:pPr>
              <w:keepNext/>
              <w:keepLines/>
              <w:widowControl w:val="0"/>
              <w:jc w:val="center"/>
              <w:rPr>
                <w:rFonts w:ascii="Arial" w:eastAsia="SimSun" w:hAnsi="Arial"/>
                <w:noProof/>
                <w:sz w:val="20"/>
              </w:rPr>
            </w:pPr>
            <w:r w:rsidRPr="00215594">
              <w:rPr>
                <w:noProof/>
                <w:sz w:val="20"/>
              </w:rPr>
              <w:t xml:space="preserve">0,74 </w:t>
            </w:r>
          </w:p>
          <w:p w14:paraId="7E6D1330" w14:textId="77777777" w:rsidR="00400398" w:rsidRPr="00C82494" w:rsidRDefault="00400398" w:rsidP="000C3BFB">
            <w:pPr>
              <w:keepNext/>
              <w:keepLines/>
              <w:widowControl w:val="0"/>
              <w:jc w:val="center"/>
              <w:rPr>
                <w:rFonts w:ascii="Arial" w:eastAsia="SimSun" w:hAnsi="Arial"/>
                <w:noProof/>
                <w:sz w:val="20"/>
              </w:rPr>
            </w:pPr>
            <w:r w:rsidRPr="00215594">
              <w:rPr>
                <w:noProof/>
                <w:sz w:val="20"/>
              </w:rPr>
              <w:t>(0,55; 1,01)</w:t>
            </w:r>
          </w:p>
        </w:tc>
      </w:tr>
    </w:tbl>
    <w:p w14:paraId="69AE0ED7" w14:textId="77777777" w:rsidR="00400398" w:rsidRPr="000D181B" w:rsidRDefault="00400398" w:rsidP="000C3BFB">
      <w:pPr>
        <w:keepNext/>
        <w:keepLines/>
        <w:widowControl w:val="0"/>
        <w:rPr>
          <w:sz w:val="20"/>
        </w:rPr>
      </w:pPr>
      <w:r w:rsidRPr="00757AC1">
        <w:rPr>
          <w:sz w:val="20"/>
          <w:vertAlign w:val="superscript"/>
        </w:rPr>
        <w:t xml:space="preserve">1 </w:t>
      </w:r>
      <w:r w:rsidRPr="00002502">
        <w:rPr>
          <w:sz w:val="20"/>
        </w:rPr>
        <w:t>Análise PFS avaliada pelo investigador com data</w:t>
      </w:r>
      <w:r w:rsidRPr="004D2086">
        <w:rPr>
          <w:sz w:val="20"/>
        </w:rPr>
        <w:t xml:space="preserve"> </w:t>
      </w:r>
      <w:r w:rsidRPr="004D2086">
        <w:rPr>
          <w:i/>
          <w:sz w:val="20"/>
        </w:rPr>
        <w:t xml:space="preserve">cut-off </w:t>
      </w:r>
      <w:r w:rsidRPr="00C516C1">
        <w:rPr>
          <w:sz w:val="20"/>
        </w:rPr>
        <w:t xml:space="preserve">de dados a </w:t>
      </w:r>
      <w:r w:rsidRPr="00210AD8">
        <w:rPr>
          <w:sz w:val="20"/>
        </w:rPr>
        <w:t>30</w:t>
      </w:r>
      <w:r w:rsidRPr="00B556B3">
        <w:rPr>
          <w:sz w:val="20"/>
        </w:rPr>
        <w:t xml:space="preserve"> </w:t>
      </w:r>
      <w:r w:rsidR="00887E12">
        <w:rPr>
          <w:sz w:val="20"/>
        </w:rPr>
        <w:t>n</w:t>
      </w:r>
      <w:r w:rsidRPr="00B556B3">
        <w:rPr>
          <w:sz w:val="20"/>
        </w:rPr>
        <w:t>ovembro 2010.</w:t>
      </w:r>
    </w:p>
    <w:p w14:paraId="557C2D43" w14:textId="77777777" w:rsidR="00400398" w:rsidRPr="00041580" w:rsidRDefault="00400398" w:rsidP="000C3BFB">
      <w:pPr>
        <w:keepNext/>
        <w:keepLines/>
        <w:widowControl w:val="0"/>
        <w:rPr>
          <w:sz w:val="20"/>
        </w:rPr>
      </w:pPr>
      <w:r w:rsidRPr="00DB1E4F">
        <w:rPr>
          <w:sz w:val="20"/>
          <w:vertAlign w:val="superscript"/>
        </w:rPr>
        <w:t>2 </w:t>
      </w:r>
      <w:r w:rsidRPr="00041580">
        <w:rPr>
          <w:sz w:val="20"/>
        </w:rPr>
        <w:t>Com ou sem doença residual visível.</w:t>
      </w:r>
    </w:p>
    <w:p w14:paraId="17E15768" w14:textId="77777777" w:rsidR="00400398" w:rsidRPr="00757AC1" w:rsidRDefault="00400398" w:rsidP="000C3BFB">
      <w:pPr>
        <w:keepNext/>
        <w:keepLines/>
        <w:widowControl w:val="0"/>
        <w:rPr>
          <w:sz w:val="20"/>
        </w:rPr>
      </w:pPr>
      <w:r w:rsidRPr="002D54D5">
        <w:rPr>
          <w:sz w:val="20"/>
          <w:vertAlign w:val="superscript"/>
        </w:rPr>
        <w:t>3</w:t>
      </w:r>
      <w:r w:rsidRPr="00757AC1">
        <w:rPr>
          <w:sz w:val="20"/>
        </w:rPr>
        <w:t xml:space="preserve"> 5,8% da população de doentes global aleatorizada tinha doença de estadio IIIB.</w:t>
      </w:r>
    </w:p>
    <w:p w14:paraId="3AE2F21F" w14:textId="77777777" w:rsidR="00400398" w:rsidRPr="00757AC1" w:rsidRDefault="00400398" w:rsidP="000C3BFB">
      <w:pPr>
        <w:keepNext/>
        <w:keepLines/>
        <w:widowControl w:val="0"/>
        <w:rPr>
          <w:sz w:val="20"/>
        </w:rPr>
      </w:pPr>
      <w:r w:rsidRPr="00757AC1">
        <w:rPr>
          <w:sz w:val="20"/>
          <w:vertAlign w:val="superscript"/>
        </w:rPr>
        <w:t>4 </w:t>
      </w:r>
      <w:r w:rsidRPr="00757AC1">
        <w:rPr>
          <w:sz w:val="20"/>
        </w:rPr>
        <w:t>Em relação ao braço controlo.</w:t>
      </w:r>
    </w:p>
    <w:p w14:paraId="2F6F51B9" w14:textId="77777777" w:rsidR="00400398" w:rsidRPr="00757AC1" w:rsidRDefault="00400398" w:rsidP="00380346">
      <w:pPr>
        <w:autoSpaceDE w:val="0"/>
        <w:autoSpaceDN w:val="0"/>
        <w:adjustRightInd w:val="0"/>
        <w:rPr>
          <w:b/>
          <w:szCs w:val="22"/>
        </w:rPr>
      </w:pPr>
    </w:p>
    <w:p w14:paraId="5C9F0477" w14:textId="77777777" w:rsidR="00400398" w:rsidRPr="00002502" w:rsidRDefault="00400398" w:rsidP="002C6991">
      <w:pPr>
        <w:rPr>
          <w:i/>
        </w:rPr>
      </w:pPr>
      <w:r w:rsidRPr="00002502">
        <w:rPr>
          <w:i/>
        </w:rPr>
        <w:t>Cancro do ovário recorrente</w:t>
      </w:r>
    </w:p>
    <w:p w14:paraId="5B7B3666" w14:textId="77777777" w:rsidR="00400398" w:rsidRPr="00856C97" w:rsidRDefault="00400398" w:rsidP="002C6991">
      <w:pPr>
        <w:rPr>
          <w:u w:val="single"/>
        </w:rPr>
      </w:pPr>
    </w:p>
    <w:p w14:paraId="20E2D9D9" w14:textId="77777777" w:rsidR="00400398" w:rsidRDefault="00400398" w:rsidP="00856C97">
      <w:r w:rsidRPr="00481C46">
        <w:t xml:space="preserve">A segurança e eficácia de </w:t>
      </w:r>
      <w:r w:rsidR="00CD4102">
        <w:t>bevacizumab</w:t>
      </w:r>
      <w:r w:rsidR="00CD4102" w:rsidRPr="00481C46">
        <w:t xml:space="preserve"> </w:t>
      </w:r>
      <w:r w:rsidRPr="00481C46">
        <w:t xml:space="preserve">no tratamento de </w:t>
      </w:r>
      <w:r>
        <w:t xml:space="preserve">cancro epitelial do ovário, da trompa de Falópio ou cancro peritoneal primário, recorrentes, foi estudada em </w:t>
      </w:r>
      <w:r w:rsidR="008D4766">
        <w:t xml:space="preserve">três </w:t>
      </w:r>
      <w:r>
        <w:t>ensaios de fase III (AVF4095g</w:t>
      </w:r>
      <w:r w:rsidR="007E4BAC">
        <w:t>,</w:t>
      </w:r>
      <w:r>
        <w:t xml:space="preserve"> MO22224</w:t>
      </w:r>
      <w:r w:rsidR="007E4BAC">
        <w:t xml:space="preserve"> e GOG-0213</w:t>
      </w:r>
      <w:r>
        <w:t>) com diferentes populações de doentes e regimes de quimioterapia.</w:t>
      </w:r>
    </w:p>
    <w:p w14:paraId="39CC17CC" w14:textId="77777777" w:rsidR="00400398" w:rsidRDefault="00400398" w:rsidP="00856C97"/>
    <w:p w14:paraId="65B9CF43" w14:textId="77777777" w:rsidR="00400398" w:rsidRDefault="00400398" w:rsidP="00BC5DE0">
      <w:pPr>
        <w:ind w:left="567" w:hanging="567"/>
      </w:pPr>
      <w:r w:rsidRPr="007232E4">
        <w:rPr>
          <w:sz w:val="32"/>
          <w:szCs w:val="32"/>
        </w:rPr>
        <w:t>•</w:t>
      </w:r>
      <w:r w:rsidRPr="007232E4">
        <w:rPr>
          <w:sz w:val="32"/>
          <w:szCs w:val="32"/>
        </w:rPr>
        <w:tab/>
      </w:r>
      <w:r w:rsidRPr="00D46C87">
        <w:rPr>
          <w:szCs w:val="22"/>
        </w:rPr>
        <w:t>AVF4095g avaliou a eficácia e segurança de bevacizumab em associação com carboplatina e gemcitabina</w:t>
      </w:r>
      <w:r w:rsidR="007E4BAC">
        <w:rPr>
          <w:szCs w:val="22"/>
        </w:rPr>
        <w:t>, seguido de bevacizumab como agente</w:t>
      </w:r>
      <w:r w:rsidRPr="00D46C87">
        <w:rPr>
          <w:szCs w:val="22"/>
        </w:rPr>
        <w:t xml:space="preserve"> </w:t>
      </w:r>
      <w:r w:rsidR="00BC62C9">
        <w:rPr>
          <w:szCs w:val="22"/>
        </w:rPr>
        <w:t xml:space="preserve">único </w:t>
      </w:r>
      <w:r w:rsidRPr="00D46C87">
        <w:rPr>
          <w:szCs w:val="22"/>
        </w:rPr>
        <w:t xml:space="preserve">em doentes </w:t>
      </w:r>
      <w:r w:rsidRPr="00D46C87">
        <w:t>com</w:t>
      </w:r>
      <w:r>
        <w:t xml:space="preserve"> </w:t>
      </w:r>
      <w:r w:rsidRPr="00D46C87">
        <w:t xml:space="preserve">cancro epitelial do ovário, da trompa de Falópio ou cancro peritoneal primário, </w:t>
      </w:r>
      <w:r>
        <w:t xml:space="preserve">recorrentes, </w:t>
      </w:r>
      <w:r w:rsidRPr="00D46C87">
        <w:t xml:space="preserve">sensíveis a </w:t>
      </w:r>
      <w:r w:rsidR="00233EB7">
        <w:t>platina</w:t>
      </w:r>
      <w:r w:rsidRPr="00D46C87">
        <w:t>.</w:t>
      </w:r>
    </w:p>
    <w:p w14:paraId="24513B99" w14:textId="77777777" w:rsidR="007E4BAC" w:rsidRPr="00D46C87" w:rsidRDefault="007E4BAC" w:rsidP="00BC5DE0">
      <w:pPr>
        <w:ind w:left="567" w:hanging="567"/>
        <w:rPr>
          <w:u w:val="single"/>
        </w:rPr>
      </w:pPr>
      <w:r w:rsidRPr="007232E4">
        <w:rPr>
          <w:sz w:val="32"/>
          <w:szCs w:val="32"/>
        </w:rPr>
        <w:t>•</w:t>
      </w:r>
      <w:r w:rsidRPr="007232E4">
        <w:rPr>
          <w:sz w:val="32"/>
          <w:szCs w:val="32"/>
        </w:rPr>
        <w:tab/>
      </w:r>
      <w:r>
        <w:rPr>
          <w:szCs w:val="22"/>
        </w:rPr>
        <w:t xml:space="preserve">GOG-0213 avaliou a eficácia e a segurança de bevacizumab em associação com </w:t>
      </w:r>
      <w:r w:rsidRPr="00D46C87">
        <w:rPr>
          <w:szCs w:val="22"/>
        </w:rPr>
        <w:t>carboplatina e</w:t>
      </w:r>
      <w:r>
        <w:rPr>
          <w:szCs w:val="22"/>
        </w:rPr>
        <w:t xml:space="preserve"> paclitaxel, seguido de bevacizumab como agente</w:t>
      </w:r>
      <w:r w:rsidRPr="00D46C87">
        <w:rPr>
          <w:szCs w:val="22"/>
        </w:rPr>
        <w:t xml:space="preserve"> </w:t>
      </w:r>
      <w:r w:rsidR="00BC62C9">
        <w:rPr>
          <w:szCs w:val="22"/>
        </w:rPr>
        <w:t xml:space="preserve">único </w:t>
      </w:r>
      <w:r w:rsidRPr="00D46C87">
        <w:rPr>
          <w:szCs w:val="22"/>
        </w:rPr>
        <w:t xml:space="preserve">em doentes </w:t>
      </w:r>
      <w:r w:rsidRPr="00D46C87">
        <w:t>com</w:t>
      </w:r>
      <w:r>
        <w:t xml:space="preserve"> </w:t>
      </w:r>
      <w:r w:rsidRPr="00D46C87">
        <w:t xml:space="preserve">cancro epitelial do ovário, da trompa de Falópio ou cancro peritoneal primário, </w:t>
      </w:r>
      <w:r>
        <w:t xml:space="preserve">recorrentes, </w:t>
      </w:r>
      <w:r w:rsidRPr="00D46C87">
        <w:t xml:space="preserve">sensíveis a </w:t>
      </w:r>
      <w:r>
        <w:t>platina</w:t>
      </w:r>
      <w:r w:rsidRPr="00D46C87">
        <w:t>.</w:t>
      </w:r>
    </w:p>
    <w:p w14:paraId="5B681287" w14:textId="77777777" w:rsidR="00400398" w:rsidRPr="00D46C87" w:rsidRDefault="00400398" w:rsidP="00BC5DE0">
      <w:pPr>
        <w:ind w:left="567" w:hanging="567"/>
        <w:rPr>
          <w:u w:val="single"/>
        </w:rPr>
      </w:pPr>
      <w:r w:rsidRPr="007232E4">
        <w:rPr>
          <w:sz w:val="32"/>
          <w:szCs w:val="32"/>
        </w:rPr>
        <w:t>•</w:t>
      </w:r>
      <w:r w:rsidRPr="007232E4">
        <w:rPr>
          <w:sz w:val="32"/>
          <w:szCs w:val="32"/>
        </w:rPr>
        <w:tab/>
      </w:r>
      <w:r w:rsidRPr="00D46C87">
        <w:rPr>
          <w:szCs w:val="22"/>
        </w:rPr>
        <w:t xml:space="preserve">MO22224 avaliou a segurança e eficácia de bevacizumab em associação com paclitaxel, topotecano, ou doxorrubicina lipossómica peguilada em doentes </w:t>
      </w:r>
      <w:r>
        <w:t xml:space="preserve">com </w:t>
      </w:r>
      <w:r w:rsidRPr="00D46C87">
        <w:t>cancro epitelial do ovário, da trompa de Falópio ou cancro peritoneal primário</w:t>
      </w:r>
      <w:r>
        <w:t>,</w:t>
      </w:r>
      <w:r w:rsidRPr="00D46C87">
        <w:t xml:space="preserve"> </w:t>
      </w:r>
      <w:r>
        <w:t xml:space="preserve">recorrentes, </w:t>
      </w:r>
      <w:r w:rsidRPr="00D46C87">
        <w:t xml:space="preserve">resistentes a </w:t>
      </w:r>
      <w:r w:rsidR="00233EB7">
        <w:t>platina</w:t>
      </w:r>
      <w:r w:rsidRPr="00D46C87">
        <w:t>.</w:t>
      </w:r>
    </w:p>
    <w:p w14:paraId="429BBCDA" w14:textId="77777777" w:rsidR="00400398" w:rsidRPr="007232E4" w:rsidRDefault="00400398" w:rsidP="002C6991"/>
    <w:p w14:paraId="6BA8E20A" w14:textId="77777777" w:rsidR="00400398" w:rsidRPr="007232E4" w:rsidRDefault="00400398" w:rsidP="002C6991">
      <w:pPr>
        <w:rPr>
          <w:i/>
        </w:rPr>
      </w:pPr>
      <w:r w:rsidRPr="007232E4">
        <w:rPr>
          <w:i/>
        </w:rPr>
        <w:t>AVF4095g</w:t>
      </w:r>
    </w:p>
    <w:p w14:paraId="48F49A96" w14:textId="77777777" w:rsidR="00400398" w:rsidRPr="007232E4" w:rsidRDefault="00400398" w:rsidP="002C6991">
      <w:r w:rsidRPr="007232E4">
        <w:t xml:space="preserve">A segurança e eficácia de </w:t>
      </w:r>
      <w:r w:rsidR="000E5531">
        <w:t>bevacizumab</w:t>
      </w:r>
      <w:r w:rsidR="000E5531" w:rsidRPr="007232E4">
        <w:t xml:space="preserve"> </w:t>
      </w:r>
      <w:r w:rsidRPr="007232E4">
        <w:t xml:space="preserve">no tratamento de doentes com cancro epitelial do ovário, da trompa de Falópio ou peritoneal primário, sensíveis a </w:t>
      </w:r>
      <w:r w:rsidR="00233EB7">
        <w:t>platina</w:t>
      </w:r>
      <w:r w:rsidRPr="007232E4">
        <w:t xml:space="preserve">, que não receberam quimioterapia anterior no contexto recorrente, ou tratamento prévio com bevacizumab, foram estudadas num ensaio de fase III, aleatorizado, em dupla ocultação, controlado com placebo (AVF4095g). O estudo comparou o efeito da adição de </w:t>
      </w:r>
      <w:r w:rsidR="000E5531">
        <w:t>bevacizumab</w:t>
      </w:r>
      <w:r w:rsidR="000E5531" w:rsidRPr="007232E4">
        <w:t xml:space="preserve"> </w:t>
      </w:r>
      <w:r w:rsidRPr="007232E4">
        <w:t xml:space="preserve">à quimioterapia com carboplatina e gemcitabina com continuação de </w:t>
      </w:r>
      <w:r w:rsidR="000E5531">
        <w:t>bevacizumab</w:t>
      </w:r>
      <w:r w:rsidR="000E5531" w:rsidRPr="007232E4">
        <w:t xml:space="preserve"> </w:t>
      </w:r>
      <w:r w:rsidRPr="007232E4">
        <w:t>como agente único até à progressão, a carboplatina e gemcitabina isoladamente.</w:t>
      </w:r>
    </w:p>
    <w:p w14:paraId="6ADB3732" w14:textId="77777777" w:rsidR="00400398" w:rsidRPr="007232E4" w:rsidRDefault="00400398" w:rsidP="002C6991"/>
    <w:p w14:paraId="76E156AC" w14:textId="77777777" w:rsidR="00400398" w:rsidRPr="007232E4" w:rsidRDefault="00400398" w:rsidP="002C6991">
      <w:r w:rsidRPr="007232E4">
        <w:t xml:space="preserve">Apenas foram incluídos no estudo doentes com cancro do ovário, peritoneal primário ou carcinoma da trompa de falópio, histologicamente documentados, que tenham recorrido há mais de 6 meses após quimioterapia com base em </w:t>
      </w:r>
      <w:r w:rsidR="00233EB7">
        <w:t>platina</w:t>
      </w:r>
      <w:r w:rsidRPr="007232E4">
        <w:t xml:space="preserve">, que não tinham recebido quimioterapia no contexto recorrente e </w:t>
      </w:r>
      <w:r w:rsidRPr="007232E4">
        <w:lastRenderedPageBreak/>
        <w:t xml:space="preserve">que não tinham recebido tratamento prévio com bevacizumab ou outros inibidores do VEGF ou agentes dirigidos ao recetor do VEGF. </w:t>
      </w:r>
    </w:p>
    <w:p w14:paraId="3DC6F8B3" w14:textId="77777777" w:rsidR="00400398" w:rsidRPr="007232E4" w:rsidRDefault="00400398" w:rsidP="002C6991"/>
    <w:p w14:paraId="153FBA61" w14:textId="77777777" w:rsidR="00400398" w:rsidRPr="007232E4" w:rsidRDefault="00400398" w:rsidP="00A73A88">
      <w:pPr>
        <w:keepNext/>
        <w:keepLines/>
      </w:pPr>
      <w:r w:rsidRPr="007232E4">
        <w:t>Um total de 484 doentes com doença mensurável foram aleatorizados 1:1 para:</w:t>
      </w:r>
    </w:p>
    <w:p w14:paraId="48DDDC6D" w14:textId="77777777" w:rsidR="00400398" w:rsidRPr="007232E4" w:rsidRDefault="00400398" w:rsidP="00CA5962">
      <w:pPr>
        <w:keepNext/>
        <w:keepLines/>
        <w:ind w:left="567" w:hanging="567"/>
      </w:pPr>
      <w:r w:rsidRPr="007232E4">
        <w:rPr>
          <w:szCs w:val="22"/>
        </w:rPr>
        <w:sym w:font="Symbol" w:char="F0B7"/>
      </w:r>
      <w:r w:rsidRPr="007232E4">
        <w:tab/>
        <w:t>Carboplatina (AUC4, Dia 1) e gemcitabina (1000 mg/m</w:t>
      </w:r>
      <w:r w:rsidRPr="007232E4">
        <w:rPr>
          <w:vertAlign w:val="superscript"/>
        </w:rPr>
        <w:t>2</w:t>
      </w:r>
      <w:r w:rsidRPr="007232E4">
        <w:t xml:space="preserve"> nos Dias 1 e 8) e placebo concomitante a cada 3 semanas durante 6 e até 10 ciclos, seguido de placebo (a cada 3 semanas) isoladamente até progressão da doença ou toxicidade inaceitável.</w:t>
      </w:r>
    </w:p>
    <w:p w14:paraId="025E1C7D" w14:textId="77777777" w:rsidR="00400398" w:rsidRPr="007232E4" w:rsidRDefault="00400398" w:rsidP="00CA5962">
      <w:pPr>
        <w:ind w:left="567" w:hanging="567"/>
      </w:pPr>
      <w:r w:rsidRPr="007232E4">
        <w:rPr>
          <w:szCs w:val="22"/>
        </w:rPr>
        <w:sym w:font="Symbol" w:char="F0B7"/>
      </w:r>
      <w:r w:rsidRPr="007232E4">
        <w:tab/>
        <w:t>Carboplatina (AUC4, Dia 1) e gemcitabina (1000 mg/m</w:t>
      </w:r>
      <w:r w:rsidRPr="007232E4">
        <w:rPr>
          <w:vertAlign w:val="superscript"/>
        </w:rPr>
        <w:t>2</w:t>
      </w:r>
      <w:r w:rsidRPr="007232E4">
        <w:t xml:space="preserve"> nos Dias 1 e 8) e </w:t>
      </w:r>
      <w:r w:rsidR="000E5531">
        <w:t>bevacizumab</w:t>
      </w:r>
      <w:r w:rsidR="000E5531" w:rsidRPr="007232E4">
        <w:t xml:space="preserve"> </w:t>
      </w:r>
      <w:r w:rsidRPr="007232E4">
        <w:t xml:space="preserve">concomitante (15 mg/kg Dia 1) a cada 3 semanas durante 6 e até 10 ciclos, seguido de </w:t>
      </w:r>
      <w:r w:rsidR="000E5531">
        <w:t>bevacizumab</w:t>
      </w:r>
      <w:r w:rsidR="000E5531" w:rsidRPr="007232E4">
        <w:t xml:space="preserve"> </w:t>
      </w:r>
      <w:r w:rsidRPr="007232E4">
        <w:t>(15 mg/kg a cada 3 semanas) como agente único até progressão da doença ou toxicidade inaceitável.</w:t>
      </w:r>
    </w:p>
    <w:p w14:paraId="6F77A78C" w14:textId="77777777" w:rsidR="00400398" w:rsidRPr="007232E4" w:rsidRDefault="00400398" w:rsidP="002C6991"/>
    <w:p w14:paraId="5C639248" w14:textId="77777777" w:rsidR="00400398" w:rsidRPr="007232E4" w:rsidRDefault="00400398" w:rsidP="002C6991">
      <w:r w:rsidRPr="007232E4">
        <w:t xml:space="preserve">O objetivo primário foi a </w:t>
      </w:r>
      <w:r w:rsidR="00D35B8D">
        <w:t>PFS</w:t>
      </w:r>
      <w:r w:rsidRPr="007232E4">
        <w:t xml:space="preserve">, com base na avaliação do investigador, usando os RECIST 1.0 modificados. Objetivos adicionais incluíram a resposta objetiva, duração da resposta, </w:t>
      </w:r>
      <w:r w:rsidR="00D35B8D">
        <w:t>OS</w:t>
      </w:r>
      <w:r w:rsidRPr="007232E4">
        <w:t xml:space="preserve"> e segurança. Foi também realizada uma revisão independente do objetivo primário.</w:t>
      </w:r>
    </w:p>
    <w:p w14:paraId="72EFBEA0" w14:textId="77777777" w:rsidR="00400398" w:rsidRPr="007232E4" w:rsidRDefault="00400398" w:rsidP="002C6991"/>
    <w:p w14:paraId="72710498" w14:textId="77777777" w:rsidR="00400398" w:rsidRPr="007232E4" w:rsidRDefault="00400398" w:rsidP="002C6991">
      <w:r w:rsidRPr="007232E4">
        <w:t xml:space="preserve">Os resultados deste estudo são resumidos na Tabela </w:t>
      </w:r>
      <w:r w:rsidR="00835CCD">
        <w:t>20</w:t>
      </w:r>
      <w:r w:rsidRPr="007232E4">
        <w:t>.</w:t>
      </w:r>
    </w:p>
    <w:p w14:paraId="74CA40D0" w14:textId="77777777" w:rsidR="00400398" w:rsidRPr="007232E4" w:rsidRDefault="00400398" w:rsidP="002C6991"/>
    <w:p w14:paraId="0E2566AC" w14:textId="77777777" w:rsidR="00400398" w:rsidRPr="007232E4" w:rsidRDefault="00400398" w:rsidP="002C6991">
      <w:pPr>
        <w:rPr>
          <w:b/>
        </w:rPr>
      </w:pPr>
      <w:r w:rsidRPr="007232E4">
        <w:rPr>
          <w:b/>
        </w:rPr>
        <w:t xml:space="preserve">Tabela </w:t>
      </w:r>
      <w:r w:rsidR="00835CCD">
        <w:rPr>
          <w:b/>
        </w:rPr>
        <w:t>20</w:t>
      </w:r>
      <w:r w:rsidRPr="007232E4">
        <w:rPr>
          <w:b/>
        </w:rPr>
        <w:tab/>
        <w:t>Resultados de eficácia do estudo AVF4095g</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646"/>
        <w:gridCol w:w="1840"/>
        <w:gridCol w:w="350"/>
        <w:gridCol w:w="1169"/>
        <w:gridCol w:w="69"/>
        <w:gridCol w:w="1713"/>
      </w:tblGrid>
      <w:tr w:rsidR="00400398" w:rsidRPr="00215594" w14:paraId="02509D13" w14:textId="77777777" w:rsidTr="00623EFF">
        <w:trPr>
          <w:cantSplit/>
          <w:trHeight w:val="22"/>
        </w:trPr>
        <w:tc>
          <w:tcPr>
            <w:tcW w:w="5000" w:type="pct"/>
            <w:gridSpan w:val="7"/>
          </w:tcPr>
          <w:p w14:paraId="4BE098BE" w14:textId="77777777" w:rsidR="00400398" w:rsidRPr="00215594" w:rsidRDefault="00400398" w:rsidP="00623EFF">
            <w:pPr>
              <w:rPr>
                <w:szCs w:val="22"/>
              </w:rPr>
            </w:pPr>
            <w:r w:rsidRPr="001E05C2">
              <w:rPr>
                <w:bCs/>
                <w:szCs w:val="22"/>
              </w:rPr>
              <w:t>Sobrevivência livre de progressão</w:t>
            </w:r>
          </w:p>
        </w:tc>
      </w:tr>
      <w:tr w:rsidR="00400398" w:rsidRPr="00215594" w14:paraId="3C337F16" w14:textId="77777777" w:rsidTr="00623EFF">
        <w:trPr>
          <w:cantSplit/>
          <w:trHeight w:val="22"/>
        </w:trPr>
        <w:tc>
          <w:tcPr>
            <w:tcW w:w="1256" w:type="pct"/>
          </w:tcPr>
          <w:p w14:paraId="69A69287" w14:textId="77777777" w:rsidR="00400398" w:rsidRPr="00215594" w:rsidRDefault="00400398" w:rsidP="00623EFF">
            <w:pPr>
              <w:rPr>
                <w:szCs w:val="22"/>
              </w:rPr>
            </w:pPr>
          </w:p>
        </w:tc>
        <w:tc>
          <w:tcPr>
            <w:tcW w:w="1923" w:type="pct"/>
            <w:gridSpan w:val="2"/>
          </w:tcPr>
          <w:p w14:paraId="365040D4" w14:textId="77777777" w:rsidR="00400398" w:rsidRPr="00215594" w:rsidRDefault="00400398" w:rsidP="00623EFF">
            <w:pPr>
              <w:jc w:val="center"/>
              <w:rPr>
                <w:noProof/>
              </w:rPr>
            </w:pPr>
            <w:r w:rsidRPr="00215594">
              <w:rPr>
                <w:noProof/>
              </w:rPr>
              <w:t>Avaliação do Investigador</w:t>
            </w:r>
          </w:p>
        </w:tc>
        <w:tc>
          <w:tcPr>
            <w:tcW w:w="1822" w:type="pct"/>
            <w:gridSpan w:val="4"/>
          </w:tcPr>
          <w:p w14:paraId="3FD3D231" w14:textId="77777777" w:rsidR="00400398" w:rsidRPr="00215594" w:rsidRDefault="00400398" w:rsidP="00623EFF">
            <w:pPr>
              <w:jc w:val="center"/>
              <w:rPr>
                <w:noProof/>
              </w:rPr>
            </w:pPr>
            <w:r w:rsidRPr="00215594">
              <w:rPr>
                <w:noProof/>
                <w:u w:val="single"/>
              </w:rPr>
              <w:t>Avaliação do IRC</w:t>
            </w:r>
          </w:p>
        </w:tc>
      </w:tr>
      <w:tr w:rsidR="00400398" w:rsidRPr="00215594" w14:paraId="2BD988DD" w14:textId="77777777" w:rsidTr="00623EFF">
        <w:trPr>
          <w:cantSplit/>
          <w:trHeight w:val="22"/>
        </w:trPr>
        <w:tc>
          <w:tcPr>
            <w:tcW w:w="1256" w:type="pct"/>
          </w:tcPr>
          <w:p w14:paraId="1E9F4E4E" w14:textId="77777777" w:rsidR="00400398" w:rsidRPr="00215594" w:rsidRDefault="00400398" w:rsidP="00623EFF">
            <w:pPr>
              <w:ind w:left="567" w:hanging="567"/>
              <w:outlineLvl w:val="0"/>
              <w:rPr>
                <w:noProof/>
              </w:rPr>
            </w:pPr>
          </w:p>
        </w:tc>
        <w:tc>
          <w:tcPr>
            <w:tcW w:w="908" w:type="pct"/>
          </w:tcPr>
          <w:p w14:paraId="608BBB9C" w14:textId="77777777" w:rsidR="00400398" w:rsidRPr="00C82494" w:rsidRDefault="00400398" w:rsidP="00623EFF">
            <w:pPr>
              <w:pStyle w:val="NormalWeb"/>
              <w:widowControl w:val="0"/>
              <w:spacing w:before="0" w:beforeAutospacing="0" w:after="0" w:afterAutospacing="0"/>
              <w:jc w:val="center"/>
              <w:rPr>
                <w:noProof/>
                <w:sz w:val="22"/>
              </w:rPr>
            </w:pPr>
            <w:r w:rsidRPr="00C82494">
              <w:rPr>
                <w:noProof/>
                <w:sz w:val="22"/>
              </w:rPr>
              <w:t xml:space="preserve">Placebo+ C/G </w:t>
            </w:r>
          </w:p>
          <w:p w14:paraId="6BA92F21" w14:textId="77777777" w:rsidR="00400398" w:rsidRPr="00C82494" w:rsidRDefault="00400398" w:rsidP="00623EFF">
            <w:pPr>
              <w:pStyle w:val="NormalWeb"/>
              <w:widowControl w:val="0"/>
              <w:spacing w:before="0" w:beforeAutospacing="0" w:after="0" w:afterAutospacing="0"/>
              <w:jc w:val="center"/>
              <w:rPr>
                <w:noProof/>
                <w:sz w:val="22"/>
              </w:rPr>
            </w:pPr>
            <w:r w:rsidRPr="00C82494">
              <w:rPr>
                <w:noProof/>
                <w:sz w:val="22"/>
              </w:rPr>
              <w:t>(n = 242)</w:t>
            </w:r>
          </w:p>
        </w:tc>
        <w:tc>
          <w:tcPr>
            <w:tcW w:w="1015" w:type="pct"/>
          </w:tcPr>
          <w:p w14:paraId="5481EE90" w14:textId="77777777" w:rsidR="00400398" w:rsidRPr="00215594" w:rsidRDefault="000E5531" w:rsidP="00623EFF">
            <w:pPr>
              <w:pStyle w:val="TextTi12"/>
              <w:spacing w:after="0"/>
              <w:jc w:val="center"/>
              <w:rPr>
                <w:noProof/>
                <w:sz w:val="22"/>
              </w:rPr>
            </w:pPr>
            <w:r w:rsidRPr="00215594">
              <w:rPr>
                <w:noProof/>
                <w:sz w:val="22"/>
              </w:rPr>
              <w:t xml:space="preserve">Bevacizumab </w:t>
            </w:r>
            <w:r w:rsidR="00400398" w:rsidRPr="00215594">
              <w:rPr>
                <w:noProof/>
                <w:sz w:val="22"/>
              </w:rPr>
              <w:t xml:space="preserve">+ C/G </w:t>
            </w:r>
          </w:p>
          <w:p w14:paraId="17A9E19B" w14:textId="77777777" w:rsidR="00400398" w:rsidRPr="00215594" w:rsidRDefault="00400398" w:rsidP="00623EFF">
            <w:pPr>
              <w:jc w:val="center"/>
              <w:rPr>
                <w:noProof/>
              </w:rPr>
            </w:pPr>
            <w:r w:rsidRPr="00215594">
              <w:rPr>
                <w:noProof/>
              </w:rPr>
              <w:t>(n = 242)</w:t>
            </w:r>
          </w:p>
        </w:tc>
        <w:tc>
          <w:tcPr>
            <w:tcW w:w="838" w:type="pct"/>
            <w:gridSpan w:val="2"/>
          </w:tcPr>
          <w:p w14:paraId="6B40C23C" w14:textId="77777777" w:rsidR="00400398" w:rsidRPr="00C82494" w:rsidRDefault="00400398" w:rsidP="00623EFF">
            <w:pPr>
              <w:pStyle w:val="NormalWeb"/>
              <w:widowControl w:val="0"/>
              <w:spacing w:before="0" w:beforeAutospacing="0" w:after="0" w:afterAutospacing="0"/>
              <w:jc w:val="center"/>
              <w:rPr>
                <w:noProof/>
                <w:sz w:val="22"/>
              </w:rPr>
            </w:pPr>
            <w:r w:rsidRPr="00C82494">
              <w:rPr>
                <w:noProof/>
                <w:sz w:val="22"/>
              </w:rPr>
              <w:t>Placebo+ C/G (n = 242)</w:t>
            </w:r>
          </w:p>
        </w:tc>
        <w:tc>
          <w:tcPr>
            <w:tcW w:w="983" w:type="pct"/>
            <w:gridSpan w:val="2"/>
          </w:tcPr>
          <w:p w14:paraId="2E686A37" w14:textId="77777777" w:rsidR="00400398" w:rsidRPr="00215594" w:rsidRDefault="000E5531" w:rsidP="00623EFF">
            <w:pPr>
              <w:pStyle w:val="TextTi12"/>
              <w:spacing w:after="0"/>
              <w:jc w:val="center"/>
              <w:rPr>
                <w:noProof/>
                <w:sz w:val="22"/>
              </w:rPr>
            </w:pPr>
            <w:r w:rsidRPr="00215594">
              <w:rPr>
                <w:noProof/>
                <w:sz w:val="22"/>
              </w:rPr>
              <w:t xml:space="preserve">Bevacizumab </w:t>
            </w:r>
            <w:r w:rsidR="00400398" w:rsidRPr="00215594">
              <w:rPr>
                <w:noProof/>
                <w:sz w:val="22"/>
              </w:rPr>
              <w:t xml:space="preserve">+ C/G </w:t>
            </w:r>
          </w:p>
          <w:p w14:paraId="76BF818A" w14:textId="77777777" w:rsidR="00400398" w:rsidRPr="00C82494" w:rsidRDefault="00400398" w:rsidP="00623EFF">
            <w:pPr>
              <w:pStyle w:val="NormalWeb"/>
              <w:widowControl w:val="0"/>
              <w:spacing w:before="0" w:beforeAutospacing="0" w:after="0" w:afterAutospacing="0"/>
              <w:jc w:val="center"/>
              <w:rPr>
                <w:noProof/>
                <w:sz w:val="22"/>
              </w:rPr>
            </w:pPr>
            <w:r w:rsidRPr="00C82494">
              <w:rPr>
                <w:noProof/>
                <w:sz w:val="22"/>
              </w:rPr>
              <w:t>(n = 242)</w:t>
            </w:r>
          </w:p>
        </w:tc>
      </w:tr>
      <w:tr w:rsidR="00400398" w:rsidRPr="00215594" w14:paraId="459B8723" w14:textId="77777777" w:rsidTr="00623EFF">
        <w:trPr>
          <w:cantSplit/>
          <w:trHeight w:val="22"/>
        </w:trPr>
        <w:tc>
          <w:tcPr>
            <w:tcW w:w="1256" w:type="pct"/>
          </w:tcPr>
          <w:p w14:paraId="53645855" w14:textId="77777777" w:rsidR="00400398" w:rsidRPr="00215594" w:rsidRDefault="00400398" w:rsidP="00623EFF">
            <w:pPr>
              <w:rPr>
                <w:i/>
                <w:noProof/>
              </w:rPr>
            </w:pPr>
            <w:r w:rsidRPr="00215594">
              <w:rPr>
                <w:i/>
                <w:noProof/>
              </w:rPr>
              <w:t>Não censurada para TNP</w:t>
            </w:r>
          </w:p>
        </w:tc>
        <w:tc>
          <w:tcPr>
            <w:tcW w:w="1923" w:type="pct"/>
            <w:gridSpan w:val="2"/>
            <w:vAlign w:val="center"/>
          </w:tcPr>
          <w:p w14:paraId="4B9D8ABF" w14:textId="77777777" w:rsidR="00400398" w:rsidRPr="00215594" w:rsidRDefault="00400398" w:rsidP="00623EFF">
            <w:pPr>
              <w:jc w:val="center"/>
              <w:rPr>
                <w:noProof/>
              </w:rPr>
            </w:pPr>
          </w:p>
        </w:tc>
        <w:tc>
          <w:tcPr>
            <w:tcW w:w="1822" w:type="pct"/>
            <w:gridSpan w:val="4"/>
            <w:vAlign w:val="center"/>
          </w:tcPr>
          <w:p w14:paraId="75E0A15E" w14:textId="77777777" w:rsidR="00400398" w:rsidRPr="00215594" w:rsidRDefault="00400398" w:rsidP="00623EFF">
            <w:pPr>
              <w:jc w:val="center"/>
              <w:rPr>
                <w:noProof/>
              </w:rPr>
            </w:pPr>
          </w:p>
        </w:tc>
      </w:tr>
      <w:tr w:rsidR="00400398" w:rsidRPr="00215594" w14:paraId="4DE1D343" w14:textId="77777777" w:rsidTr="00623EFF">
        <w:trPr>
          <w:cantSplit/>
          <w:trHeight w:val="22"/>
        </w:trPr>
        <w:tc>
          <w:tcPr>
            <w:tcW w:w="1256" w:type="pct"/>
          </w:tcPr>
          <w:p w14:paraId="7A9C2A72" w14:textId="77777777" w:rsidR="00400398" w:rsidRPr="00215594" w:rsidRDefault="00400398" w:rsidP="00623EFF">
            <w:pPr>
              <w:rPr>
                <w:i/>
                <w:noProof/>
              </w:rPr>
            </w:pPr>
            <w:r w:rsidRPr="00215594">
              <w:rPr>
                <w:noProof/>
              </w:rPr>
              <w:t xml:space="preserve">PFS </w:t>
            </w:r>
            <w:r w:rsidR="00D35B8D">
              <w:rPr>
                <w:noProof/>
              </w:rPr>
              <w:t>m</w:t>
            </w:r>
            <w:r w:rsidRPr="00215594">
              <w:rPr>
                <w:noProof/>
              </w:rPr>
              <w:t>ediana (meses)</w:t>
            </w:r>
          </w:p>
        </w:tc>
        <w:tc>
          <w:tcPr>
            <w:tcW w:w="908" w:type="pct"/>
            <w:vAlign w:val="center"/>
          </w:tcPr>
          <w:p w14:paraId="5415445C" w14:textId="77777777" w:rsidR="00400398" w:rsidRPr="00215594" w:rsidRDefault="00400398" w:rsidP="00623EFF">
            <w:pPr>
              <w:jc w:val="center"/>
              <w:rPr>
                <w:noProof/>
              </w:rPr>
            </w:pPr>
            <w:r w:rsidRPr="00215594">
              <w:rPr>
                <w:noProof/>
              </w:rPr>
              <w:t>8,4</w:t>
            </w:r>
          </w:p>
        </w:tc>
        <w:tc>
          <w:tcPr>
            <w:tcW w:w="1015" w:type="pct"/>
            <w:vAlign w:val="center"/>
          </w:tcPr>
          <w:p w14:paraId="4EEC5B75" w14:textId="77777777" w:rsidR="00400398" w:rsidRPr="00215594" w:rsidRDefault="00400398" w:rsidP="00623EFF">
            <w:pPr>
              <w:jc w:val="center"/>
              <w:rPr>
                <w:noProof/>
              </w:rPr>
            </w:pPr>
            <w:r w:rsidRPr="00215594">
              <w:rPr>
                <w:noProof/>
              </w:rPr>
              <w:t>12,4</w:t>
            </w:r>
          </w:p>
        </w:tc>
        <w:tc>
          <w:tcPr>
            <w:tcW w:w="838" w:type="pct"/>
            <w:gridSpan w:val="2"/>
            <w:vAlign w:val="center"/>
          </w:tcPr>
          <w:p w14:paraId="5C7D6FC5" w14:textId="77777777" w:rsidR="00400398" w:rsidRPr="00215594" w:rsidRDefault="00400398" w:rsidP="00623EFF">
            <w:pPr>
              <w:jc w:val="center"/>
              <w:rPr>
                <w:noProof/>
              </w:rPr>
            </w:pPr>
            <w:r w:rsidRPr="00215594">
              <w:rPr>
                <w:noProof/>
              </w:rPr>
              <w:t>8,6</w:t>
            </w:r>
          </w:p>
        </w:tc>
        <w:tc>
          <w:tcPr>
            <w:tcW w:w="983" w:type="pct"/>
            <w:gridSpan w:val="2"/>
            <w:vAlign w:val="center"/>
          </w:tcPr>
          <w:p w14:paraId="5335B15B" w14:textId="77777777" w:rsidR="00400398" w:rsidRPr="00215594" w:rsidRDefault="00400398" w:rsidP="00623EFF">
            <w:pPr>
              <w:jc w:val="center"/>
              <w:rPr>
                <w:noProof/>
              </w:rPr>
            </w:pPr>
            <w:r w:rsidRPr="00215594">
              <w:rPr>
                <w:noProof/>
              </w:rPr>
              <w:t>12,3</w:t>
            </w:r>
          </w:p>
        </w:tc>
      </w:tr>
      <w:tr w:rsidR="00400398" w:rsidRPr="00215594" w14:paraId="1E784606" w14:textId="77777777" w:rsidTr="00623EFF">
        <w:trPr>
          <w:cantSplit/>
          <w:trHeight w:val="22"/>
        </w:trPr>
        <w:tc>
          <w:tcPr>
            <w:tcW w:w="1256" w:type="pct"/>
          </w:tcPr>
          <w:p w14:paraId="6B729E0F" w14:textId="77777777" w:rsidR="00400398" w:rsidRPr="00215594" w:rsidRDefault="00400398" w:rsidP="00623EFF">
            <w:pPr>
              <w:widowControl w:val="0"/>
              <w:rPr>
                <w:szCs w:val="22"/>
              </w:rPr>
            </w:pPr>
            <w:r w:rsidRPr="00215594">
              <w:rPr>
                <w:i/>
                <w:szCs w:val="22"/>
              </w:rPr>
              <w:t xml:space="preserve">Hazard ratio </w:t>
            </w:r>
            <w:r w:rsidRPr="00215594">
              <w:rPr>
                <w:szCs w:val="22"/>
              </w:rPr>
              <w:t>(taxa de risco)</w:t>
            </w:r>
          </w:p>
          <w:p w14:paraId="272694CB" w14:textId="77777777" w:rsidR="00400398" w:rsidRPr="00215594" w:rsidRDefault="00400398" w:rsidP="00623EFF">
            <w:pPr>
              <w:rPr>
                <w:i/>
                <w:noProof/>
              </w:rPr>
            </w:pPr>
            <w:r w:rsidRPr="00215594">
              <w:rPr>
                <w:noProof/>
              </w:rPr>
              <w:t>(IC 95%)</w:t>
            </w:r>
          </w:p>
        </w:tc>
        <w:tc>
          <w:tcPr>
            <w:tcW w:w="1923" w:type="pct"/>
            <w:gridSpan w:val="2"/>
            <w:vAlign w:val="center"/>
          </w:tcPr>
          <w:p w14:paraId="0E270697" w14:textId="77777777" w:rsidR="00400398" w:rsidRPr="00215594" w:rsidRDefault="00400398" w:rsidP="00623EFF">
            <w:pPr>
              <w:jc w:val="center"/>
              <w:rPr>
                <w:noProof/>
              </w:rPr>
            </w:pPr>
            <w:r w:rsidRPr="00215594">
              <w:rPr>
                <w:noProof/>
              </w:rPr>
              <w:t>0,524 [0,425; 0,645]</w:t>
            </w:r>
          </w:p>
        </w:tc>
        <w:tc>
          <w:tcPr>
            <w:tcW w:w="1822" w:type="pct"/>
            <w:gridSpan w:val="4"/>
            <w:vAlign w:val="center"/>
          </w:tcPr>
          <w:p w14:paraId="0A349657" w14:textId="77777777" w:rsidR="00400398" w:rsidRPr="00215594" w:rsidRDefault="00400398" w:rsidP="00623EFF">
            <w:pPr>
              <w:jc w:val="center"/>
              <w:rPr>
                <w:noProof/>
              </w:rPr>
            </w:pPr>
            <w:r w:rsidRPr="00215594">
              <w:rPr>
                <w:noProof/>
              </w:rPr>
              <w:t>0,480 [0,377; 0,613]</w:t>
            </w:r>
          </w:p>
        </w:tc>
      </w:tr>
      <w:tr w:rsidR="00400398" w:rsidRPr="00215594" w14:paraId="0D1CD1B8" w14:textId="77777777" w:rsidTr="00623EFF">
        <w:trPr>
          <w:cantSplit/>
          <w:trHeight w:val="22"/>
        </w:trPr>
        <w:tc>
          <w:tcPr>
            <w:tcW w:w="1256" w:type="pct"/>
          </w:tcPr>
          <w:p w14:paraId="0723136C" w14:textId="77777777" w:rsidR="00400398" w:rsidRPr="00215594" w:rsidRDefault="00400398" w:rsidP="00623EFF">
            <w:pPr>
              <w:rPr>
                <w:i/>
                <w:noProof/>
              </w:rPr>
            </w:pPr>
            <w:r w:rsidRPr="00215594">
              <w:rPr>
                <w:noProof/>
              </w:rPr>
              <w:t xml:space="preserve">Valor de p </w:t>
            </w:r>
          </w:p>
        </w:tc>
        <w:tc>
          <w:tcPr>
            <w:tcW w:w="1923" w:type="pct"/>
            <w:gridSpan w:val="2"/>
            <w:vAlign w:val="center"/>
          </w:tcPr>
          <w:p w14:paraId="67ACD566" w14:textId="77777777" w:rsidR="00400398" w:rsidRPr="00215594" w:rsidRDefault="00400398" w:rsidP="00623EFF">
            <w:pPr>
              <w:jc w:val="center"/>
              <w:rPr>
                <w:noProof/>
              </w:rPr>
            </w:pPr>
            <w:r w:rsidRPr="00215594">
              <w:rPr>
                <w:noProof/>
              </w:rPr>
              <w:t>&lt; 0,0001</w:t>
            </w:r>
          </w:p>
        </w:tc>
        <w:tc>
          <w:tcPr>
            <w:tcW w:w="1822" w:type="pct"/>
            <w:gridSpan w:val="4"/>
            <w:vAlign w:val="center"/>
          </w:tcPr>
          <w:p w14:paraId="6C83889D" w14:textId="77777777" w:rsidR="00400398" w:rsidRPr="00215594" w:rsidRDefault="00400398" w:rsidP="00623EFF">
            <w:pPr>
              <w:jc w:val="center"/>
              <w:rPr>
                <w:noProof/>
              </w:rPr>
            </w:pPr>
            <w:r w:rsidRPr="00215594">
              <w:rPr>
                <w:noProof/>
              </w:rPr>
              <w:t>&lt; 0,0001</w:t>
            </w:r>
          </w:p>
        </w:tc>
      </w:tr>
      <w:tr w:rsidR="00400398" w:rsidRPr="00215594" w14:paraId="2575E525" w14:textId="77777777" w:rsidTr="00623EFF">
        <w:trPr>
          <w:cantSplit/>
          <w:trHeight w:val="22"/>
        </w:trPr>
        <w:tc>
          <w:tcPr>
            <w:tcW w:w="1256" w:type="pct"/>
          </w:tcPr>
          <w:p w14:paraId="25A63BDD" w14:textId="77777777" w:rsidR="00400398" w:rsidRPr="00215594" w:rsidRDefault="00400398" w:rsidP="00623EFF">
            <w:pPr>
              <w:rPr>
                <w:i/>
                <w:noProof/>
              </w:rPr>
            </w:pPr>
            <w:r w:rsidRPr="00215594">
              <w:rPr>
                <w:i/>
                <w:noProof/>
              </w:rPr>
              <w:t>Censurada para TNP</w:t>
            </w:r>
          </w:p>
        </w:tc>
        <w:tc>
          <w:tcPr>
            <w:tcW w:w="908" w:type="pct"/>
            <w:vAlign w:val="center"/>
          </w:tcPr>
          <w:p w14:paraId="755353B7" w14:textId="77777777" w:rsidR="00400398" w:rsidRPr="00215594" w:rsidRDefault="00400398" w:rsidP="00623EFF">
            <w:pPr>
              <w:jc w:val="center"/>
              <w:rPr>
                <w:noProof/>
              </w:rPr>
            </w:pPr>
          </w:p>
        </w:tc>
        <w:tc>
          <w:tcPr>
            <w:tcW w:w="1015" w:type="pct"/>
            <w:vAlign w:val="center"/>
          </w:tcPr>
          <w:p w14:paraId="18BF89CC" w14:textId="77777777" w:rsidR="00400398" w:rsidRPr="00215594" w:rsidRDefault="00400398" w:rsidP="00623EFF">
            <w:pPr>
              <w:jc w:val="center"/>
              <w:rPr>
                <w:noProof/>
              </w:rPr>
            </w:pPr>
          </w:p>
        </w:tc>
        <w:tc>
          <w:tcPr>
            <w:tcW w:w="838" w:type="pct"/>
            <w:gridSpan w:val="2"/>
            <w:vAlign w:val="center"/>
          </w:tcPr>
          <w:p w14:paraId="07160365" w14:textId="77777777" w:rsidR="00400398" w:rsidRPr="00215594" w:rsidRDefault="00400398" w:rsidP="00623EFF">
            <w:pPr>
              <w:jc w:val="center"/>
              <w:rPr>
                <w:noProof/>
              </w:rPr>
            </w:pPr>
          </w:p>
        </w:tc>
        <w:tc>
          <w:tcPr>
            <w:tcW w:w="983" w:type="pct"/>
            <w:gridSpan w:val="2"/>
            <w:vAlign w:val="center"/>
          </w:tcPr>
          <w:p w14:paraId="728CFA94" w14:textId="77777777" w:rsidR="00400398" w:rsidRPr="00215594" w:rsidRDefault="00400398" w:rsidP="00623EFF">
            <w:pPr>
              <w:jc w:val="center"/>
              <w:rPr>
                <w:noProof/>
              </w:rPr>
            </w:pPr>
          </w:p>
        </w:tc>
      </w:tr>
      <w:tr w:rsidR="00400398" w:rsidRPr="00215594" w14:paraId="67D27CF7" w14:textId="77777777" w:rsidTr="00623EFF">
        <w:trPr>
          <w:cantSplit/>
          <w:trHeight w:val="22"/>
        </w:trPr>
        <w:tc>
          <w:tcPr>
            <w:tcW w:w="1256" w:type="pct"/>
          </w:tcPr>
          <w:p w14:paraId="36E48D24" w14:textId="77777777" w:rsidR="00400398" w:rsidRPr="00215594" w:rsidRDefault="00400398" w:rsidP="00623EFF">
            <w:pPr>
              <w:rPr>
                <w:noProof/>
              </w:rPr>
            </w:pPr>
            <w:r w:rsidRPr="00215594">
              <w:rPr>
                <w:noProof/>
              </w:rPr>
              <w:t xml:space="preserve">PFS </w:t>
            </w:r>
            <w:r w:rsidR="00D35B8D">
              <w:rPr>
                <w:noProof/>
              </w:rPr>
              <w:t>m</w:t>
            </w:r>
            <w:r w:rsidRPr="00215594">
              <w:rPr>
                <w:noProof/>
              </w:rPr>
              <w:t>ediana (meses)</w:t>
            </w:r>
          </w:p>
        </w:tc>
        <w:tc>
          <w:tcPr>
            <w:tcW w:w="908" w:type="pct"/>
            <w:vAlign w:val="center"/>
          </w:tcPr>
          <w:p w14:paraId="7907699A" w14:textId="77777777" w:rsidR="00400398" w:rsidRPr="00215594" w:rsidRDefault="00400398" w:rsidP="00623EFF">
            <w:pPr>
              <w:jc w:val="center"/>
              <w:rPr>
                <w:noProof/>
              </w:rPr>
            </w:pPr>
            <w:r w:rsidRPr="00215594">
              <w:rPr>
                <w:noProof/>
              </w:rPr>
              <w:t>8,4</w:t>
            </w:r>
          </w:p>
        </w:tc>
        <w:tc>
          <w:tcPr>
            <w:tcW w:w="1015" w:type="pct"/>
            <w:vAlign w:val="center"/>
          </w:tcPr>
          <w:p w14:paraId="2C6B3CBF" w14:textId="77777777" w:rsidR="00400398" w:rsidRPr="00215594" w:rsidRDefault="00400398" w:rsidP="00623EFF">
            <w:pPr>
              <w:jc w:val="center"/>
              <w:rPr>
                <w:noProof/>
              </w:rPr>
            </w:pPr>
            <w:r w:rsidRPr="00215594">
              <w:rPr>
                <w:noProof/>
              </w:rPr>
              <w:t>12,4</w:t>
            </w:r>
          </w:p>
        </w:tc>
        <w:tc>
          <w:tcPr>
            <w:tcW w:w="838" w:type="pct"/>
            <w:gridSpan w:val="2"/>
            <w:vAlign w:val="center"/>
          </w:tcPr>
          <w:p w14:paraId="29063258" w14:textId="77777777" w:rsidR="00400398" w:rsidRPr="00215594" w:rsidRDefault="00400398" w:rsidP="00623EFF">
            <w:pPr>
              <w:jc w:val="center"/>
              <w:rPr>
                <w:noProof/>
              </w:rPr>
            </w:pPr>
            <w:r w:rsidRPr="00215594">
              <w:rPr>
                <w:noProof/>
              </w:rPr>
              <w:t>8,6</w:t>
            </w:r>
          </w:p>
        </w:tc>
        <w:tc>
          <w:tcPr>
            <w:tcW w:w="983" w:type="pct"/>
            <w:gridSpan w:val="2"/>
            <w:vAlign w:val="center"/>
          </w:tcPr>
          <w:p w14:paraId="6DC63454" w14:textId="77777777" w:rsidR="00400398" w:rsidRPr="00215594" w:rsidRDefault="00400398" w:rsidP="00623EFF">
            <w:pPr>
              <w:jc w:val="center"/>
              <w:rPr>
                <w:noProof/>
              </w:rPr>
            </w:pPr>
            <w:r w:rsidRPr="00215594">
              <w:rPr>
                <w:noProof/>
              </w:rPr>
              <w:t>12,3</w:t>
            </w:r>
          </w:p>
        </w:tc>
      </w:tr>
      <w:tr w:rsidR="00400398" w:rsidRPr="00215594" w14:paraId="31035FE9" w14:textId="77777777" w:rsidTr="00623EFF">
        <w:trPr>
          <w:cantSplit/>
          <w:trHeight w:val="22"/>
        </w:trPr>
        <w:tc>
          <w:tcPr>
            <w:tcW w:w="1256" w:type="pct"/>
          </w:tcPr>
          <w:p w14:paraId="1110F2B7" w14:textId="77777777" w:rsidR="00400398" w:rsidRPr="00215594" w:rsidRDefault="00400398" w:rsidP="00623EFF">
            <w:pPr>
              <w:widowControl w:val="0"/>
              <w:rPr>
                <w:szCs w:val="22"/>
              </w:rPr>
            </w:pPr>
            <w:r w:rsidRPr="00215594">
              <w:rPr>
                <w:i/>
                <w:szCs w:val="22"/>
              </w:rPr>
              <w:t xml:space="preserve">Hazard ratio </w:t>
            </w:r>
            <w:r w:rsidRPr="00215594">
              <w:rPr>
                <w:szCs w:val="22"/>
              </w:rPr>
              <w:t>(taxa de risco)</w:t>
            </w:r>
          </w:p>
          <w:p w14:paraId="523C07EF" w14:textId="77777777" w:rsidR="00400398" w:rsidRPr="00215594" w:rsidRDefault="00400398" w:rsidP="00623EFF">
            <w:pPr>
              <w:widowControl w:val="0"/>
              <w:rPr>
                <w:noProof/>
              </w:rPr>
            </w:pPr>
            <w:r w:rsidRPr="00215594">
              <w:rPr>
                <w:noProof/>
              </w:rPr>
              <w:t>(IC 95%)</w:t>
            </w:r>
          </w:p>
        </w:tc>
        <w:tc>
          <w:tcPr>
            <w:tcW w:w="1923" w:type="pct"/>
            <w:gridSpan w:val="2"/>
            <w:vAlign w:val="center"/>
          </w:tcPr>
          <w:p w14:paraId="6409312A" w14:textId="77777777" w:rsidR="00400398" w:rsidRPr="00215594" w:rsidRDefault="00400398" w:rsidP="00623EFF">
            <w:pPr>
              <w:jc w:val="center"/>
              <w:rPr>
                <w:noProof/>
              </w:rPr>
            </w:pPr>
            <w:r w:rsidRPr="00215594">
              <w:rPr>
                <w:noProof/>
              </w:rPr>
              <w:t>0,484 [0,388; 0,605]</w:t>
            </w:r>
          </w:p>
        </w:tc>
        <w:tc>
          <w:tcPr>
            <w:tcW w:w="1822" w:type="pct"/>
            <w:gridSpan w:val="4"/>
            <w:vAlign w:val="center"/>
          </w:tcPr>
          <w:p w14:paraId="4FB01430" w14:textId="77777777" w:rsidR="00400398" w:rsidRPr="00215594" w:rsidRDefault="00400398" w:rsidP="00623EFF">
            <w:pPr>
              <w:jc w:val="center"/>
              <w:rPr>
                <w:noProof/>
              </w:rPr>
            </w:pPr>
            <w:r w:rsidRPr="00215594">
              <w:rPr>
                <w:noProof/>
              </w:rPr>
              <w:t>0,451 [0,351; 0,580]</w:t>
            </w:r>
          </w:p>
        </w:tc>
      </w:tr>
      <w:tr w:rsidR="00400398" w:rsidRPr="00215594" w14:paraId="6CC85CBA" w14:textId="77777777" w:rsidTr="00623EFF">
        <w:trPr>
          <w:cantSplit/>
          <w:trHeight w:val="22"/>
        </w:trPr>
        <w:tc>
          <w:tcPr>
            <w:tcW w:w="1256" w:type="pct"/>
          </w:tcPr>
          <w:p w14:paraId="69834BC1" w14:textId="77777777" w:rsidR="00400398" w:rsidRPr="00215594" w:rsidRDefault="00400398" w:rsidP="00623EFF">
            <w:pPr>
              <w:rPr>
                <w:noProof/>
              </w:rPr>
            </w:pPr>
            <w:r w:rsidRPr="00215594">
              <w:rPr>
                <w:noProof/>
              </w:rPr>
              <w:t xml:space="preserve">Valor de p </w:t>
            </w:r>
          </w:p>
        </w:tc>
        <w:tc>
          <w:tcPr>
            <w:tcW w:w="1923" w:type="pct"/>
            <w:gridSpan w:val="2"/>
            <w:vAlign w:val="center"/>
          </w:tcPr>
          <w:p w14:paraId="6CFE0A58" w14:textId="77777777" w:rsidR="00400398" w:rsidRPr="00215594" w:rsidRDefault="00400398" w:rsidP="00623EFF">
            <w:pPr>
              <w:jc w:val="center"/>
              <w:rPr>
                <w:noProof/>
              </w:rPr>
            </w:pPr>
            <w:r w:rsidRPr="00215594">
              <w:rPr>
                <w:noProof/>
              </w:rPr>
              <w:t xml:space="preserve"> &lt; 0,0001</w:t>
            </w:r>
          </w:p>
        </w:tc>
        <w:tc>
          <w:tcPr>
            <w:tcW w:w="1822" w:type="pct"/>
            <w:gridSpan w:val="4"/>
            <w:vAlign w:val="center"/>
          </w:tcPr>
          <w:p w14:paraId="68DFCD00" w14:textId="77777777" w:rsidR="00400398" w:rsidRPr="00215594" w:rsidRDefault="00400398" w:rsidP="00623EFF">
            <w:pPr>
              <w:jc w:val="center"/>
              <w:rPr>
                <w:noProof/>
              </w:rPr>
            </w:pPr>
            <w:r w:rsidRPr="00215594">
              <w:rPr>
                <w:noProof/>
              </w:rPr>
              <w:t>&lt; 0,0001</w:t>
            </w:r>
          </w:p>
        </w:tc>
      </w:tr>
      <w:tr w:rsidR="00400398" w:rsidRPr="00215594" w14:paraId="01FDEC67" w14:textId="77777777" w:rsidTr="00623EFF">
        <w:trPr>
          <w:cantSplit/>
          <w:trHeight w:val="22"/>
        </w:trPr>
        <w:tc>
          <w:tcPr>
            <w:tcW w:w="5000" w:type="pct"/>
            <w:gridSpan w:val="7"/>
          </w:tcPr>
          <w:p w14:paraId="5D9A42B4" w14:textId="77777777" w:rsidR="00400398" w:rsidRPr="00215594" w:rsidRDefault="00400398" w:rsidP="00623EFF">
            <w:pPr>
              <w:rPr>
                <w:noProof/>
              </w:rPr>
            </w:pPr>
            <w:r w:rsidRPr="00215594">
              <w:rPr>
                <w:noProof/>
              </w:rPr>
              <w:t>Taxa de resposta objetiva</w:t>
            </w:r>
          </w:p>
        </w:tc>
      </w:tr>
      <w:tr w:rsidR="00400398" w:rsidRPr="00215594" w14:paraId="73CBAEA6" w14:textId="77777777" w:rsidTr="00623EFF">
        <w:trPr>
          <w:cantSplit/>
          <w:trHeight w:val="22"/>
        </w:trPr>
        <w:tc>
          <w:tcPr>
            <w:tcW w:w="1256" w:type="pct"/>
          </w:tcPr>
          <w:p w14:paraId="0562EC4F" w14:textId="77777777" w:rsidR="00400398" w:rsidRPr="00215594" w:rsidRDefault="00400398" w:rsidP="00623EFF">
            <w:pPr>
              <w:rPr>
                <w:noProof/>
              </w:rPr>
            </w:pPr>
          </w:p>
        </w:tc>
        <w:tc>
          <w:tcPr>
            <w:tcW w:w="1923" w:type="pct"/>
            <w:gridSpan w:val="2"/>
            <w:vAlign w:val="center"/>
          </w:tcPr>
          <w:p w14:paraId="3F1051B7" w14:textId="77777777" w:rsidR="00400398" w:rsidRPr="00215594" w:rsidRDefault="00400398" w:rsidP="00623EFF">
            <w:pPr>
              <w:jc w:val="center"/>
              <w:rPr>
                <w:noProof/>
              </w:rPr>
            </w:pPr>
            <w:r w:rsidRPr="00215594">
              <w:rPr>
                <w:noProof/>
              </w:rPr>
              <w:t>Avaliação do Investigador</w:t>
            </w:r>
          </w:p>
        </w:tc>
        <w:tc>
          <w:tcPr>
            <w:tcW w:w="1822" w:type="pct"/>
            <w:gridSpan w:val="4"/>
            <w:vAlign w:val="center"/>
          </w:tcPr>
          <w:p w14:paraId="701BC118" w14:textId="77777777" w:rsidR="00400398" w:rsidRPr="00215594" w:rsidRDefault="00400398" w:rsidP="00623EFF">
            <w:pPr>
              <w:jc w:val="center"/>
              <w:rPr>
                <w:noProof/>
              </w:rPr>
            </w:pPr>
            <w:r w:rsidRPr="00215594">
              <w:rPr>
                <w:noProof/>
                <w:u w:val="single"/>
              </w:rPr>
              <w:t>Avaliação do IRC</w:t>
            </w:r>
          </w:p>
        </w:tc>
      </w:tr>
      <w:tr w:rsidR="00400398" w:rsidRPr="00215594" w14:paraId="603F4750" w14:textId="77777777" w:rsidTr="00623EFF">
        <w:trPr>
          <w:cantSplit/>
          <w:trHeight w:val="22"/>
        </w:trPr>
        <w:tc>
          <w:tcPr>
            <w:tcW w:w="1256" w:type="pct"/>
          </w:tcPr>
          <w:p w14:paraId="67F81D19" w14:textId="77777777" w:rsidR="00400398" w:rsidRPr="00215594" w:rsidRDefault="00400398" w:rsidP="00623EFF">
            <w:pPr>
              <w:ind w:left="567" w:hanging="567"/>
              <w:outlineLvl w:val="0"/>
              <w:rPr>
                <w:noProof/>
              </w:rPr>
            </w:pPr>
          </w:p>
        </w:tc>
        <w:tc>
          <w:tcPr>
            <w:tcW w:w="908" w:type="pct"/>
            <w:vAlign w:val="center"/>
          </w:tcPr>
          <w:p w14:paraId="34813F98" w14:textId="77777777" w:rsidR="00400398" w:rsidRPr="00C82494" w:rsidRDefault="00400398" w:rsidP="00623EFF">
            <w:pPr>
              <w:pStyle w:val="NormalWeb"/>
              <w:widowControl w:val="0"/>
              <w:spacing w:before="0" w:beforeAutospacing="0" w:after="0" w:afterAutospacing="0"/>
              <w:jc w:val="center"/>
              <w:rPr>
                <w:noProof/>
                <w:sz w:val="22"/>
              </w:rPr>
            </w:pPr>
            <w:r w:rsidRPr="00C82494">
              <w:rPr>
                <w:noProof/>
                <w:sz w:val="22"/>
              </w:rPr>
              <w:t xml:space="preserve">Placebo+ C/G </w:t>
            </w:r>
          </w:p>
          <w:p w14:paraId="5D717931" w14:textId="77777777" w:rsidR="00400398" w:rsidRPr="00C82494" w:rsidRDefault="00400398" w:rsidP="00623EFF">
            <w:pPr>
              <w:pStyle w:val="NormalWeb"/>
              <w:widowControl w:val="0"/>
              <w:spacing w:before="0" w:beforeAutospacing="0" w:after="0" w:afterAutospacing="0"/>
              <w:jc w:val="center"/>
              <w:rPr>
                <w:noProof/>
                <w:sz w:val="22"/>
              </w:rPr>
            </w:pPr>
            <w:r w:rsidRPr="00C82494">
              <w:rPr>
                <w:noProof/>
                <w:sz w:val="22"/>
              </w:rPr>
              <w:t>(n = 242)</w:t>
            </w:r>
          </w:p>
        </w:tc>
        <w:tc>
          <w:tcPr>
            <w:tcW w:w="1015" w:type="pct"/>
            <w:vAlign w:val="center"/>
          </w:tcPr>
          <w:p w14:paraId="654337DF" w14:textId="77777777" w:rsidR="00400398" w:rsidRPr="00215594" w:rsidRDefault="000E5531" w:rsidP="00623EFF">
            <w:pPr>
              <w:pStyle w:val="TextTi12"/>
              <w:spacing w:after="0"/>
              <w:jc w:val="center"/>
              <w:rPr>
                <w:noProof/>
                <w:sz w:val="22"/>
              </w:rPr>
            </w:pPr>
            <w:r w:rsidRPr="00215594">
              <w:rPr>
                <w:noProof/>
                <w:sz w:val="22"/>
              </w:rPr>
              <w:t>Bev</w:t>
            </w:r>
            <w:r w:rsidR="00812456" w:rsidRPr="00215594">
              <w:rPr>
                <w:noProof/>
                <w:sz w:val="22"/>
              </w:rPr>
              <w:t>a</w:t>
            </w:r>
            <w:r w:rsidRPr="00215594">
              <w:rPr>
                <w:noProof/>
                <w:sz w:val="22"/>
              </w:rPr>
              <w:t xml:space="preserve">cizumab </w:t>
            </w:r>
            <w:r w:rsidR="00400398" w:rsidRPr="00215594">
              <w:rPr>
                <w:noProof/>
                <w:sz w:val="22"/>
              </w:rPr>
              <w:t xml:space="preserve">+ C/G </w:t>
            </w:r>
          </w:p>
          <w:p w14:paraId="5EC35581" w14:textId="77777777" w:rsidR="00400398" w:rsidRPr="00215594" w:rsidRDefault="00400398" w:rsidP="00623EFF">
            <w:pPr>
              <w:jc w:val="center"/>
              <w:rPr>
                <w:noProof/>
              </w:rPr>
            </w:pPr>
            <w:r w:rsidRPr="00215594">
              <w:rPr>
                <w:noProof/>
              </w:rPr>
              <w:t>(n = 242)</w:t>
            </w:r>
          </w:p>
        </w:tc>
        <w:tc>
          <w:tcPr>
            <w:tcW w:w="876" w:type="pct"/>
            <w:gridSpan w:val="3"/>
          </w:tcPr>
          <w:p w14:paraId="06B41A7F" w14:textId="77777777" w:rsidR="00400398" w:rsidRPr="00215594" w:rsidRDefault="00400398" w:rsidP="00623EFF">
            <w:pPr>
              <w:jc w:val="center"/>
              <w:rPr>
                <w:noProof/>
              </w:rPr>
            </w:pPr>
            <w:r w:rsidRPr="00215594">
              <w:rPr>
                <w:noProof/>
              </w:rPr>
              <w:t>Placebo+ C/G (n = 242)</w:t>
            </w:r>
          </w:p>
        </w:tc>
        <w:tc>
          <w:tcPr>
            <w:tcW w:w="945" w:type="pct"/>
          </w:tcPr>
          <w:p w14:paraId="46692B71" w14:textId="77777777" w:rsidR="00400398" w:rsidRPr="00215594" w:rsidRDefault="000E5531" w:rsidP="00623EFF">
            <w:pPr>
              <w:pStyle w:val="TextTi12"/>
              <w:spacing w:after="0"/>
              <w:jc w:val="center"/>
              <w:rPr>
                <w:noProof/>
                <w:sz w:val="22"/>
              </w:rPr>
            </w:pPr>
            <w:r w:rsidRPr="00215594">
              <w:rPr>
                <w:noProof/>
                <w:sz w:val="22"/>
              </w:rPr>
              <w:t xml:space="preserve">Bevacizumab </w:t>
            </w:r>
            <w:r w:rsidR="00400398" w:rsidRPr="00215594">
              <w:rPr>
                <w:noProof/>
                <w:sz w:val="22"/>
              </w:rPr>
              <w:t xml:space="preserve">+ C/G </w:t>
            </w:r>
          </w:p>
          <w:p w14:paraId="4BB45575" w14:textId="77777777" w:rsidR="00400398" w:rsidRPr="00215594" w:rsidRDefault="00400398" w:rsidP="00623EFF">
            <w:pPr>
              <w:pStyle w:val="TextTi12"/>
              <w:spacing w:after="0"/>
              <w:jc w:val="center"/>
              <w:rPr>
                <w:noProof/>
                <w:sz w:val="22"/>
              </w:rPr>
            </w:pPr>
            <w:r w:rsidRPr="00215594">
              <w:rPr>
                <w:noProof/>
                <w:sz w:val="22"/>
              </w:rPr>
              <w:t>(n = 242)</w:t>
            </w:r>
          </w:p>
        </w:tc>
      </w:tr>
      <w:tr w:rsidR="00400398" w:rsidRPr="00215594" w14:paraId="175A442D" w14:textId="77777777" w:rsidTr="00623EFF">
        <w:trPr>
          <w:cantSplit/>
          <w:trHeight w:val="22"/>
        </w:trPr>
        <w:tc>
          <w:tcPr>
            <w:tcW w:w="1256" w:type="pct"/>
          </w:tcPr>
          <w:p w14:paraId="769FB1C9" w14:textId="77777777" w:rsidR="00400398" w:rsidRPr="00215594" w:rsidRDefault="00400398" w:rsidP="00623EFF">
            <w:pPr>
              <w:rPr>
                <w:szCs w:val="22"/>
              </w:rPr>
            </w:pPr>
            <w:r w:rsidRPr="00215594">
              <w:rPr>
                <w:szCs w:val="22"/>
              </w:rPr>
              <w:t>% doentes com resposta objetiva</w:t>
            </w:r>
          </w:p>
        </w:tc>
        <w:tc>
          <w:tcPr>
            <w:tcW w:w="908" w:type="pct"/>
            <w:vAlign w:val="center"/>
          </w:tcPr>
          <w:p w14:paraId="6774512C" w14:textId="77777777" w:rsidR="00400398" w:rsidRPr="00215594" w:rsidRDefault="00400398" w:rsidP="00623EFF">
            <w:pPr>
              <w:jc w:val="center"/>
              <w:rPr>
                <w:noProof/>
              </w:rPr>
            </w:pPr>
            <w:r w:rsidRPr="00215594">
              <w:rPr>
                <w:noProof/>
              </w:rPr>
              <w:t>57,4%</w:t>
            </w:r>
          </w:p>
        </w:tc>
        <w:tc>
          <w:tcPr>
            <w:tcW w:w="1015" w:type="pct"/>
            <w:vAlign w:val="center"/>
          </w:tcPr>
          <w:p w14:paraId="745AE736" w14:textId="77777777" w:rsidR="00400398" w:rsidRPr="00215594" w:rsidRDefault="00400398" w:rsidP="00623EFF">
            <w:pPr>
              <w:jc w:val="center"/>
              <w:rPr>
                <w:noProof/>
              </w:rPr>
            </w:pPr>
            <w:r w:rsidRPr="00215594">
              <w:rPr>
                <w:noProof/>
              </w:rPr>
              <w:t>78,5%</w:t>
            </w:r>
          </w:p>
        </w:tc>
        <w:tc>
          <w:tcPr>
            <w:tcW w:w="876" w:type="pct"/>
            <w:gridSpan w:val="3"/>
            <w:vAlign w:val="center"/>
          </w:tcPr>
          <w:p w14:paraId="5E6507D7" w14:textId="77777777" w:rsidR="00400398" w:rsidRPr="00215594" w:rsidRDefault="00400398" w:rsidP="00623EFF">
            <w:pPr>
              <w:jc w:val="center"/>
              <w:rPr>
                <w:noProof/>
              </w:rPr>
            </w:pPr>
            <w:r w:rsidRPr="00215594">
              <w:rPr>
                <w:noProof/>
              </w:rPr>
              <w:t>53,7%</w:t>
            </w:r>
          </w:p>
        </w:tc>
        <w:tc>
          <w:tcPr>
            <w:tcW w:w="945" w:type="pct"/>
            <w:vAlign w:val="center"/>
          </w:tcPr>
          <w:p w14:paraId="64EA9B72" w14:textId="77777777" w:rsidR="00400398" w:rsidRPr="00215594" w:rsidRDefault="00400398" w:rsidP="00623EFF">
            <w:pPr>
              <w:jc w:val="center"/>
              <w:rPr>
                <w:noProof/>
              </w:rPr>
            </w:pPr>
            <w:r w:rsidRPr="00215594">
              <w:rPr>
                <w:noProof/>
              </w:rPr>
              <w:t>74,8%</w:t>
            </w:r>
          </w:p>
        </w:tc>
      </w:tr>
      <w:tr w:rsidR="00400398" w:rsidRPr="00215594" w14:paraId="0C4FBEEB" w14:textId="77777777" w:rsidTr="00623EFF">
        <w:trPr>
          <w:cantSplit/>
          <w:trHeight w:val="22"/>
        </w:trPr>
        <w:tc>
          <w:tcPr>
            <w:tcW w:w="1256" w:type="pct"/>
          </w:tcPr>
          <w:p w14:paraId="7CF62B11" w14:textId="77777777" w:rsidR="00400398" w:rsidRPr="00215594" w:rsidRDefault="00400398" w:rsidP="00623EFF">
            <w:pPr>
              <w:rPr>
                <w:noProof/>
              </w:rPr>
            </w:pPr>
            <w:r w:rsidRPr="00215594">
              <w:rPr>
                <w:noProof/>
              </w:rPr>
              <w:t>Valor de p</w:t>
            </w:r>
          </w:p>
        </w:tc>
        <w:tc>
          <w:tcPr>
            <w:tcW w:w="1923" w:type="pct"/>
            <w:gridSpan w:val="2"/>
            <w:vAlign w:val="center"/>
          </w:tcPr>
          <w:p w14:paraId="0ADF1846" w14:textId="77777777" w:rsidR="00400398" w:rsidRPr="00215594" w:rsidRDefault="00400398" w:rsidP="00623EFF">
            <w:pPr>
              <w:jc w:val="center"/>
              <w:rPr>
                <w:noProof/>
              </w:rPr>
            </w:pPr>
            <w:r w:rsidRPr="00215594">
              <w:rPr>
                <w:noProof/>
              </w:rPr>
              <w:t>&lt; 0,0001</w:t>
            </w:r>
          </w:p>
        </w:tc>
        <w:tc>
          <w:tcPr>
            <w:tcW w:w="1822" w:type="pct"/>
            <w:gridSpan w:val="4"/>
            <w:vAlign w:val="center"/>
          </w:tcPr>
          <w:p w14:paraId="2BB2FAE4" w14:textId="77777777" w:rsidR="00400398" w:rsidRPr="00215594" w:rsidRDefault="00400398" w:rsidP="00623EFF">
            <w:pPr>
              <w:jc w:val="center"/>
              <w:rPr>
                <w:noProof/>
              </w:rPr>
            </w:pPr>
            <w:r w:rsidRPr="00215594">
              <w:rPr>
                <w:noProof/>
              </w:rPr>
              <w:t>&lt; 0,0001</w:t>
            </w:r>
          </w:p>
        </w:tc>
      </w:tr>
      <w:tr w:rsidR="00400398" w:rsidRPr="00215594" w14:paraId="656438CB" w14:textId="77777777" w:rsidTr="00623EFF">
        <w:trPr>
          <w:cantSplit/>
          <w:trHeight w:val="22"/>
        </w:trPr>
        <w:tc>
          <w:tcPr>
            <w:tcW w:w="5000" w:type="pct"/>
            <w:gridSpan w:val="7"/>
          </w:tcPr>
          <w:p w14:paraId="6A5BF8C9" w14:textId="77777777" w:rsidR="00400398" w:rsidRPr="00215594" w:rsidRDefault="00400398" w:rsidP="00623EFF">
            <w:pPr>
              <w:rPr>
                <w:noProof/>
              </w:rPr>
            </w:pPr>
            <w:r w:rsidRPr="00215594">
              <w:rPr>
                <w:noProof/>
              </w:rPr>
              <w:t>Sobrevivência global</w:t>
            </w:r>
          </w:p>
        </w:tc>
      </w:tr>
      <w:tr w:rsidR="00400398" w:rsidRPr="00215594" w14:paraId="34CB800E" w14:textId="77777777" w:rsidTr="00623EFF">
        <w:trPr>
          <w:cantSplit/>
          <w:trHeight w:val="22"/>
        </w:trPr>
        <w:tc>
          <w:tcPr>
            <w:tcW w:w="1256" w:type="pct"/>
          </w:tcPr>
          <w:p w14:paraId="50E3B4AA" w14:textId="77777777" w:rsidR="00400398" w:rsidRPr="00215594" w:rsidRDefault="00400398" w:rsidP="00623EFF">
            <w:pPr>
              <w:rPr>
                <w:noProof/>
                <w:sz w:val="20"/>
              </w:rPr>
            </w:pPr>
          </w:p>
        </w:tc>
        <w:tc>
          <w:tcPr>
            <w:tcW w:w="2116" w:type="pct"/>
            <w:gridSpan w:val="3"/>
            <w:vAlign w:val="center"/>
          </w:tcPr>
          <w:p w14:paraId="4A96AD55" w14:textId="77777777" w:rsidR="00400398" w:rsidRPr="00C82494" w:rsidRDefault="00400398" w:rsidP="00623EFF">
            <w:pPr>
              <w:pStyle w:val="NormalWeb"/>
              <w:widowControl w:val="0"/>
              <w:spacing w:before="0" w:beforeAutospacing="0" w:after="0" w:afterAutospacing="0"/>
              <w:jc w:val="center"/>
              <w:rPr>
                <w:noProof/>
                <w:sz w:val="22"/>
              </w:rPr>
            </w:pPr>
            <w:r w:rsidRPr="00C82494">
              <w:rPr>
                <w:noProof/>
                <w:sz w:val="22"/>
              </w:rPr>
              <w:t xml:space="preserve">Placebo+ C/G </w:t>
            </w:r>
          </w:p>
          <w:p w14:paraId="11846BFA" w14:textId="77777777" w:rsidR="00400398" w:rsidRPr="00215594" w:rsidRDefault="00400398" w:rsidP="00623EFF">
            <w:pPr>
              <w:jc w:val="center"/>
              <w:rPr>
                <w:noProof/>
              </w:rPr>
            </w:pPr>
            <w:r w:rsidRPr="00215594">
              <w:rPr>
                <w:noProof/>
              </w:rPr>
              <w:t>(n = 242)</w:t>
            </w:r>
          </w:p>
        </w:tc>
        <w:tc>
          <w:tcPr>
            <w:tcW w:w="1628" w:type="pct"/>
            <w:gridSpan w:val="3"/>
            <w:vAlign w:val="center"/>
          </w:tcPr>
          <w:p w14:paraId="202EFDFC" w14:textId="77777777" w:rsidR="00400398" w:rsidRPr="00215594" w:rsidRDefault="00216910" w:rsidP="00623EFF">
            <w:pPr>
              <w:pStyle w:val="TextTi12"/>
              <w:spacing w:after="0"/>
              <w:jc w:val="center"/>
              <w:rPr>
                <w:noProof/>
                <w:sz w:val="22"/>
              </w:rPr>
            </w:pPr>
            <w:r w:rsidRPr="00215594">
              <w:rPr>
                <w:noProof/>
                <w:sz w:val="22"/>
              </w:rPr>
              <w:t xml:space="preserve">Bevacizumab </w:t>
            </w:r>
            <w:r w:rsidR="00400398" w:rsidRPr="00215594">
              <w:rPr>
                <w:noProof/>
                <w:sz w:val="22"/>
              </w:rPr>
              <w:t xml:space="preserve">+ C/G </w:t>
            </w:r>
          </w:p>
          <w:p w14:paraId="45D26DCF" w14:textId="77777777" w:rsidR="00400398" w:rsidRPr="00215594" w:rsidRDefault="00400398" w:rsidP="00623EFF">
            <w:pPr>
              <w:jc w:val="center"/>
              <w:rPr>
                <w:noProof/>
              </w:rPr>
            </w:pPr>
            <w:r w:rsidRPr="00215594">
              <w:rPr>
                <w:noProof/>
              </w:rPr>
              <w:t>(n = 242)</w:t>
            </w:r>
          </w:p>
        </w:tc>
      </w:tr>
      <w:tr w:rsidR="00400398" w:rsidRPr="00215594" w14:paraId="53375958" w14:textId="77777777" w:rsidTr="00623EFF">
        <w:trPr>
          <w:cantSplit/>
          <w:trHeight w:val="22"/>
        </w:trPr>
        <w:tc>
          <w:tcPr>
            <w:tcW w:w="1256" w:type="pct"/>
          </w:tcPr>
          <w:p w14:paraId="7DFC7B77" w14:textId="77777777" w:rsidR="00400398" w:rsidRPr="00215594" w:rsidRDefault="00400398" w:rsidP="00623EFF">
            <w:pPr>
              <w:rPr>
                <w:noProof/>
              </w:rPr>
            </w:pPr>
            <w:r w:rsidRPr="00215594">
              <w:rPr>
                <w:noProof/>
              </w:rPr>
              <w:t>OS mediana (meses)</w:t>
            </w:r>
          </w:p>
        </w:tc>
        <w:tc>
          <w:tcPr>
            <w:tcW w:w="2116" w:type="pct"/>
            <w:gridSpan w:val="3"/>
            <w:vAlign w:val="center"/>
          </w:tcPr>
          <w:p w14:paraId="5A197106" w14:textId="77777777" w:rsidR="00400398" w:rsidRPr="00215594" w:rsidRDefault="00400398" w:rsidP="00623EFF">
            <w:pPr>
              <w:jc w:val="center"/>
              <w:rPr>
                <w:noProof/>
              </w:rPr>
            </w:pPr>
            <w:r w:rsidRPr="00215594">
              <w:rPr>
                <w:noProof/>
              </w:rPr>
              <w:t>32,9</w:t>
            </w:r>
          </w:p>
        </w:tc>
        <w:tc>
          <w:tcPr>
            <w:tcW w:w="1628" w:type="pct"/>
            <w:gridSpan w:val="3"/>
            <w:vAlign w:val="center"/>
          </w:tcPr>
          <w:p w14:paraId="1D11E97E" w14:textId="77777777" w:rsidR="00400398" w:rsidRPr="00215594" w:rsidRDefault="00400398" w:rsidP="00623EFF">
            <w:pPr>
              <w:jc w:val="center"/>
              <w:rPr>
                <w:noProof/>
              </w:rPr>
            </w:pPr>
            <w:r w:rsidRPr="00215594">
              <w:rPr>
                <w:noProof/>
              </w:rPr>
              <w:t>33,6</w:t>
            </w:r>
          </w:p>
        </w:tc>
      </w:tr>
      <w:tr w:rsidR="00400398" w:rsidRPr="00215594" w14:paraId="6F97BF27" w14:textId="77777777" w:rsidTr="00623EFF">
        <w:trPr>
          <w:cantSplit/>
          <w:trHeight w:val="22"/>
        </w:trPr>
        <w:tc>
          <w:tcPr>
            <w:tcW w:w="1256" w:type="pct"/>
          </w:tcPr>
          <w:p w14:paraId="0D6B6541" w14:textId="77777777" w:rsidR="00400398" w:rsidRPr="00215594" w:rsidRDefault="00400398" w:rsidP="00623EFF">
            <w:pPr>
              <w:rPr>
                <w:szCs w:val="22"/>
              </w:rPr>
            </w:pPr>
            <w:r w:rsidRPr="00215594">
              <w:rPr>
                <w:i/>
                <w:szCs w:val="22"/>
              </w:rPr>
              <w:t xml:space="preserve">Hazard </w:t>
            </w:r>
            <w:r w:rsidR="00D35B8D">
              <w:rPr>
                <w:i/>
                <w:szCs w:val="22"/>
              </w:rPr>
              <w:t>r</w:t>
            </w:r>
            <w:r w:rsidRPr="00215594">
              <w:rPr>
                <w:i/>
                <w:szCs w:val="22"/>
              </w:rPr>
              <w:t xml:space="preserve">atio </w:t>
            </w:r>
            <w:r w:rsidRPr="00215594">
              <w:rPr>
                <w:szCs w:val="22"/>
              </w:rPr>
              <w:t>(taxa de risco)</w:t>
            </w:r>
          </w:p>
          <w:p w14:paraId="6C1831BF" w14:textId="77777777" w:rsidR="00400398" w:rsidRPr="00215594" w:rsidRDefault="00400398" w:rsidP="00623EFF">
            <w:pPr>
              <w:rPr>
                <w:noProof/>
              </w:rPr>
            </w:pPr>
            <w:r w:rsidRPr="00215594">
              <w:rPr>
                <w:szCs w:val="22"/>
              </w:rPr>
              <w:t xml:space="preserve"> </w:t>
            </w:r>
            <w:r w:rsidRPr="00215594">
              <w:rPr>
                <w:noProof/>
              </w:rPr>
              <w:t>(IC 95%)</w:t>
            </w:r>
          </w:p>
        </w:tc>
        <w:tc>
          <w:tcPr>
            <w:tcW w:w="3744" w:type="pct"/>
            <w:gridSpan w:val="6"/>
            <w:vAlign w:val="center"/>
          </w:tcPr>
          <w:p w14:paraId="773962FF" w14:textId="77777777" w:rsidR="00400398" w:rsidRPr="00215594" w:rsidRDefault="00400398" w:rsidP="00623EFF">
            <w:pPr>
              <w:pStyle w:val="TableCellCenter"/>
              <w:spacing w:after="0" w:line="240" w:lineRule="auto"/>
              <w:rPr>
                <w:noProof/>
                <w:sz w:val="22"/>
              </w:rPr>
            </w:pPr>
            <w:r w:rsidRPr="00215594">
              <w:rPr>
                <w:noProof/>
                <w:sz w:val="22"/>
              </w:rPr>
              <w:t>0,952 [0,771; 1,176]</w:t>
            </w:r>
          </w:p>
        </w:tc>
      </w:tr>
      <w:tr w:rsidR="00400398" w:rsidRPr="00215594" w14:paraId="3870A1B5" w14:textId="77777777" w:rsidTr="00623EFF">
        <w:trPr>
          <w:cantSplit/>
          <w:trHeight w:val="22"/>
        </w:trPr>
        <w:tc>
          <w:tcPr>
            <w:tcW w:w="1256" w:type="pct"/>
          </w:tcPr>
          <w:p w14:paraId="2B8D3860" w14:textId="77777777" w:rsidR="00400398" w:rsidRPr="00215594" w:rsidRDefault="00400398" w:rsidP="00623EFF">
            <w:pPr>
              <w:rPr>
                <w:noProof/>
              </w:rPr>
            </w:pPr>
            <w:r w:rsidRPr="00215594">
              <w:rPr>
                <w:noProof/>
              </w:rPr>
              <w:t>Valor de p</w:t>
            </w:r>
          </w:p>
        </w:tc>
        <w:tc>
          <w:tcPr>
            <w:tcW w:w="3744" w:type="pct"/>
            <w:gridSpan w:val="6"/>
            <w:vAlign w:val="center"/>
          </w:tcPr>
          <w:p w14:paraId="63B8826E" w14:textId="77777777" w:rsidR="00400398" w:rsidRPr="00215594" w:rsidRDefault="00400398" w:rsidP="00623EFF">
            <w:pPr>
              <w:jc w:val="center"/>
              <w:rPr>
                <w:noProof/>
              </w:rPr>
            </w:pPr>
            <w:r w:rsidRPr="00215594">
              <w:rPr>
                <w:noProof/>
              </w:rPr>
              <w:t>0,6479</w:t>
            </w:r>
          </w:p>
        </w:tc>
      </w:tr>
    </w:tbl>
    <w:p w14:paraId="53F87E3C" w14:textId="77777777" w:rsidR="00400398" w:rsidRPr="007232E4" w:rsidRDefault="00400398" w:rsidP="002C6991"/>
    <w:p w14:paraId="7F0FA9B2" w14:textId="77777777" w:rsidR="00400398" w:rsidRPr="007232E4" w:rsidRDefault="00400398" w:rsidP="00A2273E">
      <w:pPr>
        <w:rPr>
          <w:rFonts w:eastAsia="PMingLiU"/>
          <w:lang w:eastAsia="zh-CN"/>
        </w:rPr>
      </w:pPr>
      <w:r w:rsidRPr="007232E4">
        <w:rPr>
          <w:rFonts w:eastAsia="PMingLiU"/>
          <w:lang w:eastAsia="zh-CN"/>
        </w:rPr>
        <w:lastRenderedPageBreak/>
        <w:t xml:space="preserve">A análise de subgrupo da PFS dependendo da recorrência desde a última terapêutica com platino é resumida na Tabela </w:t>
      </w:r>
      <w:r>
        <w:rPr>
          <w:rFonts w:eastAsia="PMingLiU"/>
          <w:lang w:eastAsia="zh-CN"/>
        </w:rPr>
        <w:t>2</w:t>
      </w:r>
      <w:r w:rsidR="00835CCD">
        <w:rPr>
          <w:rFonts w:eastAsia="PMingLiU"/>
          <w:lang w:eastAsia="zh-CN"/>
        </w:rPr>
        <w:t>1</w:t>
      </w:r>
      <w:r w:rsidRPr="007232E4">
        <w:rPr>
          <w:rFonts w:eastAsia="PMingLiU"/>
          <w:lang w:eastAsia="zh-CN"/>
        </w:rPr>
        <w:t xml:space="preserve">. </w:t>
      </w:r>
    </w:p>
    <w:p w14:paraId="16EE1311" w14:textId="77777777" w:rsidR="00400398" w:rsidRPr="007232E4" w:rsidRDefault="00400398" w:rsidP="00A2273E">
      <w:pPr>
        <w:rPr>
          <w:szCs w:val="22"/>
        </w:rPr>
      </w:pPr>
    </w:p>
    <w:p w14:paraId="465E4153" w14:textId="77777777" w:rsidR="00400398" w:rsidRPr="007232E4" w:rsidRDefault="00400398" w:rsidP="00AA1367">
      <w:pPr>
        <w:keepNext/>
        <w:keepLines/>
        <w:ind w:left="1276" w:hanging="1276"/>
        <w:rPr>
          <w:b/>
        </w:rPr>
      </w:pPr>
      <w:r w:rsidRPr="007232E4">
        <w:rPr>
          <w:b/>
        </w:rPr>
        <w:t xml:space="preserve">Tabela </w:t>
      </w:r>
      <w:r w:rsidR="00835CCD">
        <w:rPr>
          <w:b/>
        </w:rPr>
        <w:t>21</w:t>
      </w:r>
      <w:r w:rsidRPr="007232E4">
        <w:rPr>
          <w:b/>
        </w:rPr>
        <w:tab/>
        <w:t xml:space="preserve">Sobrevivência livre de progressão por tempo desde a última terapêutica com platino até à recorrência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2"/>
        <w:gridCol w:w="3009"/>
        <w:gridCol w:w="3030"/>
      </w:tblGrid>
      <w:tr w:rsidR="00400398" w:rsidRPr="00215594" w14:paraId="09FAFD0D" w14:textId="77777777" w:rsidTr="000603E8">
        <w:tc>
          <w:tcPr>
            <w:tcW w:w="3095" w:type="dxa"/>
          </w:tcPr>
          <w:p w14:paraId="28FCF84D" w14:textId="77777777" w:rsidR="00400398" w:rsidRPr="001E05C2" w:rsidRDefault="00400398" w:rsidP="000603E8">
            <w:pPr>
              <w:keepNext/>
              <w:keepLines/>
              <w:rPr>
                <w:b/>
                <w:szCs w:val="22"/>
              </w:rPr>
            </w:pPr>
          </w:p>
        </w:tc>
        <w:tc>
          <w:tcPr>
            <w:tcW w:w="6192" w:type="dxa"/>
            <w:gridSpan w:val="2"/>
          </w:tcPr>
          <w:p w14:paraId="0BCE7213" w14:textId="77777777" w:rsidR="00400398" w:rsidRPr="001E05C2" w:rsidRDefault="00400398" w:rsidP="000603E8">
            <w:pPr>
              <w:keepNext/>
              <w:keepLines/>
              <w:jc w:val="center"/>
              <w:rPr>
                <w:b/>
                <w:noProof/>
              </w:rPr>
            </w:pPr>
            <w:r w:rsidRPr="001E05C2">
              <w:rPr>
                <w:b/>
                <w:noProof/>
              </w:rPr>
              <w:t>Avaliação do Investigador</w:t>
            </w:r>
          </w:p>
        </w:tc>
      </w:tr>
      <w:tr w:rsidR="00400398" w:rsidRPr="00215594" w14:paraId="2C702216" w14:textId="77777777" w:rsidTr="000603E8">
        <w:tc>
          <w:tcPr>
            <w:tcW w:w="3095" w:type="dxa"/>
          </w:tcPr>
          <w:p w14:paraId="7CCA8D66" w14:textId="77777777" w:rsidR="00400398" w:rsidRPr="001E05C2" w:rsidRDefault="00400398" w:rsidP="000603E8">
            <w:pPr>
              <w:keepNext/>
              <w:keepLines/>
              <w:rPr>
                <w:b/>
              </w:rPr>
            </w:pPr>
            <w:r w:rsidRPr="001E05C2">
              <w:rPr>
                <w:b/>
              </w:rPr>
              <w:t xml:space="preserve">Tempo desde a última terapêutica com platino até à recorrência </w:t>
            </w:r>
          </w:p>
        </w:tc>
        <w:tc>
          <w:tcPr>
            <w:tcW w:w="3096" w:type="dxa"/>
          </w:tcPr>
          <w:p w14:paraId="019F6C4F" w14:textId="77777777" w:rsidR="00400398" w:rsidRPr="001E05C2" w:rsidRDefault="00400398" w:rsidP="000603E8">
            <w:pPr>
              <w:keepNext/>
              <w:keepLines/>
              <w:spacing w:line="280" w:lineRule="atLeast"/>
              <w:jc w:val="center"/>
              <w:textAlignment w:val="baseline"/>
              <w:rPr>
                <w:rFonts w:eastAsia="PMingLiU"/>
                <w:b/>
                <w:noProof/>
                <w:sz w:val="36"/>
              </w:rPr>
            </w:pPr>
            <w:r w:rsidRPr="001E05C2">
              <w:rPr>
                <w:b/>
                <w:noProof/>
              </w:rPr>
              <w:t>Placebo + C/G</w:t>
            </w:r>
          </w:p>
          <w:p w14:paraId="5C0AB5B0" w14:textId="77777777" w:rsidR="00400398" w:rsidRPr="001E05C2" w:rsidRDefault="00400398" w:rsidP="000603E8">
            <w:pPr>
              <w:keepNext/>
              <w:keepLines/>
              <w:jc w:val="center"/>
              <w:rPr>
                <w:b/>
                <w:noProof/>
              </w:rPr>
            </w:pPr>
            <w:r w:rsidRPr="001E05C2">
              <w:rPr>
                <w:b/>
                <w:noProof/>
              </w:rPr>
              <w:t>(n = 242)</w:t>
            </w:r>
          </w:p>
        </w:tc>
        <w:tc>
          <w:tcPr>
            <w:tcW w:w="3096" w:type="dxa"/>
          </w:tcPr>
          <w:p w14:paraId="21E91A79" w14:textId="77777777" w:rsidR="00400398" w:rsidRPr="001E05C2" w:rsidRDefault="000E5531" w:rsidP="000603E8">
            <w:pPr>
              <w:keepNext/>
              <w:keepLines/>
              <w:spacing w:line="280" w:lineRule="exact"/>
              <w:jc w:val="center"/>
              <w:textAlignment w:val="baseline"/>
              <w:rPr>
                <w:rFonts w:eastAsia="PMingLiU"/>
                <w:b/>
                <w:noProof/>
                <w:sz w:val="36"/>
              </w:rPr>
            </w:pPr>
            <w:r w:rsidRPr="001E05C2">
              <w:rPr>
                <w:b/>
                <w:noProof/>
              </w:rPr>
              <w:t xml:space="preserve">Bevacizumab </w:t>
            </w:r>
            <w:r w:rsidR="00400398" w:rsidRPr="001E05C2">
              <w:rPr>
                <w:b/>
                <w:noProof/>
              </w:rPr>
              <w:t>+ C/G</w:t>
            </w:r>
          </w:p>
          <w:p w14:paraId="06A96ABA" w14:textId="77777777" w:rsidR="00400398" w:rsidRPr="001E05C2" w:rsidRDefault="00400398" w:rsidP="000603E8">
            <w:pPr>
              <w:keepNext/>
              <w:keepLines/>
              <w:jc w:val="center"/>
              <w:rPr>
                <w:b/>
                <w:noProof/>
              </w:rPr>
            </w:pPr>
            <w:r w:rsidRPr="001E05C2">
              <w:rPr>
                <w:b/>
                <w:noProof/>
              </w:rPr>
              <w:t>(n = 242)</w:t>
            </w:r>
          </w:p>
        </w:tc>
      </w:tr>
      <w:tr w:rsidR="00400398" w:rsidRPr="00215594" w14:paraId="491FB3B3" w14:textId="77777777" w:rsidTr="000603E8">
        <w:tc>
          <w:tcPr>
            <w:tcW w:w="3095" w:type="dxa"/>
          </w:tcPr>
          <w:p w14:paraId="64D86887" w14:textId="77777777" w:rsidR="00400398" w:rsidRPr="001E05C2" w:rsidRDefault="00400398" w:rsidP="000603E8">
            <w:pPr>
              <w:keepNext/>
              <w:keepLines/>
              <w:rPr>
                <w:noProof/>
              </w:rPr>
            </w:pPr>
            <w:r w:rsidRPr="001E05C2">
              <w:rPr>
                <w:noProof/>
              </w:rPr>
              <w:t>6 – 12 meses (n</w:t>
            </w:r>
            <w:r w:rsidR="0059032D" w:rsidRPr="001E05C2">
              <w:rPr>
                <w:noProof/>
              </w:rPr>
              <w:t xml:space="preserve"> </w:t>
            </w:r>
            <w:r w:rsidRPr="001E05C2">
              <w:rPr>
                <w:noProof/>
              </w:rPr>
              <w:t>=</w:t>
            </w:r>
            <w:r w:rsidR="0059032D" w:rsidRPr="001E05C2">
              <w:rPr>
                <w:noProof/>
              </w:rPr>
              <w:t xml:space="preserve"> </w:t>
            </w:r>
            <w:r w:rsidRPr="001E05C2">
              <w:rPr>
                <w:noProof/>
              </w:rPr>
              <w:t>202)</w:t>
            </w:r>
          </w:p>
        </w:tc>
        <w:tc>
          <w:tcPr>
            <w:tcW w:w="3096" w:type="dxa"/>
          </w:tcPr>
          <w:p w14:paraId="5D2EE845" w14:textId="77777777" w:rsidR="00400398" w:rsidRPr="00215594" w:rsidRDefault="00400398" w:rsidP="000603E8">
            <w:pPr>
              <w:keepNext/>
              <w:keepLines/>
              <w:jc w:val="center"/>
              <w:rPr>
                <w:noProof/>
              </w:rPr>
            </w:pPr>
          </w:p>
        </w:tc>
        <w:tc>
          <w:tcPr>
            <w:tcW w:w="3096" w:type="dxa"/>
          </w:tcPr>
          <w:p w14:paraId="6B91881D" w14:textId="77777777" w:rsidR="00400398" w:rsidRPr="00215594" w:rsidRDefault="00400398" w:rsidP="000603E8">
            <w:pPr>
              <w:keepNext/>
              <w:keepLines/>
              <w:jc w:val="center"/>
              <w:rPr>
                <w:noProof/>
              </w:rPr>
            </w:pPr>
          </w:p>
        </w:tc>
      </w:tr>
      <w:tr w:rsidR="00400398" w:rsidRPr="00215594" w14:paraId="49E6A1FF" w14:textId="77777777" w:rsidTr="000603E8">
        <w:tc>
          <w:tcPr>
            <w:tcW w:w="3095" w:type="dxa"/>
          </w:tcPr>
          <w:p w14:paraId="603DBAE8" w14:textId="77777777" w:rsidR="00400398" w:rsidRPr="001E05C2" w:rsidRDefault="00400398" w:rsidP="000603E8">
            <w:pPr>
              <w:keepNext/>
              <w:keepLines/>
              <w:ind w:left="270"/>
              <w:rPr>
                <w:noProof/>
              </w:rPr>
            </w:pPr>
            <w:r w:rsidRPr="001E05C2">
              <w:rPr>
                <w:noProof/>
              </w:rPr>
              <w:t>Mediana</w:t>
            </w:r>
          </w:p>
        </w:tc>
        <w:tc>
          <w:tcPr>
            <w:tcW w:w="3096" w:type="dxa"/>
          </w:tcPr>
          <w:p w14:paraId="3B38512A" w14:textId="77777777" w:rsidR="00400398" w:rsidRPr="00215594" w:rsidRDefault="00400398" w:rsidP="000603E8">
            <w:pPr>
              <w:keepNext/>
              <w:keepLines/>
              <w:jc w:val="center"/>
              <w:rPr>
                <w:noProof/>
              </w:rPr>
            </w:pPr>
            <w:r w:rsidRPr="00215594">
              <w:rPr>
                <w:noProof/>
              </w:rPr>
              <w:t>8,0</w:t>
            </w:r>
          </w:p>
        </w:tc>
        <w:tc>
          <w:tcPr>
            <w:tcW w:w="3096" w:type="dxa"/>
          </w:tcPr>
          <w:p w14:paraId="7A8E8DE6" w14:textId="77777777" w:rsidR="00400398" w:rsidRPr="00215594" w:rsidRDefault="00400398" w:rsidP="000603E8">
            <w:pPr>
              <w:keepNext/>
              <w:keepLines/>
              <w:jc w:val="center"/>
              <w:rPr>
                <w:noProof/>
              </w:rPr>
            </w:pPr>
            <w:r w:rsidRPr="00215594">
              <w:rPr>
                <w:noProof/>
              </w:rPr>
              <w:t>11,9</w:t>
            </w:r>
          </w:p>
        </w:tc>
      </w:tr>
      <w:tr w:rsidR="00400398" w:rsidRPr="00215594" w14:paraId="5CDB8FDE" w14:textId="77777777" w:rsidTr="000603E8">
        <w:tc>
          <w:tcPr>
            <w:tcW w:w="3095" w:type="dxa"/>
          </w:tcPr>
          <w:p w14:paraId="2FE18DC7" w14:textId="77777777" w:rsidR="00400398" w:rsidRPr="00215594" w:rsidRDefault="00400398" w:rsidP="000603E8">
            <w:pPr>
              <w:keepNext/>
              <w:keepLines/>
              <w:ind w:left="284"/>
              <w:rPr>
                <w:szCs w:val="22"/>
              </w:rPr>
            </w:pPr>
            <w:r w:rsidRPr="00215594">
              <w:rPr>
                <w:i/>
                <w:szCs w:val="22"/>
              </w:rPr>
              <w:t xml:space="preserve">Hazard </w:t>
            </w:r>
            <w:r w:rsidR="00D35B8D">
              <w:rPr>
                <w:i/>
                <w:szCs w:val="22"/>
              </w:rPr>
              <w:t>r</w:t>
            </w:r>
            <w:r w:rsidRPr="00215594">
              <w:rPr>
                <w:i/>
                <w:szCs w:val="22"/>
              </w:rPr>
              <w:t xml:space="preserve">atio </w:t>
            </w:r>
            <w:r w:rsidRPr="00215594">
              <w:rPr>
                <w:szCs w:val="22"/>
              </w:rPr>
              <w:t>(taxa de risco)</w:t>
            </w:r>
          </w:p>
          <w:p w14:paraId="7B08D279" w14:textId="77777777" w:rsidR="00400398" w:rsidRPr="00215594" w:rsidRDefault="00400398" w:rsidP="000603E8">
            <w:pPr>
              <w:keepNext/>
              <w:keepLines/>
              <w:ind w:left="270"/>
              <w:rPr>
                <w:noProof/>
              </w:rPr>
            </w:pPr>
            <w:r w:rsidRPr="00215594">
              <w:rPr>
                <w:szCs w:val="22"/>
              </w:rPr>
              <w:t xml:space="preserve"> </w:t>
            </w:r>
            <w:r w:rsidRPr="00215594">
              <w:rPr>
                <w:noProof/>
              </w:rPr>
              <w:t>(IC 95%)</w:t>
            </w:r>
          </w:p>
        </w:tc>
        <w:tc>
          <w:tcPr>
            <w:tcW w:w="6192" w:type="dxa"/>
            <w:gridSpan w:val="2"/>
          </w:tcPr>
          <w:p w14:paraId="1C7F5B3A" w14:textId="77777777" w:rsidR="00400398" w:rsidRPr="00215594" w:rsidRDefault="00400398" w:rsidP="000603E8">
            <w:pPr>
              <w:keepNext/>
              <w:keepLines/>
              <w:jc w:val="center"/>
              <w:rPr>
                <w:noProof/>
              </w:rPr>
            </w:pPr>
            <w:r w:rsidRPr="00215594">
              <w:rPr>
                <w:noProof/>
              </w:rPr>
              <w:t>0,41 (0,29 - 0,58)</w:t>
            </w:r>
          </w:p>
        </w:tc>
      </w:tr>
      <w:tr w:rsidR="00400398" w:rsidRPr="00215594" w14:paraId="5BFBD958" w14:textId="77777777" w:rsidTr="000603E8">
        <w:tc>
          <w:tcPr>
            <w:tcW w:w="3095" w:type="dxa"/>
          </w:tcPr>
          <w:p w14:paraId="6E2B22A5" w14:textId="77777777" w:rsidR="00400398" w:rsidRPr="001E05C2" w:rsidRDefault="00400398" w:rsidP="000603E8">
            <w:pPr>
              <w:keepNext/>
              <w:keepLines/>
              <w:rPr>
                <w:noProof/>
              </w:rPr>
            </w:pPr>
            <w:r w:rsidRPr="001E05C2">
              <w:rPr>
                <w:noProof/>
              </w:rPr>
              <w:t>&gt; 12 meses (n</w:t>
            </w:r>
            <w:r w:rsidR="0059032D" w:rsidRPr="001E05C2">
              <w:rPr>
                <w:noProof/>
              </w:rPr>
              <w:t xml:space="preserve"> </w:t>
            </w:r>
            <w:r w:rsidRPr="001E05C2">
              <w:rPr>
                <w:noProof/>
              </w:rPr>
              <w:t>=</w:t>
            </w:r>
            <w:r w:rsidR="0059032D" w:rsidRPr="001E05C2">
              <w:rPr>
                <w:noProof/>
              </w:rPr>
              <w:t xml:space="preserve"> </w:t>
            </w:r>
            <w:r w:rsidRPr="001E05C2">
              <w:rPr>
                <w:noProof/>
              </w:rPr>
              <w:t>282)</w:t>
            </w:r>
          </w:p>
        </w:tc>
        <w:tc>
          <w:tcPr>
            <w:tcW w:w="3096" w:type="dxa"/>
          </w:tcPr>
          <w:p w14:paraId="07DCFC78" w14:textId="77777777" w:rsidR="00400398" w:rsidRPr="00215594" w:rsidRDefault="00400398" w:rsidP="000603E8">
            <w:pPr>
              <w:keepNext/>
              <w:keepLines/>
              <w:jc w:val="center"/>
              <w:rPr>
                <w:noProof/>
              </w:rPr>
            </w:pPr>
          </w:p>
        </w:tc>
        <w:tc>
          <w:tcPr>
            <w:tcW w:w="3096" w:type="dxa"/>
          </w:tcPr>
          <w:p w14:paraId="43CE4A0E" w14:textId="77777777" w:rsidR="00400398" w:rsidRPr="00215594" w:rsidRDefault="00400398" w:rsidP="000603E8">
            <w:pPr>
              <w:keepNext/>
              <w:keepLines/>
              <w:jc w:val="center"/>
              <w:rPr>
                <w:noProof/>
              </w:rPr>
            </w:pPr>
          </w:p>
        </w:tc>
      </w:tr>
      <w:tr w:rsidR="00400398" w:rsidRPr="00215594" w14:paraId="5ECA21F5" w14:textId="77777777" w:rsidTr="000603E8">
        <w:tc>
          <w:tcPr>
            <w:tcW w:w="3095" w:type="dxa"/>
          </w:tcPr>
          <w:p w14:paraId="67CDF223" w14:textId="77777777" w:rsidR="00400398" w:rsidRPr="001E05C2" w:rsidRDefault="00400398" w:rsidP="000603E8">
            <w:pPr>
              <w:keepNext/>
              <w:ind w:left="270"/>
              <w:rPr>
                <w:noProof/>
              </w:rPr>
            </w:pPr>
            <w:r w:rsidRPr="001E05C2">
              <w:rPr>
                <w:noProof/>
              </w:rPr>
              <w:t>Mediana</w:t>
            </w:r>
          </w:p>
        </w:tc>
        <w:tc>
          <w:tcPr>
            <w:tcW w:w="3096" w:type="dxa"/>
          </w:tcPr>
          <w:p w14:paraId="62CF1B81" w14:textId="77777777" w:rsidR="00400398" w:rsidRPr="00215594" w:rsidRDefault="00400398" w:rsidP="000603E8">
            <w:pPr>
              <w:keepNext/>
              <w:jc w:val="center"/>
              <w:rPr>
                <w:noProof/>
              </w:rPr>
            </w:pPr>
            <w:r w:rsidRPr="00215594">
              <w:rPr>
                <w:noProof/>
              </w:rPr>
              <w:t>9,7</w:t>
            </w:r>
          </w:p>
        </w:tc>
        <w:tc>
          <w:tcPr>
            <w:tcW w:w="3096" w:type="dxa"/>
          </w:tcPr>
          <w:p w14:paraId="3E5F0831" w14:textId="77777777" w:rsidR="00400398" w:rsidRPr="00215594" w:rsidRDefault="00400398" w:rsidP="000603E8">
            <w:pPr>
              <w:keepNext/>
              <w:jc w:val="center"/>
              <w:rPr>
                <w:noProof/>
              </w:rPr>
            </w:pPr>
            <w:r w:rsidRPr="00215594">
              <w:rPr>
                <w:noProof/>
              </w:rPr>
              <w:t>12,4</w:t>
            </w:r>
          </w:p>
        </w:tc>
      </w:tr>
      <w:tr w:rsidR="00400398" w:rsidRPr="00215594" w14:paraId="19E19B8D" w14:textId="77777777" w:rsidTr="000603E8">
        <w:tc>
          <w:tcPr>
            <w:tcW w:w="3095" w:type="dxa"/>
          </w:tcPr>
          <w:p w14:paraId="0B858BE6" w14:textId="77777777" w:rsidR="00400398" w:rsidRPr="00215594" w:rsidRDefault="00400398" w:rsidP="000603E8">
            <w:pPr>
              <w:ind w:left="284"/>
              <w:rPr>
                <w:szCs w:val="22"/>
              </w:rPr>
            </w:pPr>
            <w:r w:rsidRPr="00215594">
              <w:rPr>
                <w:i/>
                <w:szCs w:val="22"/>
              </w:rPr>
              <w:t xml:space="preserve">Hazard </w:t>
            </w:r>
            <w:r w:rsidR="00D35B8D">
              <w:rPr>
                <w:i/>
                <w:szCs w:val="22"/>
              </w:rPr>
              <w:t>r</w:t>
            </w:r>
            <w:r w:rsidRPr="00215594">
              <w:rPr>
                <w:i/>
                <w:szCs w:val="22"/>
              </w:rPr>
              <w:t xml:space="preserve">atio </w:t>
            </w:r>
            <w:r w:rsidRPr="00215594">
              <w:rPr>
                <w:szCs w:val="22"/>
              </w:rPr>
              <w:t>(taxa de risco)</w:t>
            </w:r>
          </w:p>
          <w:p w14:paraId="1D54AC81" w14:textId="77777777" w:rsidR="00400398" w:rsidRPr="00215594" w:rsidRDefault="00400398" w:rsidP="000603E8">
            <w:pPr>
              <w:ind w:left="270"/>
              <w:rPr>
                <w:noProof/>
              </w:rPr>
            </w:pPr>
            <w:r w:rsidRPr="00215594">
              <w:rPr>
                <w:szCs w:val="22"/>
              </w:rPr>
              <w:t xml:space="preserve"> </w:t>
            </w:r>
            <w:r w:rsidRPr="00215594">
              <w:rPr>
                <w:noProof/>
              </w:rPr>
              <w:t>(IC 95%)</w:t>
            </w:r>
          </w:p>
        </w:tc>
        <w:tc>
          <w:tcPr>
            <w:tcW w:w="6192" w:type="dxa"/>
            <w:gridSpan w:val="2"/>
          </w:tcPr>
          <w:p w14:paraId="546AA24F" w14:textId="77777777" w:rsidR="00400398" w:rsidRPr="00215594" w:rsidRDefault="00400398" w:rsidP="000603E8">
            <w:pPr>
              <w:jc w:val="center"/>
              <w:rPr>
                <w:noProof/>
              </w:rPr>
            </w:pPr>
            <w:r w:rsidRPr="00215594">
              <w:rPr>
                <w:noProof/>
              </w:rPr>
              <w:t>0,55 (0,41 – 0,73)</w:t>
            </w:r>
          </w:p>
        </w:tc>
      </w:tr>
    </w:tbl>
    <w:p w14:paraId="7F192472" w14:textId="77777777" w:rsidR="00400398" w:rsidRDefault="00400398" w:rsidP="00A2273E">
      <w:pPr>
        <w:rPr>
          <w:i/>
          <w:noProof/>
        </w:rPr>
      </w:pPr>
    </w:p>
    <w:p w14:paraId="02981A69" w14:textId="77777777" w:rsidR="007E4BAC" w:rsidRPr="006D4612" w:rsidRDefault="007E4BAC" w:rsidP="007E4BAC">
      <w:pPr>
        <w:rPr>
          <w:i/>
        </w:rPr>
      </w:pPr>
      <w:r w:rsidRPr="006D4612">
        <w:rPr>
          <w:i/>
        </w:rPr>
        <w:t>GOG-0213</w:t>
      </w:r>
    </w:p>
    <w:p w14:paraId="2039DE53" w14:textId="77777777" w:rsidR="007E4BAC" w:rsidRPr="00EB1E8F" w:rsidRDefault="00712983" w:rsidP="007E4BAC">
      <w:r>
        <w:t xml:space="preserve">O </w:t>
      </w:r>
      <w:r w:rsidR="007E4BAC" w:rsidRPr="00EB1E8F">
        <w:t>GOG-0213, um ensaio de fase III</w:t>
      </w:r>
      <w:r w:rsidR="007E4BAC">
        <w:t xml:space="preserve"> aberto</w:t>
      </w:r>
      <w:r w:rsidR="007E4BAC" w:rsidRPr="00EB1E8F">
        <w:t>, aleatorizado</w:t>
      </w:r>
      <w:r w:rsidR="007E4BAC">
        <w:t xml:space="preserve">, controlado, estudou a segurança e a eficácia de </w:t>
      </w:r>
      <w:r w:rsidR="000E5531">
        <w:t xml:space="preserve">bevacizumab </w:t>
      </w:r>
      <w:r w:rsidR="007E4BAC">
        <w:t xml:space="preserve">no tratamento </w:t>
      </w:r>
      <w:r w:rsidR="007E4BAC" w:rsidRPr="007232E4">
        <w:t xml:space="preserve">de doentes com cancro epitelial do ovário, da trompa de Falópio ou </w:t>
      </w:r>
      <w:r w:rsidR="00F631B5">
        <w:t xml:space="preserve">cancro </w:t>
      </w:r>
      <w:r w:rsidR="007E4BAC" w:rsidRPr="007232E4">
        <w:t xml:space="preserve">peritoneal primário, </w:t>
      </w:r>
      <w:r>
        <w:t>recorrente,</w:t>
      </w:r>
      <w:r w:rsidRPr="007232E4">
        <w:t xml:space="preserve"> </w:t>
      </w:r>
      <w:r w:rsidR="007E4BAC" w:rsidRPr="007232E4">
        <w:t>sensíve</w:t>
      </w:r>
      <w:r>
        <w:t>l</w:t>
      </w:r>
      <w:r w:rsidR="007E4BAC" w:rsidRPr="007232E4">
        <w:t xml:space="preserve"> a </w:t>
      </w:r>
      <w:r w:rsidR="007E4BAC">
        <w:t>platina</w:t>
      </w:r>
      <w:r w:rsidR="00804B28" w:rsidRPr="007232E4">
        <w:t xml:space="preserve">, que não receberam quimioterapia anterior no contexto </w:t>
      </w:r>
      <w:r>
        <w:t xml:space="preserve">da </w:t>
      </w:r>
      <w:r w:rsidR="00804B28" w:rsidRPr="007232E4">
        <w:t>recorr</w:t>
      </w:r>
      <w:r>
        <w:t>ência</w:t>
      </w:r>
      <w:r w:rsidR="00804B28">
        <w:t xml:space="preserve">. </w:t>
      </w:r>
      <w:r w:rsidR="00804B28" w:rsidRPr="005328A5">
        <w:t xml:space="preserve">Não houve critério de exclusão para terapêutica prévia </w:t>
      </w:r>
      <w:r>
        <w:t xml:space="preserve">com </w:t>
      </w:r>
      <w:r w:rsidR="00804B28" w:rsidRPr="005328A5">
        <w:t>antiangiog</w:t>
      </w:r>
      <w:r w:rsidR="00804B28" w:rsidRPr="00EB1E8F">
        <w:t>énic</w:t>
      </w:r>
      <w:r>
        <w:t>os</w:t>
      </w:r>
      <w:r w:rsidR="00804B28" w:rsidRPr="005328A5">
        <w:t>.</w:t>
      </w:r>
      <w:r w:rsidR="00804B28" w:rsidRPr="00EB1E8F">
        <w:t xml:space="preserve"> O</w:t>
      </w:r>
      <w:r w:rsidR="00804B28">
        <w:t xml:space="preserve"> estudo avaliou o efeito de associar </w:t>
      </w:r>
      <w:r w:rsidR="000E5531">
        <w:t xml:space="preserve">bevacizumab </w:t>
      </w:r>
      <w:r w:rsidR="00804B28">
        <w:t xml:space="preserve">a carboplatina + paclitaxel e continuar </w:t>
      </w:r>
      <w:r w:rsidR="000E5531">
        <w:t xml:space="preserve">bevacizumab </w:t>
      </w:r>
      <w:r w:rsidR="00804B28">
        <w:t xml:space="preserve">como </w:t>
      </w:r>
      <w:r w:rsidR="00BC62C9">
        <w:t>agente único</w:t>
      </w:r>
      <w:r w:rsidR="00804B28">
        <w:t xml:space="preserve"> até progressão da doença ou toxicidade inaceitável, comparativamente a </w:t>
      </w:r>
      <w:r>
        <w:t xml:space="preserve">apenas </w:t>
      </w:r>
      <w:r w:rsidR="00804B28">
        <w:t>carboplatina + paclitaxel.</w:t>
      </w:r>
    </w:p>
    <w:p w14:paraId="6712E820" w14:textId="77777777" w:rsidR="007E4BAC" w:rsidRPr="00EB1E8F" w:rsidRDefault="007E4BAC" w:rsidP="007E4BAC">
      <w:pPr>
        <w:rPr>
          <w:szCs w:val="22"/>
        </w:rPr>
      </w:pPr>
    </w:p>
    <w:p w14:paraId="5B5FF987" w14:textId="77777777" w:rsidR="007E4BAC" w:rsidRPr="00EB1E8F" w:rsidRDefault="004528F1" w:rsidP="007E4BAC">
      <w:pPr>
        <w:rPr>
          <w:rFonts w:eastAsia="MS Mincho"/>
          <w:lang w:eastAsia="de-DE"/>
        </w:rPr>
      </w:pPr>
      <w:r w:rsidRPr="00EB1E8F">
        <w:rPr>
          <w:rFonts w:eastAsia="MS Mincho"/>
          <w:lang w:eastAsia="de-DE"/>
        </w:rPr>
        <w:t>Um</w:t>
      </w:r>
      <w:r w:rsidR="007E4BAC" w:rsidRPr="00EB1E8F">
        <w:rPr>
          <w:rFonts w:eastAsia="MS Mincho"/>
          <w:lang w:eastAsia="de-DE"/>
        </w:rPr>
        <w:t xml:space="preserve"> total </w:t>
      </w:r>
      <w:r w:rsidRPr="00EB1E8F">
        <w:rPr>
          <w:rFonts w:eastAsia="MS Mincho"/>
          <w:lang w:eastAsia="de-DE"/>
        </w:rPr>
        <w:t>de</w:t>
      </w:r>
      <w:r w:rsidR="007E4BAC" w:rsidRPr="00EB1E8F">
        <w:rPr>
          <w:rFonts w:eastAsia="MS Mincho"/>
          <w:lang w:eastAsia="de-DE"/>
        </w:rPr>
        <w:t xml:space="preserve"> 673 </w:t>
      </w:r>
      <w:r w:rsidRPr="00EB1E8F">
        <w:rPr>
          <w:rFonts w:eastAsia="MS Mincho"/>
          <w:lang w:eastAsia="de-DE"/>
        </w:rPr>
        <w:t>doentes foram aleatorizad</w:t>
      </w:r>
      <w:r w:rsidR="00F631B5">
        <w:rPr>
          <w:rFonts w:eastAsia="MS Mincho"/>
          <w:lang w:eastAsia="de-DE"/>
        </w:rPr>
        <w:t>a</w:t>
      </w:r>
      <w:r w:rsidRPr="00EB1E8F">
        <w:rPr>
          <w:rFonts w:eastAsia="MS Mincho"/>
          <w:lang w:eastAsia="de-DE"/>
        </w:rPr>
        <w:t>s em proporções iguais nos dois braços de tratamento</w:t>
      </w:r>
      <w:r w:rsidR="00712983" w:rsidRPr="00712983">
        <w:rPr>
          <w:rFonts w:eastAsia="MS Mincho"/>
          <w:lang w:eastAsia="de-DE"/>
        </w:rPr>
        <w:t xml:space="preserve"> </w:t>
      </w:r>
      <w:r w:rsidR="00712983" w:rsidRPr="00316F26">
        <w:rPr>
          <w:rFonts w:eastAsia="MS Mincho"/>
          <w:lang w:eastAsia="de-DE"/>
        </w:rPr>
        <w:t>seguintes</w:t>
      </w:r>
      <w:r w:rsidRPr="00EB1E8F">
        <w:rPr>
          <w:rFonts w:eastAsia="MS Mincho"/>
          <w:lang w:eastAsia="de-DE"/>
        </w:rPr>
        <w:t>:</w:t>
      </w:r>
    </w:p>
    <w:p w14:paraId="0BF48B16" w14:textId="23C4F222" w:rsidR="007E4BAC" w:rsidRPr="00EB1E8F" w:rsidRDefault="007E4BAC" w:rsidP="00CA5962">
      <w:pPr>
        <w:ind w:left="567" w:hanging="567"/>
        <w:rPr>
          <w:rFonts w:eastAsia="MS Mincho"/>
          <w:lang w:eastAsia="de-DE"/>
        </w:rPr>
      </w:pPr>
      <w:r w:rsidRPr="00EB1E8F">
        <w:t>•</w:t>
      </w:r>
      <w:r w:rsidRPr="00EB1E8F">
        <w:tab/>
      </w:r>
      <w:r w:rsidR="004528F1" w:rsidRPr="00EB1E8F">
        <w:t xml:space="preserve">Braço </w:t>
      </w:r>
      <w:r w:rsidR="004528F1" w:rsidRPr="00EB1E8F">
        <w:rPr>
          <w:rFonts w:eastAsia="MS Mincho"/>
          <w:lang w:eastAsia="de-DE"/>
        </w:rPr>
        <w:t>CP</w:t>
      </w:r>
      <w:r w:rsidRPr="00EB1E8F">
        <w:rPr>
          <w:rFonts w:eastAsia="MS Mincho"/>
          <w:lang w:eastAsia="de-DE"/>
        </w:rPr>
        <w:t>: Carboplatin</w:t>
      </w:r>
      <w:r w:rsidR="004528F1" w:rsidRPr="00EB1E8F">
        <w:rPr>
          <w:rFonts w:eastAsia="MS Mincho"/>
          <w:lang w:eastAsia="de-DE"/>
        </w:rPr>
        <w:t>a</w:t>
      </w:r>
      <w:r w:rsidRPr="00EB1E8F">
        <w:rPr>
          <w:rFonts w:eastAsia="MS Mincho"/>
          <w:lang w:eastAsia="de-DE"/>
        </w:rPr>
        <w:t xml:space="preserve"> (AUC5) </w:t>
      </w:r>
      <w:r w:rsidR="004528F1" w:rsidRPr="00EB1E8F">
        <w:rPr>
          <w:rFonts w:eastAsia="MS Mincho"/>
          <w:lang w:eastAsia="de-DE"/>
        </w:rPr>
        <w:t>e</w:t>
      </w:r>
      <w:r w:rsidRPr="00EB1E8F">
        <w:rPr>
          <w:rFonts w:eastAsia="MS Mincho"/>
          <w:lang w:eastAsia="de-DE"/>
        </w:rPr>
        <w:t xml:space="preserve"> paclitaxel (175 mg/m</w:t>
      </w:r>
      <w:r w:rsidRPr="00EB1E8F">
        <w:rPr>
          <w:rFonts w:eastAsia="MS Mincho"/>
          <w:vertAlign w:val="superscript"/>
          <w:lang w:eastAsia="de-DE"/>
        </w:rPr>
        <w:t>2</w:t>
      </w:r>
      <w:r w:rsidRPr="00EB1E8F">
        <w:rPr>
          <w:rFonts w:eastAsia="MS Mincho"/>
          <w:lang w:eastAsia="de-DE"/>
        </w:rPr>
        <w:t xml:space="preserve"> </w:t>
      </w:r>
      <w:r w:rsidR="00096F93" w:rsidRPr="0081705C">
        <w:rPr>
          <w:rFonts w:eastAsia="MS Mincho"/>
          <w:lang w:eastAsia="de-DE"/>
        </w:rPr>
        <w:t>por via intravenosa</w:t>
      </w:r>
      <w:r w:rsidRPr="00EB1E8F">
        <w:rPr>
          <w:rFonts w:eastAsia="MS Mincho"/>
          <w:lang w:eastAsia="de-DE"/>
        </w:rPr>
        <w:t xml:space="preserve">) </w:t>
      </w:r>
      <w:r w:rsidR="004528F1" w:rsidRPr="00EB1E8F">
        <w:rPr>
          <w:rFonts w:eastAsia="MS Mincho"/>
          <w:lang w:eastAsia="de-DE"/>
        </w:rPr>
        <w:t>a cada 3 semanas durante 6 e at</w:t>
      </w:r>
      <w:r w:rsidR="004528F1">
        <w:rPr>
          <w:rFonts w:eastAsia="MS Mincho"/>
          <w:lang w:eastAsia="de-DE"/>
        </w:rPr>
        <w:t>é 8 ciclos</w:t>
      </w:r>
      <w:r w:rsidRPr="00EB1E8F">
        <w:rPr>
          <w:rFonts w:eastAsia="MS Mincho"/>
          <w:lang w:eastAsia="de-DE"/>
        </w:rPr>
        <w:t>.</w:t>
      </w:r>
    </w:p>
    <w:p w14:paraId="3F8872B4" w14:textId="5589C077" w:rsidR="007E4BAC" w:rsidRPr="00EB1E8F" w:rsidRDefault="007E4BAC" w:rsidP="00CA5962">
      <w:pPr>
        <w:ind w:left="567" w:hanging="567"/>
        <w:rPr>
          <w:rFonts w:eastAsia="MS Mincho"/>
          <w:lang w:eastAsia="de-DE"/>
        </w:rPr>
      </w:pPr>
      <w:r w:rsidRPr="00EB1E8F">
        <w:t>•</w:t>
      </w:r>
      <w:r w:rsidRPr="00EB1E8F">
        <w:tab/>
      </w:r>
      <w:r w:rsidR="004528F1" w:rsidRPr="00EB1E8F">
        <w:t xml:space="preserve">Braço </w:t>
      </w:r>
      <w:r w:rsidR="004528F1" w:rsidRPr="00EB1E8F">
        <w:rPr>
          <w:rFonts w:eastAsia="MS Mincho"/>
          <w:lang w:eastAsia="de-DE"/>
        </w:rPr>
        <w:t>CPB</w:t>
      </w:r>
      <w:r w:rsidRPr="00EB1E8F">
        <w:rPr>
          <w:rFonts w:eastAsia="MS Mincho"/>
          <w:lang w:eastAsia="de-DE"/>
        </w:rPr>
        <w:t>: Carboplatin</w:t>
      </w:r>
      <w:r w:rsidR="004528F1" w:rsidRPr="00EB1E8F">
        <w:rPr>
          <w:rFonts w:eastAsia="MS Mincho"/>
          <w:lang w:eastAsia="de-DE"/>
        </w:rPr>
        <w:t>a</w:t>
      </w:r>
      <w:r w:rsidRPr="00EB1E8F">
        <w:rPr>
          <w:rFonts w:eastAsia="MS Mincho"/>
          <w:lang w:eastAsia="de-DE"/>
        </w:rPr>
        <w:t xml:space="preserve"> (AUC5) </w:t>
      </w:r>
      <w:r w:rsidR="004528F1" w:rsidRPr="00EB1E8F">
        <w:rPr>
          <w:rFonts w:eastAsia="MS Mincho"/>
          <w:lang w:eastAsia="de-DE"/>
        </w:rPr>
        <w:t>e</w:t>
      </w:r>
      <w:r w:rsidRPr="00EB1E8F">
        <w:rPr>
          <w:rFonts w:eastAsia="MS Mincho"/>
          <w:lang w:eastAsia="de-DE"/>
        </w:rPr>
        <w:t xml:space="preserve"> paclitaxel (175 mg/m</w:t>
      </w:r>
      <w:r w:rsidRPr="00EB1E8F">
        <w:rPr>
          <w:rFonts w:eastAsia="MS Mincho"/>
          <w:vertAlign w:val="superscript"/>
          <w:lang w:eastAsia="de-DE"/>
        </w:rPr>
        <w:t>2</w:t>
      </w:r>
      <w:r w:rsidRPr="00EB1E8F">
        <w:rPr>
          <w:rFonts w:eastAsia="MS Mincho"/>
          <w:lang w:eastAsia="de-DE"/>
        </w:rPr>
        <w:t xml:space="preserve"> </w:t>
      </w:r>
      <w:r w:rsidR="00096F93" w:rsidRPr="0081705C">
        <w:rPr>
          <w:rFonts w:eastAsia="MS Mincho"/>
          <w:lang w:eastAsia="de-DE"/>
        </w:rPr>
        <w:t>por via intravenosa</w:t>
      </w:r>
      <w:r w:rsidRPr="00EB1E8F">
        <w:rPr>
          <w:rFonts w:eastAsia="MS Mincho"/>
          <w:lang w:eastAsia="de-DE"/>
        </w:rPr>
        <w:t xml:space="preserve">) </w:t>
      </w:r>
      <w:r w:rsidR="00712983">
        <w:rPr>
          <w:rFonts w:eastAsia="MS Mincho"/>
          <w:lang w:eastAsia="de-DE"/>
        </w:rPr>
        <w:t>e</w:t>
      </w:r>
      <w:r w:rsidRPr="00EB1E8F">
        <w:rPr>
          <w:rFonts w:eastAsia="MS Mincho"/>
          <w:lang w:eastAsia="de-DE"/>
        </w:rPr>
        <w:t xml:space="preserve"> </w:t>
      </w:r>
      <w:r w:rsidR="000E5531">
        <w:rPr>
          <w:rFonts w:eastAsia="MS Mincho"/>
          <w:lang w:eastAsia="de-DE"/>
        </w:rPr>
        <w:t>bevacizumab</w:t>
      </w:r>
      <w:r w:rsidR="000E5531" w:rsidRPr="00EB1E8F">
        <w:rPr>
          <w:rFonts w:eastAsia="MS Mincho"/>
          <w:lang w:eastAsia="de-DE"/>
        </w:rPr>
        <w:t xml:space="preserve"> </w:t>
      </w:r>
      <w:r w:rsidR="004528F1" w:rsidRPr="00EB1E8F">
        <w:rPr>
          <w:rFonts w:eastAsia="MS Mincho"/>
          <w:lang w:eastAsia="de-DE"/>
        </w:rPr>
        <w:t>concomitante</w:t>
      </w:r>
      <w:r w:rsidRPr="00EB1E8F">
        <w:rPr>
          <w:rFonts w:eastAsia="MS Mincho"/>
          <w:lang w:eastAsia="de-DE"/>
        </w:rPr>
        <w:t xml:space="preserve"> (15 mg/kg) </w:t>
      </w:r>
      <w:r w:rsidR="004528F1" w:rsidRPr="005328A5">
        <w:rPr>
          <w:rFonts w:eastAsia="MS Mincho"/>
          <w:lang w:eastAsia="de-DE"/>
        </w:rPr>
        <w:t>a cada 3 semanas durante 6 e at</w:t>
      </w:r>
      <w:r w:rsidR="004528F1" w:rsidRPr="00EB1E8F">
        <w:rPr>
          <w:rFonts w:eastAsia="MS Mincho"/>
          <w:lang w:eastAsia="de-DE"/>
        </w:rPr>
        <w:t>é 8 ciclos</w:t>
      </w:r>
      <w:r w:rsidRPr="00EB1E8F">
        <w:rPr>
          <w:rFonts w:eastAsia="MS Mincho"/>
          <w:lang w:eastAsia="de-DE"/>
        </w:rPr>
        <w:t xml:space="preserve">, </w:t>
      </w:r>
      <w:r w:rsidR="004528F1" w:rsidRPr="00EB1E8F">
        <w:rPr>
          <w:rFonts w:eastAsia="MS Mincho"/>
          <w:lang w:eastAsia="de-DE"/>
        </w:rPr>
        <w:t>seguido de</w:t>
      </w:r>
      <w:r w:rsidRPr="00EB1E8F">
        <w:rPr>
          <w:rFonts w:eastAsia="MS Mincho"/>
          <w:lang w:eastAsia="de-DE"/>
        </w:rPr>
        <w:t xml:space="preserve"> </w:t>
      </w:r>
      <w:r w:rsidR="000E5531">
        <w:rPr>
          <w:rFonts w:eastAsia="MS Mincho"/>
          <w:lang w:eastAsia="de-DE"/>
        </w:rPr>
        <w:t>bevacizumab</w:t>
      </w:r>
      <w:r w:rsidR="000E5531" w:rsidRPr="00EB1E8F">
        <w:rPr>
          <w:rFonts w:eastAsia="MS Mincho"/>
          <w:lang w:eastAsia="de-DE"/>
        </w:rPr>
        <w:t xml:space="preserve"> </w:t>
      </w:r>
      <w:r w:rsidRPr="00EB1E8F">
        <w:rPr>
          <w:rFonts w:eastAsia="MS Mincho"/>
          <w:lang w:eastAsia="de-DE"/>
        </w:rPr>
        <w:t xml:space="preserve">(15 mg/kg </w:t>
      </w:r>
      <w:r w:rsidR="004528F1" w:rsidRPr="006C0202">
        <w:rPr>
          <w:rFonts w:eastAsia="MS Mincho"/>
          <w:lang w:eastAsia="de-DE"/>
        </w:rPr>
        <w:t>a cada 3 semanas</w:t>
      </w:r>
      <w:r w:rsidRPr="00EB1E8F">
        <w:rPr>
          <w:rFonts w:eastAsia="MS Mincho"/>
          <w:lang w:eastAsia="de-DE"/>
        </w:rPr>
        <w:t xml:space="preserve">) </w:t>
      </w:r>
      <w:r w:rsidR="004528F1">
        <w:rPr>
          <w:rFonts w:eastAsia="MS Mincho"/>
          <w:lang w:eastAsia="de-DE"/>
        </w:rPr>
        <w:t>isolad</w:t>
      </w:r>
      <w:r w:rsidR="003A4BA8">
        <w:rPr>
          <w:rFonts w:eastAsia="MS Mincho"/>
          <w:lang w:eastAsia="de-DE"/>
        </w:rPr>
        <w:t>amente</w:t>
      </w:r>
      <w:r w:rsidR="004528F1">
        <w:rPr>
          <w:rFonts w:eastAsia="MS Mincho"/>
          <w:lang w:eastAsia="de-DE"/>
        </w:rPr>
        <w:t xml:space="preserve"> </w:t>
      </w:r>
      <w:r w:rsidR="004528F1">
        <w:t>até progressão da doença ou toxicidade inaceitável</w:t>
      </w:r>
      <w:r w:rsidRPr="00EB1E8F">
        <w:rPr>
          <w:rFonts w:eastAsia="MS Mincho"/>
          <w:lang w:eastAsia="de-DE"/>
        </w:rPr>
        <w:t>.</w:t>
      </w:r>
    </w:p>
    <w:p w14:paraId="70A54791" w14:textId="77777777" w:rsidR="007E4BAC" w:rsidRPr="00EB1E8F" w:rsidRDefault="007E4BAC" w:rsidP="007E4BAC">
      <w:pPr>
        <w:rPr>
          <w:rFonts w:eastAsia="MS Mincho"/>
          <w:lang w:eastAsia="de-DE"/>
        </w:rPr>
      </w:pPr>
    </w:p>
    <w:p w14:paraId="0FB78043" w14:textId="77777777" w:rsidR="00BC62C9" w:rsidRPr="00EB1E8F" w:rsidRDefault="00BC62C9" w:rsidP="007E4BAC">
      <w:pPr>
        <w:rPr>
          <w:rFonts w:eastAsia="MS Mincho"/>
          <w:lang w:eastAsia="de-DE"/>
        </w:rPr>
      </w:pPr>
      <w:r w:rsidRPr="00EB1E8F">
        <w:rPr>
          <w:rFonts w:eastAsia="MS Mincho"/>
          <w:lang w:eastAsia="de-DE"/>
        </w:rPr>
        <w:t>A maioria d</w:t>
      </w:r>
      <w:r w:rsidR="00712983">
        <w:rPr>
          <w:rFonts w:eastAsia="MS Mincho"/>
          <w:lang w:eastAsia="de-DE"/>
        </w:rPr>
        <w:t>a</w:t>
      </w:r>
      <w:r w:rsidRPr="00EB1E8F">
        <w:rPr>
          <w:rFonts w:eastAsia="MS Mincho"/>
          <w:lang w:eastAsia="de-DE"/>
        </w:rPr>
        <w:t xml:space="preserve">s doentes </w:t>
      </w:r>
      <w:r>
        <w:rPr>
          <w:rFonts w:eastAsia="MS Mincho"/>
          <w:lang w:eastAsia="de-DE"/>
        </w:rPr>
        <w:t>em ambos os</w:t>
      </w:r>
      <w:r w:rsidRPr="00EB1E8F">
        <w:rPr>
          <w:rFonts w:eastAsia="MS Mincho"/>
          <w:lang w:eastAsia="de-DE"/>
        </w:rPr>
        <w:t xml:space="preserve"> braços</w:t>
      </w:r>
      <w:r>
        <w:rPr>
          <w:rFonts w:eastAsia="MS Mincho"/>
          <w:lang w:eastAsia="de-DE"/>
        </w:rPr>
        <w:t>,</w:t>
      </w:r>
      <w:r w:rsidRPr="00EB1E8F">
        <w:rPr>
          <w:rFonts w:eastAsia="MS Mincho"/>
          <w:lang w:eastAsia="de-DE"/>
        </w:rPr>
        <w:t xml:space="preserve"> </w:t>
      </w:r>
      <w:r>
        <w:rPr>
          <w:rFonts w:eastAsia="MS Mincho"/>
          <w:lang w:eastAsia="de-DE"/>
        </w:rPr>
        <w:t xml:space="preserve">braço </w:t>
      </w:r>
      <w:r w:rsidRPr="00EB1E8F">
        <w:rPr>
          <w:rFonts w:eastAsia="MS Mincho"/>
          <w:lang w:eastAsia="de-DE"/>
        </w:rPr>
        <w:t>CP (80</w:t>
      </w:r>
      <w:r>
        <w:rPr>
          <w:rFonts w:eastAsia="MS Mincho"/>
          <w:lang w:eastAsia="de-DE"/>
        </w:rPr>
        <w:t>,</w:t>
      </w:r>
      <w:r w:rsidRPr="00EB1E8F">
        <w:rPr>
          <w:rFonts w:eastAsia="MS Mincho"/>
          <w:lang w:eastAsia="de-DE"/>
        </w:rPr>
        <w:t xml:space="preserve">4%) </w:t>
      </w:r>
      <w:r>
        <w:rPr>
          <w:rFonts w:eastAsia="MS Mincho"/>
          <w:lang w:eastAsia="de-DE"/>
        </w:rPr>
        <w:t xml:space="preserve">e braço </w:t>
      </w:r>
      <w:r w:rsidRPr="00EB1E8F">
        <w:rPr>
          <w:rFonts w:eastAsia="MS Mincho"/>
          <w:lang w:eastAsia="de-DE"/>
        </w:rPr>
        <w:t>CPB (78</w:t>
      </w:r>
      <w:r>
        <w:rPr>
          <w:rFonts w:eastAsia="MS Mincho"/>
          <w:lang w:eastAsia="de-DE"/>
        </w:rPr>
        <w:t>,</w:t>
      </w:r>
      <w:r w:rsidRPr="00EB1E8F">
        <w:rPr>
          <w:rFonts w:eastAsia="MS Mincho"/>
          <w:lang w:eastAsia="de-DE"/>
        </w:rPr>
        <w:t>9%)</w:t>
      </w:r>
      <w:r>
        <w:rPr>
          <w:rFonts w:eastAsia="MS Mincho"/>
          <w:lang w:eastAsia="de-DE"/>
        </w:rPr>
        <w:t xml:space="preserve">, eram </w:t>
      </w:r>
      <w:r w:rsidR="003A4BA8">
        <w:rPr>
          <w:rFonts w:eastAsia="MS Mincho"/>
          <w:lang w:eastAsia="de-DE"/>
        </w:rPr>
        <w:t>caucasian</w:t>
      </w:r>
      <w:r w:rsidR="00712983">
        <w:rPr>
          <w:rFonts w:eastAsia="MS Mincho"/>
          <w:lang w:eastAsia="de-DE"/>
        </w:rPr>
        <w:t>a</w:t>
      </w:r>
      <w:r w:rsidR="003A4BA8">
        <w:rPr>
          <w:rFonts w:eastAsia="MS Mincho"/>
          <w:lang w:eastAsia="de-DE"/>
        </w:rPr>
        <w:t>s</w:t>
      </w:r>
      <w:r>
        <w:rPr>
          <w:rFonts w:eastAsia="MS Mincho"/>
          <w:lang w:eastAsia="de-DE"/>
        </w:rPr>
        <w:t>. A idade mediana foi de 60,0 anos no braço CP e 59,0 anos no braço CPB. A maioria d</w:t>
      </w:r>
      <w:r w:rsidR="00C172CD">
        <w:rPr>
          <w:rFonts w:eastAsia="MS Mincho"/>
          <w:lang w:eastAsia="de-DE"/>
        </w:rPr>
        <w:t>a</w:t>
      </w:r>
      <w:r>
        <w:rPr>
          <w:rFonts w:eastAsia="MS Mincho"/>
          <w:lang w:eastAsia="de-DE"/>
        </w:rPr>
        <w:t xml:space="preserve">s doentes </w:t>
      </w:r>
      <w:r w:rsidRPr="00EB1E8F">
        <w:rPr>
          <w:rFonts w:eastAsia="MS Mincho"/>
          <w:lang w:eastAsia="de-DE"/>
        </w:rPr>
        <w:t>(CP: 64,6%; CPB: 68,8%) estavam na categoria de idade &lt; 65 anos</w:t>
      </w:r>
      <w:r>
        <w:rPr>
          <w:rFonts w:eastAsia="MS Mincho"/>
          <w:lang w:eastAsia="de-DE"/>
        </w:rPr>
        <w:t>.</w:t>
      </w:r>
      <w:r w:rsidR="004C339C">
        <w:rPr>
          <w:rFonts w:eastAsia="MS Mincho"/>
          <w:lang w:eastAsia="de-DE"/>
        </w:rPr>
        <w:t xml:space="preserve"> Na linha de base, a maioria d</w:t>
      </w:r>
      <w:r w:rsidR="00C172CD">
        <w:rPr>
          <w:rFonts w:eastAsia="MS Mincho"/>
          <w:lang w:eastAsia="de-DE"/>
        </w:rPr>
        <w:t>a</w:t>
      </w:r>
      <w:r w:rsidR="004C339C">
        <w:rPr>
          <w:rFonts w:eastAsia="MS Mincho"/>
          <w:lang w:eastAsia="de-DE"/>
        </w:rPr>
        <w:t xml:space="preserve">s doentes tinha uma PS GOG de 0 </w:t>
      </w:r>
      <w:r w:rsidR="004C339C" w:rsidRPr="004C339C">
        <w:rPr>
          <w:rFonts w:eastAsia="MS Mincho"/>
          <w:lang w:eastAsia="de-DE"/>
        </w:rPr>
        <w:t>(CP: 82</w:t>
      </w:r>
      <w:r w:rsidR="004C339C">
        <w:rPr>
          <w:rFonts w:eastAsia="MS Mincho"/>
          <w:lang w:eastAsia="de-DE"/>
        </w:rPr>
        <w:t>,</w:t>
      </w:r>
      <w:r w:rsidR="00813E28">
        <w:rPr>
          <w:rFonts w:eastAsia="MS Mincho"/>
          <w:lang w:eastAsia="de-DE"/>
        </w:rPr>
        <w:t>4%;</w:t>
      </w:r>
      <w:r w:rsidR="004C339C" w:rsidRPr="004C339C">
        <w:rPr>
          <w:rFonts w:eastAsia="MS Mincho"/>
          <w:lang w:eastAsia="de-DE"/>
        </w:rPr>
        <w:t xml:space="preserve"> CPB</w:t>
      </w:r>
      <w:r w:rsidR="00813E28">
        <w:rPr>
          <w:rFonts w:eastAsia="MS Mincho"/>
          <w:lang w:eastAsia="de-DE"/>
        </w:rPr>
        <w:t>:</w:t>
      </w:r>
      <w:r w:rsidR="004C339C" w:rsidRPr="004C339C">
        <w:rPr>
          <w:rFonts w:eastAsia="MS Mincho"/>
          <w:lang w:eastAsia="de-DE"/>
        </w:rPr>
        <w:t xml:space="preserve"> 80</w:t>
      </w:r>
      <w:r w:rsidR="004C339C">
        <w:rPr>
          <w:rFonts w:eastAsia="MS Mincho"/>
          <w:lang w:eastAsia="de-DE"/>
        </w:rPr>
        <w:t>,</w:t>
      </w:r>
      <w:r w:rsidR="004C339C" w:rsidRPr="004C339C">
        <w:rPr>
          <w:rFonts w:eastAsia="MS Mincho"/>
          <w:lang w:eastAsia="de-DE"/>
        </w:rPr>
        <w:t xml:space="preserve">7%) </w:t>
      </w:r>
      <w:r w:rsidR="004C339C">
        <w:rPr>
          <w:rFonts w:eastAsia="MS Mincho"/>
          <w:lang w:eastAsia="de-DE"/>
        </w:rPr>
        <w:t>ou</w:t>
      </w:r>
      <w:r w:rsidR="004C339C" w:rsidRPr="004C339C">
        <w:rPr>
          <w:rFonts w:eastAsia="MS Mincho"/>
          <w:lang w:eastAsia="de-DE"/>
        </w:rPr>
        <w:t xml:space="preserve"> </w:t>
      </w:r>
      <w:r w:rsidR="00C36BDE">
        <w:rPr>
          <w:rFonts w:eastAsia="MS Mincho"/>
          <w:lang w:eastAsia="de-DE"/>
        </w:rPr>
        <w:t xml:space="preserve">de </w:t>
      </w:r>
      <w:r w:rsidR="004C339C" w:rsidRPr="004C339C">
        <w:rPr>
          <w:rFonts w:eastAsia="MS Mincho"/>
          <w:lang w:eastAsia="de-DE"/>
        </w:rPr>
        <w:t>1 (CP: 16</w:t>
      </w:r>
      <w:r w:rsidR="004C339C">
        <w:rPr>
          <w:rFonts w:eastAsia="MS Mincho"/>
          <w:lang w:eastAsia="de-DE"/>
        </w:rPr>
        <w:t>,</w:t>
      </w:r>
      <w:r w:rsidR="004C339C" w:rsidRPr="004C339C">
        <w:rPr>
          <w:rFonts w:eastAsia="MS Mincho"/>
          <w:lang w:eastAsia="de-DE"/>
        </w:rPr>
        <w:t>7%</w:t>
      </w:r>
      <w:r w:rsidR="00813E28">
        <w:rPr>
          <w:rFonts w:eastAsia="MS Mincho"/>
          <w:lang w:eastAsia="de-DE"/>
        </w:rPr>
        <w:t>;</w:t>
      </w:r>
      <w:r w:rsidR="004C339C" w:rsidRPr="004C339C">
        <w:rPr>
          <w:rFonts w:eastAsia="MS Mincho"/>
          <w:lang w:eastAsia="de-DE"/>
        </w:rPr>
        <w:t xml:space="preserve"> CPB</w:t>
      </w:r>
      <w:r w:rsidR="00813E28">
        <w:rPr>
          <w:rFonts w:eastAsia="MS Mincho"/>
          <w:lang w:eastAsia="de-DE"/>
        </w:rPr>
        <w:t>:</w:t>
      </w:r>
      <w:r w:rsidR="004C339C" w:rsidRPr="004C339C">
        <w:rPr>
          <w:rFonts w:eastAsia="MS Mincho"/>
          <w:lang w:eastAsia="de-DE"/>
        </w:rPr>
        <w:t xml:space="preserve"> 18</w:t>
      </w:r>
      <w:r w:rsidR="004C339C">
        <w:rPr>
          <w:rFonts w:eastAsia="MS Mincho"/>
          <w:lang w:eastAsia="de-DE"/>
        </w:rPr>
        <w:t>,</w:t>
      </w:r>
      <w:r w:rsidR="004C339C" w:rsidRPr="004C339C">
        <w:rPr>
          <w:rFonts w:eastAsia="MS Mincho"/>
          <w:lang w:eastAsia="de-DE"/>
        </w:rPr>
        <w:t>1%)</w:t>
      </w:r>
      <w:r w:rsidR="00C172CD">
        <w:rPr>
          <w:rFonts w:eastAsia="MS Mincho"/>
          <w:lang w:eastAsia="de-DE"/>
        </w:rPr>
        <w:t>,</w:t>
      </w:r>
      <w:r w:rsidR="00C172CD" w:rsidRPr="00C172CD">
        <w:rPr>
          <w:rFonts w:eastAsia="MS Mincho"/>
          <w:lang w:eastAsia="de-DE"/>
        </w:rPr>
        <w:t xml:space="preserve"> </w:t>
      </w:r>
      <w:r w:rsidR="00C172CD">
        <w:rPr>
          <w:rFonts w:eastAsia="MS Mincho"/>
          <w:lang w:eastAsia="de-DE"/>
        </w:rPr>
        <w:t>nos dois braços de tratamento</w:t>
      </w:r>
      <w:r w:rsidR="004C339C">
        <w:rPr>
          <w:rFonts w:eastAsia="MS Mincho"/>
          <w:lang w:eastAsia="de-DE"/>
        </w:rPr>
        <w:t>. Na linha de base, foi notificada uma PS GOG de 2 em 0,9% d</w:t>
      </w:r>
      <w:r w:rsidR="00C172CD">
        <w:rPr>
          <w:rFonts w:eastAsia="MS Mincho"/>
          <w:lang w:eastAsia="de-DE"/>
        </w:rPr>
        <w:t>a</w:t>
      </w:r>
      <w:r w:rsidR="004C339C">
        <w:rPr>
          <w:rFonts w:eastAsia="MS Mincho"/>
          <w:lang w:eastAsia="de-DE"/>
        </w:rPr>
        <w:t>s doentes no braço CP e em 1,2% d</w:t>
      </w:r>
      <w:r w:rsidR="00C172CD">
        <w:rPr>
          <w:rFonts w:eastAsia="MS Mincho"/>
          <w:lang w:eastAsia="de-DE"/>
        </w:rPr>
        <w:t>a</w:t>
      </w:r>
      <w:r w:rsidR="004C339C">
        <w:rPr>
          <w:rFonts w:eastAsia="MS Mincho"/>
          <w:lang w:eastAsia="de-DE"/>
        </w:rPr>
        <w:t>s doentes no braço CPB.</w:t>
      </w:r>
    </w:p>
    <w:p w14:paraId="0DC0441D" w14:textId="77777777" w:rsidR="007E4BAC" w:rsidRPr="00EB1E8F" w:rsidRDefault="007E4BAC" w:rsidP="007E4BAC">
      <w:pPr>
        <w:rPr>
          <w:rFonts w:eastAsia="MS Mincho"/>
          <w:lang w:eastAsia="de-DE"/>
        </w:rPr>
      </w:pPr>
    </w:p>
    <w:p w14:paraId="2401C1BC" w14:textId="77777777" w:rsidR="007E4BAC" w:rsidRPr="00EB1E8F" w:rsidRDefault="004C339C" w:rsidP="007E4BAC">
      <w:r w:rsidRPr="00EB1E8F">
        <w:t xml:space="preserve">O objetivo primário de eficácia foi a </w:t>
      </w:r>
      <w:r w:rsidR="007E4BAC" w:rsidRPr="00EB1E8F">
        <w:t xml:space="preserve">OS. </w:t>
      </w:r>
      <w:r w:rsidR="00813E28" w:rsidRPr="005328A5">
        <w:t>O principal objectivo secund</w:t>
      </w:r>
      <w:r w:rsidR="00813E28" w:rsidRPr="00EB1E8F">
        <w:t xml:space="preserve">ário de eficácia foi a </w:t>
      </w:r>
      <w:r w:rsidR="007E4BAC" w:rsidRPr="00EB1E8F">
        <w:t>PFS.</w:t>
      </w:r>
      <w:r w:rsidR="00813E28">
        <w:t xml:space="preserve"> Os resultados são apresentados na Tabela 22.</w:t>
      </w:r>
    </w:p>
    <w:p w14:paraId="727221C9" w14:textId="77777777" w:rsidR="007E4BAC" w:rsidRPr="00EB1E8F" w:rsidRDefault="007E4BAC" w:rsidP="007E4BAC"/>
    <w:p w14:paraId="1F8709B8" w14:textId="77777777" w:rsidR="00D9656A" w:rsidRPr="00EB1E8F" w:rsidRDefault="007E4BAC" w:rsidP="007E4BAC">
      <w:pPr>
        <w:keepNext/>
        <w:keepLines/>
        <w:rPr>
          <w:b/>
        </w:rPr>
      </w:pPr>
      <w:r w:rsidRPr="00EB1E8F">
        <w:rPr>
          <w:b/>
        </w:rPr>
        <w:lastRenderedPageBreak/>
        <w:t>Tab</w:t>
      </w:r>
      <w:r w:rsidR="00813E28" w:rsidRPr="00EB1E8F">
        <w:rPr>
          <w:b/>
        </w:rPr>
        <w:t>e</w:t>
      </w:r>
      <w:r w:rsidRPr="00EB1E8F">
        <w:rPr>
          <w:b/>
        </w:rPr>
        <w:t>l</w:t>
      </w:r>
      <w:r w:rsidR="00813E28" w:rsidRPr="005328A5">
        <w:rPr>
          <w:b/>
        </w:rPr>
        <w:t>a</w:t>
      </w:r>
      <w:r w:rsidRPr="00EB1E8F">
        <w:rPr>
          <w:b/>
        </w:rPr>
        <w:t xml:space="preserve"> 22</w:t>
      </w:r>
      <w:r w:rsidRPr="00EB1E8F">
        <w:rPr>
          <w:b/>
        </w:rPr>
        <w:tab/>
      </w:r>
      <w:r w:rsidR="00813E28" w:rsidRPr="00EB1E8F">
        <w:rPr>
          <w:b/>
        </w:rPr>
        <w:t>Resultados de eficácia</w:t>
      </w:r>
      <w:r w:rsidRPr="00EB1E8F">
        <w:rPr>
          <w:b/>
          <w:vertAlign w:val="superscript"/>
        </w:rPr>
        <w:t>1,2</w:t>
      </w:r>
      <w:r w:rsidRPr="00EB1E8F">
        <w:rPr>
          <w:b/>
        </w:rPr>
        <w:t xml:space="preserve"> </w:t>
      </w:r>
      <w:r w:rsidR="00813E28">
        <w:rPr>
          <w:b/>
        </w:rPr>
        <w:t>do estudo</w:t>
      </w:r>
      <w:r w:rsidRPr="00EB1E8F">
        <w:rPr>
          <w:b/>
        </w:rPr>
        <w:t xml:space="preserve"> GOG-0213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5"/>
        <w:gridCol w:w="2250"/>
        <w:gridCol w:w="2568"/>
      </w:tblGrid>
      <w:tr w:rsidR="007E4BAC" w:rsidRPr="00215594" w14:paraId="1C569FA3" w14:textId="77777777" w:rsidTr="001E05C2">
        <w:trPr>
          <w:trHeight w:val="351"/>
          <w:jc w:val="center"/>
        </w:trPr>
        <w:tc>
          <w:tcPr>
            <w:tcW w:w="8993" w:type="dxa"/>
            <w:gridSpan w:val="3"/>
            <w:tcBorders>
              <w:top w:val="single" w:sz="4" w:space="0" w:color="auto"/>
              <w:left w:val="single" w:sz="4" w:space="0" w:color="auto"/>
              <w:bottom w:val="single" w:sz="4" w:space="0" w:color="auto"/>
              <w:right w:val="single" w:sz="4" w:space="0" w:color="auto"/>
            </w:tcBorders>
            <w:shd w:val="clear" w:color="auto" w:fill="auto"/>
          </w:tcPr>
          <w:p w14:paraId="1A8C8853" w14:textId="77777777" w:rsidR="007E4BAC" w:rsidRPr="001E05C2" w:rsidRDefault="00F631B5" w:rsidP="001A16B2">
            <w:pPr>
              <w:pStyle w:val="TextTi12"/>
              <w:keepNext/>
              <w:rPr>
                <w:rFonts w:eastAsia="SimSun"/>
                <w:sz w:val="22"/>
                <w:szCs w:val="22"/>
                <w:lang w:eastAsia="zh-CN"/>
              </w:rPr>
            </w:pPr>
            <w:r w:rsidRPr="001E05C2">
              <w:rPr>
                <w:rFonts w:eastAsia="SimSun"/>
                <w:sz w:val="22"/>
                <w:szCs w:val="22"/>
                <w:lang w:eastAsia="zh-CN"/>
              </w:rPr>
              <w:t>Objetivo</w:t>
            </w:r>
            <w:r w:rsidR="00813E28" w:rsidRPr="001E05C2">
              <w:rPr>
                <w:rFonts w:eastAsia="SimSun"/>
                <w:sz w:val="22"/>
                <w:szCs w:val="22"/>
                <w:lang w:eastAsia="zh-CN"/>
              </w:rPr>
              <w:t xml:space="preserve"> primário</w:t>
            </w:r>
          </w:p>
        </w:tc>
      </w:tr>
      <w:tr w:rsidR="007E4BAC" w:rsidRPr="00215594" w14:paraId="7702E435" w14:textId="77777777" w:rsidTr="001E05C2">
        <w:trPr>
          <w:jc w:val="center"/>
        </w:trPr>
        <w:tc>
          <w:tcPr>
            <w:tcW w:w="4175" w:type="dxa"/>
            <w:tcBorders>
              <w:top w:val="single" w:sz="4" w:space="0" w:color="auto"/>
              <w:left w:val="single" w:sz="4" w:space="0" w:color="auto"/>
              <w:bottom w:val="single" w:sz="4" w:space="0" w:color="auto"/>
              <w:right w:val="single" w:sz="4" w:space="0" w:color="auto"/>
            </w:tcBorders>
            <w:shd w:val="clear" w:color="auto" w:fill="auto"/>
          </w:tcPr>
          <w:p w14:paraId="4236EEA1" w14:textId="77777777" w:rsidR="007E4BAC" w:rsidRPr="001E05C2" w:rsidRDefault="00075178" w:rsidP="001A16B2">
            <w:pPr>
              <w:pStyle w:val="TextTi12"/>
              <w:keepNext/>
              <w:spacing w:before="120" w:after="120"/>
              <w:rPr>
                <w:rFonts w:eastAsia="SimSun"/>
                <w:sz w:val="22"/>
                <w:szCs w:val="22"/>
              </w:rPr>
            </w:pPr>
            <w:r w:rsidRPr="001E05C2">
              <w:rPr>
                <w:rFonts w:eastAsia="SimSun"/>
                <w:sz w:val="22"/>
                <w:szCs w:val="22"/>
                <w:lang w:eastAsia="zh-CN"/>
              </w:rPr>
              <w:t xml:space="preserve">Sobrevivência global </w:t>
            </w:r>
            <w:r w:rsidR="007E4BAC" w:rsidRPr="001E05C2">
              <w:rPr>
                <w:rFonts w:eastAsia="SimSun"/>
                <w:sz w:val="22"/>
                <w:szCs w:val="22"/>
                <w:lang w:eastAsia="zh-CN"/>
              </w:rPr>
              <w:t>(OS)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06D7C17" w14:textId="77777777" w:rsidR="007E4BAC" w:rsidRPr="00215594" w:rsidRDefault="007E4BAC" w:rsidP="001A16B2">
            <w:pPr>
              <w:pStyle w:val="TextTi12"/>
              <w:keepNext/>
              <w:jc w:val="center"/>
              <w:rPr>
                <w:strike/>
                <w:sz w:val="22"/>
                <w:szCs w:val="22"/>
              </w:rPr>
            </w:pPr>
            <w:r w:rsidRPr="00215594">
              <w:rPr>
                <w:sz w:val="22"/>
                <w:szCs w:val="22"/>
              </w:rPr>
              <w:t>CP</w:t>
            </w:r>
          </w:p>
          <w:p w14:paraId="133E63E3" w14:textId="77777777" w:rsidR="007E4BAC" w:rsidRPr="00FC7F3F" w:rsidRDefault="007E4BAC" w:rsidP="001A16B2">
            <w:pPr>
              <w:pStyle w:val="TextTi12"/>
              <w:keepNext/>
              <w:jc w:val="center"/>
              <w:rPr>
                <w:rFonts w:eastAsia="SimSun"/>
                <w:b/>
                <w:sz w:val="22"/>
                <w:szCs w:val="22"/>
                <w:u w:val="single"/>
              </w:rPr>
            </w:pPr>
            <w:r w:rsidRPr="00215594">
              <w:rPr>
                <w:sz w:val="22"/>
                <w:szCs w:val="22"/>
              </w:rPr>
              <w:t>(n=336)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5B8AB3A9" w14:textId="77777777" w:rsidR="007E4BAC" w:rsidRPr="00215594" w:rsidRDefault="007E4BAC" w:rsidP="001A16B2">
            <w:pPr>
              <w:pStyle w:val="TextTi12"/>
              <w:keepNext/>
              <w:jc w:val="center"/>
              <w:rPr>
                <w:sz w:val="22"/>
                <w:szCs w:val="22"/>
              </w:rPr>
            </w:pPr>
            <w:r w:rsidRPr="00215594">
              <w:rPr>
                <w:sz w:val="22"/>
                <w:szCs w:val="22"/>
              </w:rPr>
              <w:t>CPB</w:t>
            </w:r>
          </w:p>
          <w:p w14:paraId="731B3D13" w14:textId="77777777" w:rsidR="007E4BAC" w:rsidRPr="00FC7F3F" w:rsidRDefault="007E4BAC" w:rsidP="001A16B2">
            <w:pPr>
              <w:pStyle w:val="TextTi12"/>
              <w:keepNext/>
              <w:jc w:val="center"/>
              <w:rPr>
                <w:rFonts w:eastAsia="SimSun"/>
                <w:b/>
                <w:sz w:val="22"/>
                <w:szCs w:val="22"/>
                <w:u w:val="single"/>
              </w:rPr>
            </w:pPr>
            <w:r w:rsidRPr="00215594">
              <w:rPr>
                <w:sz w:val="22"/>
                <w:szCs w:val="22"/>
              </w:rPr>
              <w:t>(n=337)</w:t>
            </w:r>
          </w:p>
        </w:tc>
      </w:tr>
      <w:tr w:rsidR="007E4BAC" w:rsidRPr="00215594" w14:paraId="7218A166" w14:textId="77777777" w:rsidTr="001E05C2">
        <w:trPr>
          <w:jc w:val="center"/>
        </w:trPr>
        <w:tc>
          <w:tcPr>
            <w:tcW w:w="4175" w:type="dxa"/>
            <w:shd w:val="clear" w:color="auto" w:fill="auto"/>
          </w:tcPr>
          <w:p w14:paraId="44F9AB15" w14:textId="77777777" w:rsidR="007E4BAC" w:rsidRPr="00215594" w:rsidRDefault="00075178" w:rsidP="001A16B2">
            <w:pPr>
              <w:pStyle w:val="TableCellLeft"/>
              <w:rPr>
                <w:sz w:val="22"/>
                <w:szCs w:val="22"/>
              </w:rPr>
            </w:pPr>
            <w:r w:rsidRPr="00215594">
              <w:rPr>
                <w:sz w:val="22"/>
                <w:szCs w:val="22"/>
              </w:rPr>
              <w:t>OS mediana (meses)</w:t>
            </w:r>
          </w:p>
        </w:tc>
        <w:tc>
          <w:tcPr>
            <w:tcW w:w="2250" w:type="dxa"/>
            <w:shd w:val="clear" w:color="auto" w:fill="auto"/>
          </w:tcPr>
          <w:p w14:paraId="392518C6" w14:textId="77777777" w:rsidR="007E4BAC" w:rsidRPr="00215594" w:rsidRDefault="007E4BAC" w:rsidP="001A16B2">
            <w:pPr>
              <w:pStyle w:val="TableCellCenter"/>
              <w:rPr>
                <w:sz w:val="22"/>
                <w:szCs w:val="22"/>
              </w:rPr>
            </w:pPr>
            <w:r w:rsidRPr="00215594">
              <w:rPr>
                <w:sz w:val="22"/>
                <w:szCs w:val="22"/>
              </w:rPr>
              <w:t>37</w:t>
            </w:r>
            <w:r w:rsidR="00075178" w:rsidRPr="00215594">
              <w:rPr>
                <w:sz w:val="22"/>
                <w:szCs w:val="22"/>
                <w:lang w:eastAsia="en-US"/>
              </w:rPr>
              <w:t>,</w:t>
            </w:r>
            <w:r w:rsidRPr="00215594">
              <w:rPr>
                <w:sz w:val="22"/>
                <w:szCs w:val="22"/>
              </w:rPr>
              <w:t>3</w:t>
            </w:r>
          </w:p>
        </w:tc>
        <w:tc>
          <w:tcPr>
            <w:tcW w:w="2568" w:type="dxa"/>
            <w:shd w:val="clear" w:color="auto" w:fill="auto"/>
          </w:tcPr>
          <w:p w14:paraId="5F343D18" w14:textId="77777777" w:rsidR="007E4BAC" w:rsidRPr="00215594" w:rsidRDefault="007E4BAC" w:rsidP="001A16B2">
            <w:pPr>
              <w:pStyle w:val="TableCellCenter"/>
              <w:rPr>
                <w:sz w:val="22"/>
                <w:szCs w:val="22"/>
              </w:rPr>
            </w:pPr>
            <w:r w:rsidRPr="00215594">
              <w:rPr>
                <w:sz w:val="22"/>
                <w:szCs w:val="22"/>
              </w:rPr>
              <w:t>42</w:t>
            </w:r>
            <w:r w:rsidR="00075178" w:rsidRPr="00215594">
              <w:rPr>
                <w:sz w:val="22"/>
                <w:szCs w:val="22"/>
                <w:lang w:eastAsia="en-US"/>
              </w:rPr>
              <w:t>,</w:t>
            </w:r>
            <w:r w:rsidRPr="00215594">
              <w:rPr>
                <w:sz w:val="22"/>
                <w:szCs w:val="22"/>
              </w:rPr>
              <w:t>6</w:t>
            </w:r>
          </w:p>
        </w:tc>
      </w:tr>
      <w:tr w:rsidR="007E4BAC" w:rsidRPr="00215594" w14:paraId="364D6D36" w14:textId="77777777" w:rsidTr="001E05C2">
        <w:trPr>
          <w:jc w:val="center"/>
        </w:trPr>
        <w:tc>
          <w:tcPr>
            <w:tcW w:w="4175" w:type="dxa"/>
            <w:shd w:val="clear" w:color="auto" w:fill="auto"/>
          </w:tcPr>
          <w:p w14:paraId="35F4C489" w14:textId="77777777" w:rsidR="007E4BAC" w:rsidRPr="00B64E29" w:rsidRDefault="007E4BAC" w:rsidP="005328A5">
            <w:pPr>
              <w:pStyle w:val="TableCellLeft"/>
              <w:rPr>
                <w:sz w:val="22"/>
                <w:szCs w:val="22"/>
                <w:lang w:val="en-US"/>
              </w:rPr>
            </w:pPr>
            <w:r w:rsidRPr="00B64E29">
              <w:rPr>
                <w:i/>
                <w:sz w:val="22"/>
                <w:szCs w:val="22"/>
                <w:lang w:val="en-US" w:eastAsia="ja-JP"/>
              </w:rPr>
              <w:t>Hazard ratio</w:t>
            </w:r>
            <w:r w:rsidRPr="00B64E29">
              <w:rPr>
                <w:sz w:val="22"/>
                <w:szCs w:val="22"/>
                <w:lang w:val="en-US" w:eastAsia="ja-JP"/>
              </w:rPr>
              <w:t xml:space="preserve"> (</w:t>
            </w:r>
            <w:r w:rsidR="00075178" w:rsidRPr="00B64E29">
              <w:rPr>
                <w:sz w:val="22"/>
                <w:szCs w:val="22"/>
                <w:lang w:val="en-US" w:eastAsia="ja-JP"/>
              </w:rPr>
              <w:t>IC 95%</w:t>
            </w:r>
            <w:r w:rsidRPr="00B64E29">
              <w:rPr>
                <w:sz w:val="22"/>
                <w:szCs w:val="22"/>
                <w:lang w:val="en-US" w:eastAsia="ja-JP"/>
              </w:rPr>
              <w:t>) (eCRF)</w:t>
            </w:r>
            <w:r w:rsidRPr="00B64E29">
              <w:rPr>
                <w:sz w:val="22"/>
                <w:szCs w:val="22"/>
                <w:vertAlign w:val="superscript"/>
                <w:lang w:val="en-US" w:eastAsia="ja-JP"/>
              </w:rPr>
              <w:t>a</w:t>
            </w:r>
          </w:p>
        </w:tc>
        <w:tc>
          <w:tcPr>
            <w:tcW w:w="4818" w:type="dxa"/>
            <w:gridSpan w:val="2"/>
            <w:shd w:val="clear" w:color="auto" w:fill="auto"/>
          </w:tcPr>
          <w:p w14:paraId="0A2486A0" w14:textId="77777777" w:rsidR="007E4BAC" w:rsidRPr="00215594" w:rsidRDefault="007E4BAC" w:rsidP="00EB1E8F">
            <w:pPr>
              <w:pStyle w:val="TableCellCenter"/>
              <w:rPr>
                <w:sz w:val="22"/>
                <w:szCs w:val="22"/>
              </w:rPr>
            </w:pPr>
            <w:r w:rsidRPr="00FC7F3F">
              <w:rPr>
                <w:rFonts w:eastAsia="MS Mincho"/>
                <w:sz w:val="22"/>
                <w:szCs w:val="22"/>
                <w:lang w:eastAsia="en-US"/>
              </w:rPr>
              <w:t>0</w:t>
            </w:r>
            <w:r w:rsidR="00075178" w:rsidRPr="00215594">
              <w:rPr>
                <w:sz w:val="22"/>
                <w:szCs w:val="22"/>
                <w:lang w:eastAsia="en-US"/>
              </w:rPr>
              <w:t>,</w:t>
            </w:r>
            <w:r w:rsidRPr="00FC7F3F">
              <w:rPr>
                <w:rFonts w:eastAsia="MS Mincho"/>
                <w:sz w:val="22"/>
                <w:szCs w:val="22"/>
                <w:lang w:eastAsia="en-US"/>
              </w:rPr>
              <w:t xml:space="preserve">823 </w:t>
            </w:r>
            <w:r w:rsidRPr="00215594">
              <w:rPr>
                <w:sz w:val="22"/>
                <w:szCs w:val="22"/>
              </w:rPr>
              <w:t>[</w:t>
            </w:r>
            <w:r w:rsidRPr="00FC7F3F">
              <w:rPr>
                <w:rFonts w:eastAsia="MS Mincho"/>
                <w:sz w:val="22"/>
                <w:szCs w:val="22"/>
                <w:lang w:eastAsia="en-US"/>
              </w:rPr>
              <w:t>I</w:t>
            </w:r>
            <w:r w:rsidR="00075178">
              <w:rPr>
                <w:rFonts w:eastAsia="MS Mincho"/>
                <w:sz w:val="22"/>
                <w:szCs w:val="22"/>
                <w:lang w:eastAsia="en-US"/>
              </w:rPr>
              <w:t>C</w:t>
            </w:r>
            <w:r w:rsidRPr="00FC7F3F">
              <w:rPr>
                <w:rFonts w:eastAsia="MS Mincho"/>
                <w:sz w:val="22"/>
                <w:szCs w:val="22"/>
                <w:lang w:eastAsia="en-US"/>
              </w:rPr>
              <w:t>: 0</w:t>
            </w:r>
            <w:r w:rsidR="00075178" w:rsidRPr="00215594">
              <w:rPr>
                <w:sz w:val="22"/>
                <w:szCs w:val="22"/>
                <w:lang w:eastAsia="en-US"/>
              </w:rPr>
              <w:t>,</w:t>
            </w:r>
            <w:r w:rsidRPr="00FC7F3F">
              <w:rPr>
                <w:rFonts w:eastAsia="MS Mincho"/>
                <w:sz w:val="22"/>
                <w:szCs w:val="22"/>
                <w:lang w:eastAsia="en-US"/>
              </w:rPr>
              <w:t>680</w:t>
            </w:r>
            <w:r w:rsidR="00075178">
              <w:rPr>
                <w:rFonts w:eastAsia="MS Mincho"/>
                <w:sz w:val="22"/>
                <w:szCs w:val="22"/>
                <w:lang w:eastAsia="en-US"/>
              </w:rPr>
              <w:t>;</w:t>
            </w:r>
            <w:r w:rsidRPr="00FC7F3F">
              <w:rPr>
                <w:rFonts w:eastAsia="MS Mincho"/>
                <w:sz w:val="22"/>
                <w:szCs w:val="22"/>
                <w:lang w:eastAsia="en-US"/>
              </w:rPr>
              <w:t xml:space="preserve"> 0</w:t>
            </w:r>
            <w:r w:rsidR="00075178" w:rsidRPr="00215594">
              <w:rPr>
                <w:sz w:val="22"/>
                <w:szCs w:val="22"/>
                <w:lang w:eastAsia="en-US"/>
              </w:rPr>
              <w:t>,</w:t>
            </w:r>
            <w:r w:rsidRPr="00FC7F3F">
              <w:rPr>
                <w:rFonts w:eastAsia="MS Mincho"/>
                <w:sz w:val="22"/>
                <w:szCs w:val="22"/>
                <w:lang w:eastAsia="en-US"/>
              </w:rPr>
              <w:t>996</w:t>
            </w:r>
            <w:r w:rsidRPr="00215594">
              <w:rPr>
                <w:sz w:val="22"/>
                <w:szCs w:val="22"/>
              </w:rPr>
              <w:t>]</w:t>
            </w:r>
          </w:p>
        </w:tc>
      </w:tr>
      <w:tr w:rsidR="007E4BAC" w:rsidRPr="00215594" w14:paraId="143BF543" w14:textId="77777777" w:rsidTr="001E05C2">
        <w:trPr>
          <w:jc w:val="center"/>
        </w:trPr>
        <w:tc>
          <w:tcPr>
            <w:tcW w:w="4175" w:type="dxa"/>
            <w:tcBorders>
              <w:top w:val="single" w:sz="4" w:space="0" w:color="auto"/>
              <w:left w:val="single" w:sz="4" w:space="0" w:color="auto"/>
              <w:bottom w:val="single" w:sz="4" w:space="0" w:color="auto"/>
              <w:right w:val="single" w:sz="4" w:space="0" w:color="auto"/>
            </w:tcBorders>
            <w:shd w:val="clear" w:color="auto" w:fill="auto"/>
          </w:tcPr>
          <w:p w14:paraId="5363763A" w14:textId="77777777" w:rsidR="007E4BAC" w:rsidRPr="001E05C2" w:rsidRDefault="00075178" w:rsidP="001A16B2">
            <w:pPr>
              <w:pStyle w:val="TableCellLeft"/>
              <w:rPr>
                <w:sz w:val="22"/>
                <w:szCs w:val="22"/>
              </w:rPr>
            </w:pPr>
            <w:r w:rsidRPr="00215594">
              <w:rPr>
                <w:noProof/>
              </w:rPr>
              <w:t>Valor de p</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29BB5F18" w14:textId="77777777" w:rsidR="007E4BAC" w:rsidRPr="00215594" w:rsidRDefault="007E4BAC" w:rsidP="001A16B2">
            <w:pPr>
              <w:pStyle w:val="TableCellLeft"/>
              <w:jc w:val="center"/>
              <w:rPr>
                <w:b/>
                <w:sz w:val="22"/>
                <w:szCs w:val="22"/>
                <w:u w:val="single"/>
              </w:rPr>
            </w:pPr>
            <w:r w:rsidRPr="00FC7F3F">
              <w:rPr>
                <w:rFonts w:eastAsia="MS Mincho"/>
                <w:sz w:val="22"/>
                <w:szCs w:val="22"/>
                <w:lang w:eastAsia="en-US"/>
              </w:rPr>
              <w:t>0</w:t>
            </w:r>
            <w:r w:rsidR="00075178" w:rsidRPr="00215594">
              <w:rPr>
                <w:sz w:val="22"/>
                <w:szCs w:val="22"/>
                <w:lang w:eastAsia="en-US"/>
              </w:rPr>
              <w:t>,</w:t>
            </w:r>
            <w:r w:rsidRPr="00FC7F3F">
              <w:rPr>
                <w:rFonts w:eastAsia="MS Mincho"/>
                <w:sz w:val="22"/>
                <w:szCs w:val="22"/>
                <w:lang w:eastAsia="en-US"/>
              </w:rPr>
              <w:t>0447</w:t>
            </w:r>
          </w:p>
        </w:tc>
      </w:tr>
      <w:tr w:rsidR="007E4BAC" w:rsidRPr="00215594" w14:paraId="1EDC7E96" w14:textId="77777777" w:rsidTr="001E05C2">
        <w:trPr>
          <w:jc w:val="center"/>
        </w:trPr>
        <w:tc>
          <w:tcPr>
            <w:tcW w:w="4175" w:type="dxa"/>
            <w:tcBorders>
              <w:top w:val="single" w:sz="4" w:space="0" w:color="auto"/>
              <w:left w:val="single" w:sz="4" w:space="0" w:color="auto"/>
              <w:bottom w:val="single" w:sz="4" w:space="0" w:color="auto"/>
              <w:right w:val="single" w:sz="4" w:space="0" w:color="auto"/>
            </w:tcBorders>
            <w:shd w:val="clear" w:color="auto" w:fill="auto"/>
          </w:tcPr>
          <w:p w14:paraId="5B3CC123" w14:textId="77777777" w:rsidR="007E4BAC" w:rsidRPr="00B96995" w:rsidRDefault="00075178" w:rsidP="001A16B2">
            <w:pPr>
              <w:pStyle w:val="TableCellLeft"/>
              <w:rPr>
                <w:sz w:val="22"/>
                <w:szCs w:val="22"/>
                <w:lang w:eastAsia="ja-JP"/>
              </w:rPr>
            </w:pPr>
            <w:r w:rsidRPr="00215594">
              <w:rPr>
                <w:i/>
                <w:sz w:val="22"/>
                <w:szCs w:val="22"/>
                <w:lang w:eastAsia="ja-JP"/>
              </w:rPr>
              <w:t>Hazard ratio</w:t>
            </w:r>
            <w:r w:rsidRPr="00215594">
              <w:rPr>
                <w:sz w:val="22"/>
                <w:szCs w:val="22"/>
                <w:lang w:eastAsia="ja-JP"/>
              </w:rPr>
              <w:t xml:space="preserve"> (IC 95%) </w:t>
            </w:r>
            <w:r w:rsidR="007E4BAC" w:rsidRPr="00215594">
              <w:rPr>
                <w:sz w:val="22"/>
                <w:szCs w:val="22"/>
                <w:lang w:eastAsia="ja-JP"/>
              </w:rPr>
              <w:t>(</w:t>
            </w:r>
            <w:r w:rsidR="00576529" w:rsidRPr="00215594">
              <w:rPr>
                <w:sz w:val="22"/>
                <w:szCs w:val="22"/>
                <w:lang w:eastAsia="ja-JP"/>
              </w:rPr>
              <w:t>caderno de registo</w:t>
            </w:r>
            <w:r w:rsidR="007E4BAC" w:rsidRPr="00AF2A1A">
              <w:rPr>
                <w:sz w:val="22"/>
                <w:szCs w:val="22"/>
                <w:lang w:eastAsia="ja-JP"/>
              </w:rPr>
              <w:t>)</w:t>
            </w:r>
            <w:r w:rsidR="007E4BAC" w:rsidRPr="002535A3">
              <w:rPr>
                <w:sz w:val="22"/>
                <w:szCs w:val="22"/>
                <w:vertAlign w:val="superscript"/>
                <w:lang w:eastAsia="ja-JP"/>
              </w:rPr>
              <w:t>b</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44CA4597" w14:textId="77777777" w:rsidR="007E4BAC" w:rsidRPr="00FC7F3F" w:rsidRDefault="007E4BAC" w:rsidP="005328A5">
            <w:pPr>
              <w:pStyle w:val="TableCellLeft"/>
              <w:jc w:val="center"/>
              <w:rPr>
                <w:rFonts w:eastAsia="MS Mincho"/>
                <w:sz w:val="22"/>
                <w:szCs w:val="22"/>
                <w:lang w:eastAsia="en-US"/>
              </w:rPr>
            </w:pPr>
            <w:r w:rsidRPr="00FC7F3F">
              <w:rPr>
                <w:rFonts w:eastAsia="MS Mincho"/>
                <w:sz w:val="22"/>
                <w:szCs w:val="22"/>
                <w:lang w:eastAsia="en-US"/>
              </w:rPr>
              <w:t>0</w:t>
            </w:r>
            <w:r w:rsidR="00075178" w:rsidRPr="00215594">
              <w:rPr>
                <w:sz w:val="22"/>
                <w:szCs w:val="22"/>
                <w:lang w:eastAsia="en-US"/>
              </w:rPr>
              <w:t>,</w:t>
            </w:r>
            <w:r w:rsidRPr="00FC7F3F">
              <w:rPr>
                <w:rFonts w:eastAsia="MS Mincho"/>
                <w:sz w:val="22"/>
                <w:szCs w:val="22"/>
                <w:lang w:eastAsia="en-US"/>
              </w:rPr>
              <w:t xml:space="preserve">838 </w:t>
            </w:r>
            <w:r w:rsidRPr="00215594">
              <w:rPr>
                <w:sz w:val="22"/>
                <w:szCs w:val="22"/>
              </w:rPr>
              <w:t>[</w:t>
            </w:r>
            <w:r w:rsidR="00075178" w:rsidRPr="00FC7F3F">
              <w:rPr>
                <w:rFonts w:eastAsia="MS Mincho"/>
                <w:sz w:val="22"/>
                <w:szCs w:val="22"/>
                <w:lang w:eastAsia="en-US"/>
              </w:rPr>
              <w:t>I</w:t>
            </w:r>
            <w:r w:rsidR="00075178">
              <w:rPr>
                <w:rFonts w:eastAsia="MS Mincho"/>
                <w:sz w:val="22"/>
                <w:szCs w:val="22"/>
                <w:lang w:eastAsia="en-US"/>
              </w:rPr>
              <w:t>C</w:t>
            </w:r>
            <w:r w:rsidRPr="00FC7F3F">
              <w:rPr>
                <w:rFonts w:eastAsia="MS Mincho"/>
                <w:sz w:val="22"/>
                <w:szCs w:val="22"/>
                <w:lang w:eastAsia="en-US"/>
              </w:rPr>
              <w:t>: 0</w:t>
            </w:r>
            <w:r w:rsidR="00075178" w:rsidRPr="00215594">
              <w:rPr>
                <w:sz w:val="22"/>
                <w:szCs w:val="22"/>
                <w:lang w:eastAsia="en-US"/>
              </w:rPr>
              <w:t>,</w:t>
            </w:r>
            <w:r w:rsidRPr="00FC7F3F">
              <w:rPr>
                <w:rFonts w:eastAsia="MS Mincho"/>
                <w:sz w:val="22"/>
                <w:szCs w:val="22"/>
                <w:lang w:eastAsia="en-US"/>
              </w:rPr>
              <w:t>693</w:t>
            </w:r>
            <w:r w:rsidR="00075178">
              <w:rPr>
                <w:rFonts w:eastAsia="MS Mincho"/>
                <w:sz w:val="22"/>
                <w:szCs w:val="22"/>
                <w:lang w:eastAsia="en-US"/>
              </w:rPr>
              <w:t>;</w:t>
            </w:r>
            <w:r w:rsidRPr="00FC7F3F">
              <w:rPr>
                <w:rFonts w:eastAsia="MS Mincho"/>
                <w:sz w:val="22"/>
                <w:szCs w:val="22"/>
                <w:lang w:eastAsia="en-US"/>
              </w:rPr>
              <w:t xml:space="preserve"> 1</w:t>
            </w:r>
            <w:r w:rsidR="00075178" w:rsidRPr="00215594">
              <w:rPr>
                <w:sz w:val="22"/>
                <w:szCs w:val="22"/>
                <w:lang w:eastAsia="en-US"/>
              </w:rPr>
              <w:t>,</w:t>
            </w:r>
            <w:r w:rsidRPr="00FC7F3F">
              <w:rPr>
                <w:rFonts w:eastAsia="MS Mincho"/>
                <w:sz w:val="22"/>
                <w:szCs w:val="22"/>
                <w:lang w:eastAsia="en-US"/>
              </w:rPr>
              <w:t>014</w:t>
            </w:r>
            <w:r w:rsidRPr="00215594">
              <w:rPr>
                <w:sz w:val="22"/>
                <w:szCs w:val="22"/>
              </w:rPr>
              <w:t>]</w:t>
            </w:r>
          </w:p>
        </w:tc>
      </w:tr>
      <w:tr w:rsidR="007E4BAC" w:rsidRPr="00215594" w14:paraId="782A3297" w14:textId="77777777" w:rsidTr="001E05C2">
        <w:trPr>
          <w:jc w:val="center"/>
        </w:trPr>
        <w:tc>
          <w:tcPr>
            <w:tcW w:w="4175" w:type="dxa"/>
            <w:tcBorders>
              <w:top w:val="single" w:sz="4" w:space="0" w:color="auto"/>
              <w:left w:val="single" w:sz="4" w:space="0" w:color="auto"/>
              <w:bottom w:val="single" w:sz="4" w:space="0" w:color="auto"/>
              <w:right w:val="single" w:sz="4" w:space="0" w:color="auto"/>
            </w:tcBorders>
            <w:shd w:val="clear" w:color="auto" w:fill="auto"/>
          </w:tcPr>
          <w:p w14:paraId="0BF0F3F9" w14:textId="77777777" w:rsidR="007E4BAC" w:rsidRPr="00215594" w:rsidRDefault="00075178" w:rsidP="001A16B2">
            <w:pPr>
              <w:pStyle w:val="TableCellLeft"/>
              <w:rPr>
                <w:sz w:val="22"/>
                <w:szCs w:val="22"/>
                <w:lang w:eastAsia="ja-JP"/>
              </w:rPr>
            </w:pPr>
            <w:r w:rsidRPr="00215594">
              <w:rPr>
                <w:noProof/>
              </w:rPr>
              <w:t>Valor de p</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35CC42C4" w14:textId="77777777" w:rsidR="007E4BAC" w:rsidRPr="00FC7F3F" w:rsidRDefault="007E4BAC" w:rsidP="001A16B2">
            <w:pPr>
              <w:pStyle w:val="TableCellLeft"/>
              <w:jc w:val="center"/>
              <w:rPr>
                <w:rFonts w:eastAsia="MS Mincho"/>
                <w:sz w:val="22"/>
                <w:szCs w:val="22"/>
                <w:lang w:eastAsia="en-US"/>
              </w:rPr>
            </w:pPr>
            <w:r w:rsidRPr="00215594">
              <w:rPr>
                <w:sz w:val="22"/>
                <w:szCs w:val="22"/>
              </w:rPr>
              <w:t>0</w:t>
            </w:r>
            <w:r w:rsidR="00075178" w:rsidRPr="00215594">
              <w:rPr>
                <w:sz w:val="22"/>
                <w:szCs w:val="22"/>
                <w:lang w:eastAsia="en-US"/>
              </w:rPr>
              <w:t>,</w:t>
            </w:r>
            <w:r w:rsidRPr="00215594">
              <w:rPr>
                <w:sz w:val="22"/>
                <w:szCs w:val="22"/>
              </w:rPr>
              <w:t>0683</w:t>
            </w:r>
          </w:p>
        </w:tc>
      </w:tr>
      <w:tr w:rsidR="007E4BAC" w:rsidRPr="00215594" w14:paraId="0D34442C" w14:textId="77777777" w:rsidTr="001E05C2">
        <w:trPr>
          <w:trHeight w:val="322"/>
          <w:jc w:val="center"/>
        </w:trPr>
        <w:tc>
          <w:tcPr>
            <w:tcW w:w="8993" w:type="dxa"/>
            <w:gridSpan w:val="3"/>
            <w:tcBorders>
              <w:top w:val="single" w:sz="4" w:space="0" w:color="auto"/>
              <w:left w:val="single" w:sz="4" w:space="0" w:color="auto"/>
              <w:bottom w:val="single" w:sz="4" w:space="0" w:color="auto"/>
              <w:right w:val="single" w:sz="4" w:space="0" w:color="auto"/>
            </w:tcBorders>
            <w:shd w:val="clear" w:color="auto" w:fill="auto"/>
          </w:tcPr>
          <w:p w14:paraId="05E3BF73" w14:textId="77777777" w:rsidR="007E4BAC" w:rsidRPr="001E05C2" w:rsidRDefault="00F631B5" w:rsidP="00EB1E8F">
            <w:pPr>
              <w:pStyle w:val="TextTi12"/>
              <w:keepNext/>
              <w:rPr>
                <w:rFonts w:eastAsia="SimSun"/>
                <w:sz w:val="22"/>
                <w:szCs w:val="22"/>
                <w:lang w:eastAsia="zh-CN"/>
              </w:rPr>
            </w:pPr>
            <w:r w:rsidRPr="001E05C2">
              <w:rPr>
                <w:rFonts w:eastAsia="SimSun"/>
                <w:sz w:val="22"/>
                <w:szCs w:val="22"/>
                <w:lang w:eastAsia="zh-CN"/>
              </w:rPr>
              <w:t>Objetivo</w:t>
            </w:r>
            <w:r w:rsidR="00075178" w:rsidRPr="001E05C2">
              <w:rPr>
                <w:rFonts w:eastAsia="SimSun"/>
                <w:sz w:val="22"/>
                <w:szCs w:val="22"/>
                <w:lang w:eastAsia="zh-CN"/>
              </w:rPr>
              <w:t xml:space="preserve"> sec</w:t>
            </w:r>
            <w:r w:rsidR="00C172CD" w:rsidRPr="001E05C2">
              <w:rPr>
                <w:rFonts w:eastAsia="SimSun"/>
                <w:sz w:val="22"/>
                <w:szCs w:val="22"/>
                <w:lang w:eastAsia="zh-CN"/>
              </w:rPr>
              <w:t>u</w:t>
            </w:r>
            <w:r w:rsidR="00075178" w:rsidRPr="001E05C2">
              <w:rPr>
                <w:rFonts w:eastAsia="SimSun"/>
                <w:sz w:val="22"/>
                <w:szCs w:val="22"/>
                <w:lang w:eastAsia="zh-CN"/>
              </w:rPr>
              <w:t>ndário</w:t>
            </w:r>
          </w:p>
        </w:tc>
      </w:tr>
      <w:tr w:rsidR="007E4BAC" w:rsidRPr="00215594" w14:paraId="1D4BC38F" w14:textId="77777777" w:rsidTr="001E05C2">
        <w:trPr>
          <w:jc w:val="center"/>
        </w:trPr>
        <w:tc>
          <w:tcPr>
            <w:tcW w:w="4175" w:type="dxa"/>
            <w:tcBorders>
              <w:top w:val="single" w:sz="4" w:space="0" w:color="auto"/>
              <w:left w:val="single" w:sz="4" w:space="0" w:color="auto"/>
              <w:bottom w:val="single" w:sz="4" w:space="0" w:color="auto"/>
              <w:right w:val="single" w:sz="4" w:space="0" w:color="auto"/>
            </w:tcBorders>
            <w:shd w:val="clear" w:color="auto" w:fill="auto"/>
          </w:tcPr>
          <w:p w14:paraId="2927F19A" w14:textId="77777777" w:rsidR="007E4BAC" w:rsidRPr="001E05C2" w:rsidRDefault="00075178" w:rsidP="001A16B2">
            <w:pPr>
              <w:pStyle w:val="TextTi12"/>
              <w:keepNext/>
              <w:spacing w:before="120" w:after="120"/>
              <w:rPr>
                <w:rFonts w:eastAsia="SimSun"/>
                <w:sz w:val="22"/>
                <w:szCs w:val="22"/>
                <w:lang w:eastAsia="zh-CN"/>
              </w:rPr>
            </w:pPr>
            <w:r w:rsidRPr="001E05C2">
              <w:rPr>
                <w:rFonts w:eastAsia="SimSun"/>
                <w:sz w:val="22"/>
                <w:szCs w:val="22"/>
                <w:lang w:eastAsia="zh-CN"/>
              </w:rPr>
              <w:t xml:space="preserve">Sobrevivência livre de progressão </w:t>
            </w:r>
            <w:r w:rsidR="007E4BAC" w:rsidRPr="001E05C2">
              <w:rPr>
                <w:rFonts w:eastAsia="SimSun"/>
                <w:sz w:val="22"/>
                <w:szCs w:val="22"/>
                <w:lang w:eastAsia="zh-CN"/>
              </w:rPr>
              <w:t>(PFS)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C6C5B76" w14:textId="77777777" w:rsidR="007E4BAC" w:rsidRPr="00215594" w:rsidRDefault="007E4BAC" w:rsidP="001A16B2">
            <w:pPr>
              <w:pStyle w:val="TextTi12"/>
              <w:keepNext/>
              <w:jc w:val="center"/>
              <w:rPr>
                <w:sz w:val="22"/>
                <w:szCs w:val="22"/>
              </w:rPr>
            </w:pPr>
            <w:r w:rsidRPr="00215594">
              <w:rPr>
                <w:sz w:val="22"/>
                <w:szCs w:val="22"/>
              </w:rPr>
              <w:t>CP</w:t>
            </w:r>
          </w:p>
          <w:p w14:paraId="63FDB8BF" w14:textId="77777777" w:rsidR="007E4BAC" w:rsidRPr="00FC7F3F" w:rsidRDefault="007E4BAC" w:rsidP="001A16B2">
            <w:pPr>
              <w:pStyle w:val="TextTi12"/>
              <w:keepNext/>
              <w:jc w:val="center"/>
              <w:rPr>
                <w:rFonts w:eastAsia="SimSun"/>
                <w:b/>
                <w:sz w:val="22"/>
                <w:szCs w:val="22"/>
                <w:lang w:eastAsia="zh-CN"/>
              </w:rPr>
            </w:pPr>
            <w:r w:rsidRPr="00215594">
              <w:rPr>
                <w:sz w:val="22"/>
                <w:szCs w:val="22"/>
              </w:rPr>
              <w:t>(n=336)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17A57365" w14:textId="77777777" w:rsidR="007E4BAC" w:rsidRPr="00215594" w:rsidRDefault="007E4BAC" w:rsidP="001A16B2">
            <w:pPr>
              <w:pStyle w:val="TextTi12"/>
              <w:keepNext/>
              <w:jc w:val="center"/>
              <w:rPr>
                <w:sz w:val="22"/>
                <w:szCs w:val="22"/>
              </w:rPr>
            </w:pPr>
            <w:r w:rsidRPr="00215594">
              <w:rPr>
                <w:sz w:val="22"/>
                <w:szCs w:val="22"/>
              </w:rPr>
              <w:t>CPB</w:t>
            </w:r>
          </w:p>
          <w:p w14:paraId="4148B4C5" w14:textId="77777777" w:rsidR="007E4BAC" w:rsidRPr="00FC7F3F" w:rsidRDefault="007E4BAC" w:rsidP="001A16B2">
            <w:pPr>
              <w:pStyle w:val="TextTi12"/>
              <w:keepNext/>
              <w:jc w:val="center"/>
              <w:rPr>
                <w:rFonts w:eastAsia="SimSun"/>
                <w:b/>
                <w:sz w:val="22"/>
                <w:szCs w:val="22"/>
                <w:lang w:eastAsia="zh-CN"/>
              </w:rPr>
            </w:pPr>
            <w:r w:rsidRPr="00215594">
              <w:rPr>
                <w:sz w:val="22"/>
                <w:szCs w:val="22"/>
              </w:rPr>
              <w:t>(n=337)</w:t>
            </w:r>
          </w:p>
        </w:tc>
      </w:tr>
      <w:tr w:rsidR="007E4BAC" w:rsidRPr="00215594" w14:paraId="75123D49" w14:textId="77777777" w:rsidTr="001E05C2">
        <w:trPr>
          <w:trHeight w:val="278"/>
          <w:jc w:val="center"/>
        </w:trPr>
        <w:tc>
          <w:tcPr>
            <w:tcW w:w="4175" w:type="dxa"/>
            <w:tcBorders>
              <w:top w:val="single" w:sz="4" w:space="0" w:color="auto"/>
              <w:left w:val="single" w:sz="4" w:space="0" w:color="auto"/>
              <w:bottom w:val="single" w:sz="4" w:space="0" w:color="auto"/>
              <w:right w:val="single" w:sz="4" w:space="0" w:color="auto"/>
            </w:tcBorders>
            <w:shd w:val="clear" w:color="auto" w:fill="auto"/>
          </w:tcPr>
          <w:p w14:paraId="7E99FE31" w14:textId="77777777" w:rsidR="007E4BAC" w:rsidRPr="00215594" w:rsidRDefault="00075178" w:rsidP="00EB1E8F">
            <w:pPr>
              <w:pStyle w:val="TableCellCenter"/>
              <w:jc w:val="left"/>
              <w:rPr>
                <w:sz w:val="22"/>
                <w:szCs w:val="22"/>
              </w:rPr>
            </w:pPr>
            <w:r w:rsidRPr="00215594">
              <w:rPr>
                <w:sz w:val="22"/>
                <w:szCs w:val="22"/>
              </w:rPr>
              <w:t xml:space="preserve">PFS </w:t>
            </w:r>
            <w:r w:rsidR="00D35B8D">
              <w:rPr>
                <w:sz w:val="22"/>
                <w:szCs w:val="22"/>
              </w:rPr>
              <w:t>m</w:t>
            </w:r>
            <w:r w:rsidRPr="00215594">
              <w:rPr>
                <w:sz w:val="22"/>
                <w:szCs w:val="22"/>
              </w:rPr>
              <w:t>ediana (meses)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4B9954F" w14:textId="77777777" w:rsidR="007E4BAC" w:rsidRPr="00215594" w:rsidRDefault="007E4BAC" w:rsidP="001A16B2">
            <w:pPr>
              <w:pStyle w:val="TableCellCenter"/>
              <w:rPr>
                <w:sz w:val="22"/>
                <w:szCs w:val="22"/>
              </w:rPr>
            </w:pPr>
            <w:r w:rsidRPr="00215594">
              <w:rPr>
                <w:sz w:val="22"/>
                <w:szCs w:val="22"/>
              </w:rPr>
              <w:t>10</w:t>
            </w:r>
            <w:r w:rsidR="00075178" w:rsidRPr="00215594">
              <w:rPr>
                <w:sz w:val="22"/>
                <w:szCs w:val="22"/>
                <w:lang w:eastAsia="en-US"/>
              </w:rPr>
              <w:t>,</w:t>
            </w:r>
            <w:r w:rsidRPr="00215594">
              <w:rPr>
                <w:sz w:val="22"/>
                <w:szCs w:val="22"/>
              </w:rPr>
              <w:t>2</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0EA1ED1D" w14:textId="77777777" w:rsidR="007E4BAC" w:rsidRPr="00215594" w:rsidRDefault="007E4BAC" w:rsidP="001A16B2">
            <w:pPr>
              <w:pStyle w:val="TableCellCenter"/>
              <w:rPr>
                <w:sz w:val="22"/>
                <w:szCs w:val="22"/>
              </w:rPr>
            </w:pPr>
            <w:r w:rsidRPr="00215594">
              <w:rPr>
                <w:sz w:val="22"/>
                <w:szCs w:val="22"/>
              </w:rPr>
              <w:t>13</w:t>
            </w:r>
            <w:r w:rsidR="00075178" w:rsidRPr="00215594">
              <w:rPr>
                <w:sz w:val="22"/>
                <w:szCs w:val="22"/>
                <w:lang w:eastAsia="en-US"/>
              </w:rPr>
              <w:t>,</w:t>
            </w:r>
            <w:r w:rsidRPr="00215594">
              <w:rPr>
                <w:sz w:val="22"/>
                <w:szCs w:val="22"/>
              </w:rPr>
              <w:t>8</w:t>
            </w:r>
          </w:p>
        </w:tc>
      </w:tr>
      <w:tr w:rsidR="007E4BAC" w:rsidRPr="00215594" w14:paraId="1E868E19" w14:textId="77777777" w:rsidTr="001E05C2">
        <w:trPr>
          <w:jc w:val="center"/>
        </w:trPr>
        <w:tc>
          <w:tcPr>
            <w:tcW w:w="4175" w:type="dxa"/>
            <w:shd w:val="clear" w:color="auto" w:fill="auto"/>
          </w:tcPr>
          <w:p w14:paraId="57C60BDC" w14:textId="77777777" w:rsidR="007E4BAC" w:rsidRPr="00FC7F3F" w:rsidRDefault="00075178" w:rsidP="001A16B2">
            <w:pPr>
              <w:pStyle w:val="TextTi12"/>
              <w:keepNext/>
              <w:rPr>
                <w:rFonts w:eastAsia="SimSun"/>
                <w:sz w:val="22"/>
                <w:szCs w:val="22"/>
              </w:rPr>
            </w:pPr>
            <w:r w:rsidRPr="00215594">
              <w:rPr>
                <w:i/>
                <w:sz w:val="22"/>
                <w:szCs w:val="22"/>
              </w:rPr>
              <w:t>Hazard ratio</w:t>
            </w:r>
            <w:r w:rsidRPr="00215594">
              <w:rPr>
                <w:sz w:val="22"/>
                <w:szCs w:val="22"/>
              </w:rPr>
              <w:t xml:space="preserve"> (IC 95%)</w:t>
            </w:r>
          </w:p>
        </w:tc>
        <w:tc>
          <w:tcPr>
            <w:tcW w:w="4818" w:type="dxa"/>
            <w:gridSpan w:val="2"/>
            <w:shd w:val="clear" w:color="auto" w:fill="auto"/>
          </w:tcPr>
          <w:p w14:paraId="63C1D7F4" w14:textId="77777777" w:rsidR="007E4BAC" w:rsidRPr="00FC7F3F" w:rsidRDefault="007E4BAC" w:rsidP="005328A5">
            <w:pPr>
              <w:pStyle w:val="TextTi12"/>
              <w:keepNext/>
              <w:jc w:val="center"/>
              <w:rPr>
                <w:rFonts w:eastAsia="SimSun"/>
                <w:sz w:val="22"/>
                <w:szCs w:val="22"/>
              </w:rPr>
            </w:pPr>
            <w:r w:rsidRPr="00215594">
              <w:rPr>
                <w:sz w:val="22"/>
                <w:szCs w:val="22"/>
                <w:lang w:eastAsia="en-US"/>
              </w:rPr>
              <w:t>0</w:t>
            </w:r>
            <w:r w:rsidR="00075178" w:rsidRPr="00215594">
              <w:rPr>
                <w:sz w:val="22"/>
                <w:szCs w:val="22"/>
                <w:lang w:eastAsia="en-US"/>
              </w:rPr>
              <w:t>,</w:t>
            </w:r>
            <w:r w:rsidRPr="00215594">
              <w:rPr>
                <w:sz w:val="22"/>
                <w:szCs w:val="22"/>
                <w:lang w:eastAsia="en-US"/>
              </w:rPr>
              <w:t xml:space="preserve">613 </w:t>
            </w:r>
            <w:r w:rsidRPr="00215594">
              <w:rPr>
                <w:sz w:val="22"/>
                <w:szCs w:val="22"/>
              </w:rPr>
              <w:t>[</w:t>
            </w:r>
            <w:r w:rsidR="00075178" w:rsidRPr="00FC7F3F">
              <w:rPr>
                <w:rFonts w:eastAsia="MS Mincho"/>
                <w:sz w:val="22"/>
                <w:szCs w:val="22"/>
                <w:lang w:eastAsia="en-US"/>
              </w:rPr>
              <w:t>I</w:t>
            </w:r>
            <w:r w:rsidR="00075178">
              <w:rPr>
                <w:rFonts w:eastAsia="MS Mincho"/>
                <w:sz w:val="22"/>
                <w:szCs w:val="22"/>
                <w:lang w:eastAsia="en-US"/>
              </w:rPr>
              <w:t>C</w:t>
            </w:r>
            <w:r w:rsidRPr="00215594">
              <w:rPr>
                <w:sz w:val="22"/>
                <w:szCs w:val="22"/>
                <w:lang w:eastAsia="en-US"/>
              </w:rPr>
              <w:t>: 0</w:t>
            </w:r>
            <w:r w:rsidR="00075178" w:rsidRPr="00215594">
              <w:rPr>
                <w:sz w:val="22"/>
                <w:szCs w:val="22"/>
                <w:lang w:eastAsia="en-US"/>
              </w:rPr>
              <w:t>,</w:t>
            </w:r>
            <w:r w:rsidRPr="00215594">
              <w:rPr>
                <w:sz w:val="22"/>
                <w:szCs w:val="22"/>
                <w:lang w:eastAsia="en-US"/>
              </w:rPr>
              <w:t>521</w:t>
            </w:r>
            <w:r w:rsidR="00075178" w:rsidRPr="00215594">
              <w:rPr>
                <w:sz w:val="22"/>
                <w:szCs w:val="22"/>
                <w:lang w:eastAsia="en-US"/>
              </w:rPr>
              <w:t>;</w:t>
            </w:r>
            <w:r w:rsidRPr="00215594">
              <w:rPr>
                <w:sz w:val="22"/>
                <w:szCs w:val="22"/>
                <w:lang w:eastAsia="en-US"/>
              </w:rPr>
              <w:t xml:space="preserve"> 0</w:t>
            </w:r>
            <w:r w:rsidR="00075178" w:rsidRPr="00215594">
              <w:rPr>
                <w:sz w:val="22"/>
                <w:szCs w:val="22"/>
                <w:lang w:eastAsia="en-US"/>
              </w:rPr>
              <w:t>,</w:t>
            </w:r>
            <w:r w:rsidRPr="00215594">
              <w:rPr>
                <w:sz w:val="22"/>
                <w:szCs w:val="22"/>
                <w:lang w:eastAsia="en-US"/>
              </w:rPr>
              <w:t>721</w:t>
            </w:r>
            <w:r w:rsidRPr="00215594">
              <w:rPr>
                <w:sz w:val="22"/>
                <w:szCs w:val="22"/>
              </w:rPr>
              <w:t>]</w:t>
            </w:r>
          </w:p>
        </w:tc>
      </w:tr>
      <w:tr w:rsidR="007E4BAC" w:rsidRPr="00215594" w14:paraId="4ABEF652" w14:textId="77777777" w:rsidTr="001E05C2">
        <w:trPr>
          <w:trHeight w:val="350"/>
          <w:jc w:val="center"/>
        </w:trPr>
        <w:tc>
          <w:tcPr>
            <w:tcW w:w="4175" w:type="dxa"/>
            <w:shd w:val="clear" w:color="auto" w:fill="auto"/>
          </w:tcPr>
          <w:p w14:paraId="2B06227C" w14:textId="77777777" w:rsidR="007E4BAC" w:rsidRPr="00FC7F3F" w:rsidRDefault="00075178" w:rsidP="001A16B2">
            <w:pPr>
              <w:pStyle w:val="TextTi12"/>
              <w:keepNext/>
              <w:rPr>
                <w:rFonts w:eastAsia="SimSun"/>
                <w:sz w:val="22"/>
                <w:szCs w:val="22"/>
              </w:rPr>
            </w:pPr>
            <w:r w:rsidRPr="00215594">
              <w:rPr>
                <w:noProof/>
              </w:rPr>
              <w:t>Valor de p</w:t>
            </w:r>
          </w:p>
        </w:tc>
        <w:tc>
          <w:tcPr>
            <w:tcW w:w="4818" w:type="dxa"/>
            <w:gridSpan w:val="2"/>
            <w:shd w:val="clear" w:color="auto" w:fill="auto"/>
          </w:tcPr>
          <w:p w14:paraId="2565BAE0" w14:textId="77777777" w:rsidR="007E4BAC" w:rsidRPr="00FC7F3F" w:rsidRDefault="007E4BAC" w:rsidP="005328A5">
            <w:pPr>
              <w:pStyle w:val="TextTi12"/>
              <w:keepNext/>
              <w:jc w:val="center"/>
              <w:rPr>
                <w:rFonts w:eastAsia="SimSun"/>
                <w:sz w:val="22"/>
                <w:szCs w:val="22"/>
              </w:rPr>
            </w:pPr>
            <w:r w:rsidRPr="00215594">
              <w:rPr>
                <w:sz w:val="22"/>
                <w:szCs w:val="22"/>
                <w:lang w:eastAsia="en-US"/>
              </w:rPr>
              <w:t>&lt;0</w:t>
            </w:r>
            <w:r w:rsidR="00075178" w:rsidRPr="00215594">
              <w:rPr>
                <w:sz w:val="22"/>
                <w:szCs w:val="22"/>
                <w:lang w:eastAsia="en-US"/>
              </w:rPr>
              <w:t>,</w:t>
            </w:r>
            <w:r w:rsidRPr="00215594">
              <w:rPr>
                <w:sz w:val="22"/>
                <w:szCs w:val="22"/>
                <w:lang w:eastAsia="en-US"/>
              </w:rPr>
              <w:t>0001</w:t>
            </w:r>
          </w:p>
        </w:tc>
      </w:tr>
    </w:tbl>
    <w:p w14:paraId="1AFC848E" w14:textId="77777777" w:rsidR="00C03411" w:rsidRDefault="007E4BAC" w:rsidP="007E4BAC">
      <w:pPr>
        <w:keepNext/>
        <w:rPr>
          <w:rFonts w:cs="Arial"/>
          <w:sz w:val="18"/>
          <w:szCs w:val="18"/>
          <w:vertAlign w:val="superscript"/>
        </w:rPr>
      </w:pPr>
      <w:r w:rsidRPr="00EB1E8F">
        <w:rPr>
          <w:rFonts w:cs="Arial"/>
          <w:sz w:val="18"/>
          <w:szCs w:val="18"/>
          <w:vertAlign w:val="superscript"/>
        </w:rPr>
        <w:t xml:space="preserve">1 </w:t>
      </w:r>
      <w:r w:rsidR="00075178" w:rsidRPr="00EB1E8F">
        <w:rPr>
          <w:rFonts w:cs="Arial"/>
          <w:sz w:val="18"/>
          <w:szCs w:val="18"/>
        </w:rPr>
        <w:t>Análise final</w:t>
      </w:r>
    </w:p>
    <w:p w14:paraId="6475EA1D" w14:textId="77777777" w:rsidR="007E4BAC" w:rsidRPr="0058485B" w:rsidRDefault="007E4BAC" w:rsidP="007E4BAC">
      <w:pPr>
        <w:keepNext/>
        <w:rPr>
          <w:sz w:val="20"/>
        </w:rPr>
      </w:pPr>
      <w:r w:rsidRPr="00EB1E8F">
        <w:rPr>
          <w:rFonts w:cs="Arial"/>
          <w:sz w:val="18"/>
          <w:szCs w:val="18"/>
          <w:vertAlign w:val="superscript"/>
        </w:rPr>
        <w:t>2</w:t>
      </w:r>
      <w:r w:rsidRPr="00EB1E8F">
        <w:rPr>
          <w:rFonts w:cs="Arial"/>
          <w:sz w:val="18"/>
          <w:szCs w:val="18"/>
        </w:rPr>
        <w:t xml:space="preserve"> </w:t>
      </w:r>
      <w:r w:rsidR="00075178" w:rsidRPr="00EB1E8F">
        <w:rPr>
          <w:rFonts w:cs="Arial"/>
          <w:sz w:val="18"/>
          <w:szCs w:val="18"/>
        </w:rPr>
        <w:t>As avaliações dos tumor</w:t>
      </w:r>
      <w:r w:rsidR="00C172CD">
        <w:rPr>
          <w:rFonts w:cs="Arial"/>
          <w:sz w:val="18"/>
          <w:szCs w:val="18"/>
        </w:rPr>
        <w:t>e</w:t>
      </w:r>
      <w:r w:rsidR="00075178" w:rsidRPr="00EB1E8F">
        <w:rPr>
          <w:rFonts w:cs="Arial"/>
          <w:sz w:val="18"/>
          <w:szCs w:val="18"/>
        </w:rPr>
        <w:t xml:space="preserve">s e </w:t>
      </w:r>
      <w:r w:rsidR="00991F73" w:rsidRPr="00EB1E8F">
        <w:rPr>
          <w:rFonts w:cs="Arial"/>
          <w:sz w:val="18"/>
          <w:szCs w:val="18"/>
        </w:rPr>
        <w:t>das respostas foram determinadas pelos investigadores</w:t>
      </w:r>
      <w:r w:rsidR="00991F73">
        <w:rPr>
          <w:rFonts w:cs="Arial"/>
          <w:sz w:val="18"/>
          <w:szCs w:val="18"/>
        </w:rPr>
        <w:t xml:space="preserve"> utilizando os critérios </w:t>
      </w:r>
      <w:r w:rsidR="00991F73" w:rsidRPr="00EB1E8F">
        <w:rPr>
          <w:rFonts w:cs="Arial"/>
          <w:sz w:val="18"/>
          <w:szCs w:val="18"/>
        </w:rPr>
        <w:t>GOG RECIST</w:t>
      </w:r>
      <w:r w:rsidR="00991F73">
        <w:rPr>
          <w:rFonts w:cs="Arial"/>
          <w:sz w:val="18"/>
          <w:szCs w:val="18"/>
        </w:rPr>
        <w:t xml:space="preserve"> (orientações RECIST revistas (versão 1.1)</w:t>
      </w:r>
      <w:r w:rsidRPr="00EB1E8F">
        <w:rPr>
          <w:rFonts w:cs="Arial"/>
          <w:sz w:val="18"/>
          <w:szCs w:val="18"/>
        </w:rPr>
        <w:t xml:space="preserve">. </w:t>
      </w:r>
      <w:r w:rsidRPr="009E7BE5">
        <w:rPr>
          <w:rFonts w:cs="Arial"/>
          <w:sz w:val="18"/>
          <w:szCs w:val="18"/>
        </w:rPr>
        <w:t>Eur J Cancer. 2009;45:228Y247).</w:t>
      </w:r>
      <w:r w:rsidRPr="0058485B">
        <w:rPr>
          <w:rFonts w:eastAsia="SimSun"/>
          <w:sz w:val="20"/>
        </w:rPr>
        <w:t xml:space="preserve"> </w:t>
      </w:r>
    </w:p>
    <w:p w14:paraId="1AA35306" w14:textId="77777777" w:rsidR="007E4BAC" w:rsidRPr="00472DFE" w:rsidRDefault="007E4BAC" w:rsidP="007E4BAC">
      <w:pPr>
        <w:keepNext/>
        <w:rPr>
          <w:rFonts w:cs="Arial"/>
          <w:sz w:val="18"/>
          <w:szCs w:val="18"/>
          <w:vertAlign w:val="superscript"/>
        </w:rPr>
      </w:pPr>
    </w:p>
    <w:p w14:paraId="06B4C3A8" w14:textId="77777777" w:rsidR="00991F73" w:rsidRPr="00EB1E8F" w:rsidRDefault="007E4BAC" w:rsidP="007E4BAC">
      <w:pPr>
        <w:rPr>
          <w:rFonts w:cs="Arial"/>
          <w:sz w:val="18"/>
          <w:szCs w:val="18"/>
        </w:rPr>
      </w:pPr>
      <w:r w:rsidRPr="00EB1E8F">
        <w:rPr>
          <w:rFonts w:cs="Arial"/>
          <w:sz w:val="18"/>
          <w:szCs w:val="18"/>
          <w:vertAlign w:val="superscript"/>
        </w:rPr>
        <w:t xml:space="preserve">a </w:t>
      </w:r>
      <w:r w:rsidR="00C172CD">
        <w:rPr>
          <w:rFonts w:cs="Arial"/>
          <w:sz w:val="18"/>
          <w:szCs w:val="18"/>
        </w:rPr>
        <w:t>O</w:t>
      </w:r>
      <w:r w:rsidR="000859BB">
        <w:rPr>
          <w:rFonts w:cs="Arial"/>
          <w:i/>
          <w:sz w:val="18"/>
          <w:szCs w:val="18"/>
        </w:rPr>
        <w:t xml:space="preserve"> H</w:t>
      </w:r>
      <w:r w:rsidRPr="00EB1E8F">
        <w:rPr>
          <w:rFonts w:cs="Arial"/>
          <w:i/>
          <w:sz w:val="18"/>
          <w:szCs w:val="18"/>
        </w:rPr>
        <w:t>azard ratio</w:t>
      </w:r>
      <w:r w:rsidRPr="00EB1E8F">
        <w:rPr>
          <w:rFonts w:cs="Arial"/>
          <w:sz w:val="18"/>
          <w:szCs w:val="18"/>
        </w:rPr>
        <w:t xml:space="preserve"> </w:t>
      </w:r>
      <w:r w:rsidR="00991F73" w:rsidRPr="00EB1E8F">
        <w:rPr>
          <w:rFonts w:cs="Arial"/>
          <w:sz w:val="18"/>
          <w:szCs w:val="18"/>
        </w:rPr>
        <w:t>foi estimad</w:t>
      </w:r>
      <w:r w:rsidR="00C172CD">
        <w:rPr>
          <w:rFonts w:cs="Arial"/>
          <w:sz w:val="18"/>
          <w:szCs w:val="18"/>
        </w:rPr>
        <w:t>o</w:t>
      </w:r>
      <w:r w:rsidR="00991F73" w:rsidRPr="00EB1E8F">
        <w:rPr>
          <w:rFonts w:cs="Arial"/>
          <w:sz w:val="18"/>
          <w:szCs w:val="18"/>
        </w:rPr>
        <w:t xml:space="preserve"> a partir </w:t>
      </w:r>
      <w:r w:rsidR="00991F73">
        <w:rPr>
          <w:rFonts w:cs="Arial"/>
          <w:sz w:val="18"/>
          <w:szCs w:val="18"/>
        </w:rPr>
        <w:t xml:space="preserve">de modelos </w:t>
      </w:r>
      <w:r w:rsidR="002247C9">
        <w:rPr>
          <w:rFonts w:cs="Arial"/>
          <w:sz w:val="18"/>
          <w:szCs w:val="18"/>
        </w:rPr>
        <w:t xml:space="preserve">de risco </w:t>
      </w:r>
      <w:r w:rsidR="00991F73">
        <w:rPr>
          <w:rFonts w:cs="Arial"/>
          <w:sz w:val="18"/>
          <w:szCs w:val="18"/>
        </w:rPr>
        <w:t>proporciona</w:t>
      </w:r>
      <w:r w:rsidR="002247C9">
        <w:rPr>
          <w:rFonts w:cs="Arial"/>
          <w:sz w:val="18"/>
          <w:szCs w:val="18"/>
        </w:rPr>
        <w:t xml:space="preserve">l </w:t>
      </w:r>
      <w:r w:rsidR="00991F73">
        <w:rPr>
          <w:rFonts w:cs="Arial"/>
          <w:sz w:val="18"/>
          <w:szCs w:val="18"/>
        </w:rPr>
        <w:t>Cox estratificados pela duração</w:t>
      </w:r>
      <w:r w:rsidR="000E56FB">
        <w:rPr>
          <w:rFonts w:cs="Arial"/>
          <w:sz w:val="18"/>
          <w:szCs w:val="18"/>
        </w:rPr>
        <w:t xml:space="preserve"> do inter</w:t>
      </w:r>
      <w:r w:rsidR="00991F73">
        <w:rPr>
          <w:rFonts w:cs="Arial"/>
          <w:sz w:val="18"/>
          <w:szCs w:val="18"/>
        </w:rPr>
        <w:t>valo livre de platina antes</w:t>
      </w:r>
      <w:r w:rsidR="002247C9">
        <w:rPr>
          <w:rFonts w:cs="Arial"/>
          <w:sz w:val="18"/>
          <w:szCs w:val="18"/>
        </w:rPr>
        <w:t xml:space="preserve"> da inclusão neste estudo por eCRF (</w:t>
      </w:r>
      <w:r w:rsidR="002247C9" w:rsidRPr="002247C9">
        <w:rPr>
          <w:rFonts w:cs="Arial"/>
          <w:sz w:val="18"/>
          <w:szCs w:val="18"/>
        </w:rPr>
        <w:t>caderno de registo de dados electrónico</w:t>
      </w:r>
      <w:r w:rsidR="002247C9">
        <w:rPr>
          <w:rFonts w:cs="Arial"/>
          <w:sz w:val="18"/>
          <w:szCs w:val="18"/>
        </w:rPr>
        <w:t>)</w:t>
      </w:r>
      <w:r w:rsidR="000E56FB">
        <w:rPr>
          <w:rFonts w:cs="Arial"/>
          <w:sz w:val="18"/>
          <w:szCs w:val="18"/>
        </w:rPr>
        <w:t>,</w:t>
      </w:r>
      <w:r w:rsidR="000859BB">
        <w:rPr>
          <w:rFonts w:cs="Arial"/>
          <w:sz w:val="18"/>
          <w:szCs w:val="18"/>
        </w:rPr>
        <w:t xml:space="preserve"> e </w:t>
      </w:r>
      <w:r w:rsidR="00F631B5" w:rsidRPr="00EB1E8F">
        <w:rPr>
          <w:rFonts w:cs="Arial"/>
          <w:i/>
          <w:sz w:val="18"/>
          <w:szCs w:val="18"/>
        </w:rPr>
        <w:t>status</w:t>
      </w:r>
      <w:r w:rsidR="000859BB">
        <w:rPr>
          <w:rFonts w:cs="Arial"/>
          <w:sz w:val="18"/>
          <w:szCs w:val="18"/>
        </w:rPr>
        <w:t xml:space="preserve"> de </w:t>
      </w:r>
      <w:r w:rsidR="00C172CD">
        <w:rPr>
          <w:rFonts w:cs="Arial"/>
          <w:sz w:val="18"/>
          <w:szCs w:val="18"/>
        </w:rPr>
        <w:t xml:space="preserve">cirurgia de </w:t>
      </w:r>
      <w:r w:rsidR="000859BB">
        <w:rPr>
          <w:rFonts w:cs="Arial"/>
          <w:sz w:val="18"/>
          <w:szCs w:val="18"/>
        </w:rPr>
        <w:t>citoredução secundária Sim/Não (Sim= aleatorizad</w:t>
      </w:r>
      <w:r w:rsidR="00C172CD">
        <w:rPr>
          <w:rFonts w:cs="Arial"/>
          <w:sz w:val="18"/>
          <w:szCs w:val="18"/>
        </w:rPr>
        <w:t>a</w:t>
      </w:r>
      <w:r w:rsidR="000859BB">
        <w:rPr>
          <w:rFonts w:cs="Arial"/>
          <w:sz w:val="18"/>
          <w:szCs w:val="18"/>
        </w:rPr>
        <w:t>s para serem submetid</w:t>
      </w:r>
      <w:r w:rsidR="00C172CD">
        <w:rPr>
          <w:rFonts w:cs="Arial"/>
          <w:sz w:val="18"/>
          <w:szCs w:val="18"/>
        </w:rPr>
        <w:t>a</w:t>
      </w:r>
      <w:r w:rsidR="000859BB">
        <w:rPr>
          <w:rFonts w:cs="Arial"/>
          <w:sz w:val="18"/>
          <w:szCs w:val="18"/>
        </w:rPr>
        <w:t>s a citoredução ou aleatorizad</w:t>
      </w:r>
      <w:r w:rsidR="00C172CD">
        <w:rPr>
          <w:rFonts w:cs="Arial"/>
          <w:sz w:val="18"/>
          <w:szCs w:val="18"/>
        </w:rPr>
        <w:t>a</w:t>
      </w:r>
      <w:r w:rsidR="000859BB">
        <w:rPr>
          <w:rFonts w:cs="Arial"/>
          <w:sz w:val="18"/>
          <w:szCs w:val="18"/>
        </w:rPr>
        <w:t>s para não serem submetid</w:t>
      </w:r>
      <w:r w:rsidR="00C172CD">
        <w:rPr>
          <w:rFonts w:cs="Arial"/>
          <w:sz w:val="18"/>
          <w:szCs w:val="18"/>
        </w:rPr>
        <w:t>a</w:t>
      </w:r>
      <w:r w:rsidR="000859BB">
        <w:rPr>
          <w:rFonts w:cs="Arial"/>
          <w:sz w:val="18"/>
          <w:szCs w:val="18"/>
        </w:rPr>
        <w:t>s a citor</w:t>
      </w:r>
      <w:r w:rsidR="00C172CD">
        <w:rPr>
          <w:rFonts w:cs="Arial"/>
          <w:sz w:val="18"/>
          <w:szCs w:val="18"/>
        </w:rPr>
        <w:t>r</w:t>
      </w:r>
      <w:r w:rsidR="000859BB">
        <w:rPr>
          <w:rFonts w:cs="Arial"/>
          <w:sz w:val="18"/>
          <w:szCs w:val="18"/>
        </w:rPr>
        <w:t>edução; Não= não é um</w:t>
      </w:r>
      <w:r w:rsidR="00C172CD">
        <w:rPr>
          <w:rFonts w:cs="Arial"/>
          <w:sz w:val="18"/>
          <w:szCs w:val="18"/>
        </w:rPr>
        <w:t>a</w:t>
      </w:r>
      <w:r w:rsidR="000859BB">
        <w:rPr>
          <w:rFonts w:cs="Arial"/>
          <w:sz w:val="18"/>
          <w:szCs w:val="18"/>
        </w:rPr>
        <w:t xml:space="preserve"> candidat</w:t>
      </w:r>
      <w:r w:rsidR="00C172CD">
        <w:rPr>
          <w:rFonts w:cs="Arial"/>
          <w:sz w:val="18"/>
          <w:szCs w:val="18"/>
        </w:rPr>
        <w:t>a</w:t>
      </w:r>
      <w:r w:rsidR="000859BB">
        <w:rPr>
          <w:rFonts w:cs="Arial"/>
          <w:sz w:val="18"/>
          <w:szCs w:val="18"/>
        </w:rPr>
        <w:t xml:space="preserve"> ou não </w:t>
      </w:r>
      <w:r w:rsidR="000E56FB">
        <w:rPr>
          <w:rFonts w:cs="Arial"/>
          <w:sz w:val="18"/>
          <w:szCs w:val="18"/>
        </w:rPr>
        <w:t>autorizou</w:t>
      </w:r>
      <w:r w:rsidR="000859BB">
        <w:rPr>
          <w:rFonts w:cs="Arial"/>
          <w:sz w:val="18"/>
          <w:szCs w:val="18"/>
        </w:rPr>
        <w:t xml:space="preserve"> a citorredução)</w:t>
      </w:r>
      <w:r w:rsidR="00C36BDE">
        <w:rPr>
          <w:rFonts w:cs="Arial"/>
          <w:sz w:val="18"/>
          <w:szCs w:val="18"/>
        </w:rPr>
        <w:t>.</w:t>
      </w:r>
      <w:r w:rsidR="000E56FB">
        <w:rPr>
          <w:rFonts w:cs="Arial"/>
          <w:sz w:val="18"/>
          <w:szCs w:val="18"/>
        </w:rPr>
        <w:t xml:space="preserve"> </w:t>
      </w:r>
      <w:r w:rsidRPr="00EB1E8F">
        <w:rPr>
          <w:rFonts w:cs="Arial"/>
          <w:sz w:val="18"/>
          <w:szCs w:val="18"/>
          <w:vertAlign w:val="superscript"/>
        </w:rPr>
        <w:t>b</w:t>
      </w:r>
      <w:r w:rsidRPr="00EB1E8F">
        <w:rPr>
          <w:rFonts w:cs="Arial"/>
          <w:sz w:val="18"/>
          <w:szCs w:val="18"/>
        </w:rPr>
        <w:t xml:space="preserve"> </w:t>
      </w:r>
      <w:r w:rsidR="00576529">
        <w:rPr>
          <w:rFonts w:cs="Arial"/>
          <w:sz w:val="18"/>
          <w:szCs w:val="18"/>
        </w:rPr>
        <w:t>E</w:t>
      </w:r>
      <w:r w:rsidR="00991F73" w:rsidRPr="00EB1E8F">
        <w:rPr>
          <w:rFonts w:cs="Arial"/>
          <w:sz w:val="18"/>
          <w:szCs w:val="18"/>
        </w:rPr>
        <w:t>stratificad</w:t>
      </w:r>
      <w:r w:rsidR="00C172CD">
        <w:rPr>
          <w:rFonts w:cs="Arial"/>
          <w:sz w:val="18"/>
          <w:szCs w:val="18"/>
        </w:rPr>
        <w:t>o</w:t>
      </w:r>
      <w:r w:rsidR="00991F73" w:rsidRPr="00EB1E8F">
        <w:rPr>
          <w:rFonts w:cs="Arial"/>
          <w:sz w:val="18"/>
          <w:szCs w:val="18"/>
        </w:rPr>
        <w:t>s pela duração do int</w:t>
      </w:r>
      <w:r w:rsidR="000E56FB">
        <w:rPr>
          <w:rFonts w:cs="Arial"/>
          <w:sz w:val="18"/>
          <w:szCs w:val="18"/>
        </w:rPr>
        <w:t>er</w:t>
      </w:r>
      <w:r w:rsidR="00991F73" w:rsidRPr="00EB1E8F">
        <w:rPr>
          <w:rFonts w:cs="Arial"/>
          <w:sz w:val="18"/>
          <w:szCs w:val="18"/>
        </w:rPr>
        <w:t xml:space="preserve">valo livre de tratamento antes </w:t>
      </w:r>
      <w:r w:rsidR="000E56FB">
        <w:rPr>
          <w:rFonts w:cs="Arial"/>
          <w:sz w:val="18"/>
          <w:szCs w:val="18"/>
        </w:rPr>
        <w:t xml:space="preserve">da inclusão neste estudo por </w:t>
      </w:r>
      <w:r w:rsidR="000E56FB" w:rsidRPr="002247C9">
        <w:rPr>
          <w:rFonts w:cs="Arial"/>
          <w:sz w:val="18"/>
          <w:szCs w:val="18"/>
        </w:rPr>
        <w:t>caderno de registo</w:t>
      </w:r>
      <w:r w:rsidR="000E56FB">
        <w:rPr>
          <w:rFonts w:cs="Arial"/>
          <w:sz w:val="18"/>
          <w:szCs w:val="18"/>
        </w:rPr>
        <w:t xml:space="preserve">, e </w:t>
      </w:r>
      <w:r w:rsidR="00F631B5" w:rsidRPr="00744DE6">
        <w:rPr>
          <w:rFonts w:cs="Arial"/>
          <w:i/>
          <w:sz w:val="18"/>
          <w:szCs w:val="18"/>
        </w:rPr>
        <w:t>status</w:t>
      </w:r>
      <w:r w:rsidR="000E56FB">
        <w:rPr>
          <w:rFonts w:cs="Arial"/>
          <w:sz w:val="18"/>
          <w:szCs w:val="18"/>
        </w:rPr>
        <w:t xml:space="preserve"> de </w:t>
      </w:r>
      <w:r w:rsidR="00C172CD">
        <w:rPr>
          <w:rFonts w:cs="Arial"/>
          <w:sz w:val="18"/>
          <w:szCs w:val="18"/>
        </w:rPr>
        <w:t xml:space="preserve">cirurgia de </w:t>
      </w:r>
      <w:r w:rsidR="000E56FB">
        <w:rPr>
          <w:rFonts w:cs="Arial"/>
          <w:sz w:val="18"/>
          <w:szCs w:val="18"/>
        </w:rPr>
        <w:t>citor</w:t>
      </w:r>
      <w:r w:rsidR="00C172CD">
        <w:rPr>
          <w:rFonts w:cs="Arial"/>
          <w:sz w:val="18"/>
          <w:szCs w:val="18"/>
        </w:rPr>
        <w:t>r</w:t>
      </w:r>
      <w:r w:rsidR="000E56FB">
        <w:rPr>
          <w:rFonts w:cs="Arial"/>
          <w:sz w:val="18"/>
          <w:szCs w:val="18"/>
        </w:rPr>
        <w:t>edução secundária</w:t>
      </w:r>
      <w:r w:rsidR="000E56FB" w:rsidRPr="000E56FB">
        <w:rPr>
          <w:rFonts w:cs="Arial"/>
          <w:sz w:val="18"/>
          <w:szCs w:val="18"/>
        </w:rPr>
        <w:t xml:space="preserve"> </w:t>
      </w:r>
      <w:r w:rsidR="000E56FB">
        <w:rPr>
          <w:rFonts w:cs="Arial"/>
          <w:sz w:val="18"/>
          <w:szCs w:val="18"/>
        </w:rPr>
        <w:t>Sim/Não.</w:t>
      </w:r>
    </w:p>
    <w:p w14:paraId="5FC2B987" w14:textId="77777777" w:rsidR="007E4BAC" w:rsidRPr="00EB1E8F" w:rsidRDefault="007E4BAC" w:rsidP="007E4BAC">
      <w:pPr>
        <w:rPr>
          <w:szCs w:val="22"/>
        </w:rPr>
      </w:pPr>
    </w:p>
    <w:p w14:paraId="4C546468" w14:textId="77777777" w:rsidR="00075178" w:rsidRDefault="00075178" w:rsidP="007E4BAC">
      <w:r w:rsidRPr="00EB1E8F">
        <w:rPr>
          <w:iCs/>
          <w:szCs w:val="22"/>
        </w:rPr>
        <w:t>O ensaio atingiu o seu objetivo prim</w:t>
      </w:r>
      <w:r>
        <w:rPr>
          <w:iCs/>
          <w:szCs w:val="22"/>
        </w:rPr>
        <w:t xml:space="preserve">ário de melhoria da OS. O tratamento com </w:t>
      </w:r>
      <w:r w:rsidR="000E5531">
        <w:rPr>
          <w:iCs/>
          <w:szCs w:val="22"/>
        </w:rPr>
        <w:t xml:space="preserve">bevacizumab </w:t>
      </w:r>
      <w:r>
        <w:rPr>
          <w:iCs/>
          <w:szCs w:val="22"/>
        </w:rPr>
        <w:t xml:space="preserve">a </w:t>
      </w:r>
      <w:r w:rsidRPr="00EB1E8F">
        <w:t>15</w:t>
      </w:r>
      <w:r w:rsidR="00812456">
        <w:t> </w:t>
      </w:r>
      <w:r w:rsidRPr="00EB1E8F">
        <w:t>mg/kg</w:t>
      </w:r>
      <w:r>
        <w:t xml:space="preserve"> a cada 3 semanas em associação com quimioterapia (carboplatina e paclitaxel) </w:t>
      </w:r>
      <w:r w:rsidRPr="006C0202">
        <w:rPr>
          <w:rFonts w:eastAsia="MS Mincho"/>
          <w:lang w:eastAsia="de-DE"/>
        </w:rPr>
        <w:t xml:space="preserve">durante 6 e até 8 ciclos, seguido de </w:t>
      </w:r>
      <w:r w:rsidR="000E5531">
        <w:rPr>
          <w:rFonts w:eastAsia="MS Mincho"/>
          <w:lang w:eastAsia="de-DE"/>
        </w:rPr>
        <w:t>bevacizumab</w:t>
      </w:r>
      <w:r w:rsidR="000E5531" w:rsidRPr="006C0202">
        <w:rPr>
          <w:rFonts w:eastAsia="MS Mincho"/>
          <w:lang w:eastAsia="de-DE"/>
        </w:rPr>
        <w:t xml:space="preserve"> </w:t>
      </w:r>
      <w:r>
        <w:t>até progressão da doença ou toxicidade inaceitável resultou</w:t>
      </w:r>
      <w:r w:rsidR="00576529">
        <w:t xml:space="preserve">, quando os dados tiveram origem no eCRF, </w:t>
      </w:r>
      <w:r>
        <w:t xml:space="preserve">numa </w:t>
      </w:r>
      <w:r w:rsidR="00576529" w:rsidRPr="007232E4">
        <w:rPr>
          <w:szCs w:val="22"/>
        </w:rPr>
        <w:t>melhoria clinicamente importante e estatisticamente significativa</w:t>
      </w:r>
      <w:r w:rsidR="00576529">
        <w:t xml:space="preserve"> da OS comparativamente ao tratamento com </w:t>
      </w:r>
      <w:r w:rsidR="00C172CD">
        <w:t xml:space="preserve">apenas </w:t>
      </w:r>
      <w:r w:rsidR="00576529">
        <w:t>carboplatina e paclitaxel.</w:t>
      </w:r>
    </w:p>
    <w:p w14:paraId="5C9CC6FE" w14:textId="77777777" w:rsidR="007E4BAC" w:rsidRPr="00C172CD" w:rsidRDefault="007E4BAC" w:rsidP="007E4BAC">
      <w:pPr>
        <w:rPr>
          <w:i/>
          <w:noProof/>
        </w:rPr>
      </w:pPr>
    </w:p>
    <w:p w14:paraId="058AD69E" w14:textId="77777777" w:rsidR="00400398" w:rsidRPr="00C82494" w:rsidRDefault="00400398" w:rsidP="00A2273E">
      <w:pPr>
        <w:rPr>
          <w:i/>
          <w:noProof/>
        </w:rPr>
      </w:pPr>
      <w:r w:rsidRPr="00C82494">
        <w:rPr>
          <w:i/>
          <w:noProof/>
        </w:rPr>
        <w:t>MO22224</w:t>
      </w:r>
    </w:p>
    <w:p w14:paraId="3A5824CB" w14:textId="20A98553" w:rsidR="00400398" w:rsidRDefault="00400398" w:rsidP="00A2273E">
      <w:r w:rsidRPr="00710942">
        <w:rPr>
          <w:szCs w:val="22"/>
        </w:rPr>
        <w:t>O estudo MO22</w:t>
      </w:r>
      <w:r>
        <w:rPr>
          <w:szCs w:val="22"/>
        </w:rPr>
        <w:t>2</w:t>
      </w:r>
      <w:r w:rsidRPr="00710942">
        <w:rPr>
          <w:szCs w:val="22"/>
        </w:rPr>
        <w:t>24 avaliou a efic</w:t>
      </w:r>
      <w:r>
        <w:rPr>
          <w:szCs w:val="22"/>
        </w:rPr>
        <w:t xml:space="preserve">ácia e segurança de bevacizumab em associação com quimioterapia no </w:t>
      </w:r>
      <w:r>
        <w:t xml:space="preserve">cancro epitelial do ovário, </w:t>
      </w:r>
      <w:r w:rsidRPr="00D15A07">
        <w:t>da trompa de Falópio ou cancro peritoneal primário</w:t>
      </w:r>
      <w:r>
        <w:t>, recorrentes, resistentes</w:t>
      </w:r>
      <w:r w:rsidRPr="000D1FB2">
        <w:t xml:space="preserve"> a </w:t>
      </w:r>
      <w:r w:rsidR="00233EB7">
        <w:t>platina</w:t>
      </w:r>
      <w:r>
        <w:t xml:space="preserve">. Este estudo foi desenhado como aberto, aleatorizado, de </w:t>
      </w:r>
      <w:r w:rsidR="00096F93">
        <w:t>f</w:t>
      </w:r>
      <w:r>
        <w:t xml:space="preserve">ase III de dois braços para avaliação de bevacizumab mais quimioterapia (QT+BV) </w:t>
      </w:r>
      <w:r w:rsidRPr="00AA7B7F">
        <w:rPr>
          <w:i/>
        </w:rPr>
        <w:t>versus</w:t>
      </w:r>
      <w:r>
        <w:t xml:space="preserve"> quimioterapia isolada (QT).</w:t>
      </w:r>
    </w:p>
    <w:p w14:paraId="62885ED4" w14:textId="77777777" w:rsidR="00400398" w:rsidRDefault="00400398" w:rsidP="00A2273E">
      <w:r>
        <w:t>Para este estudo, foi recrutado um total de 361 doentes e foi-lhes administrada quimioterapia isolada (paclitaxel, topotecano, ou doxorrubicina lipossómica peguilada (PLD)) ou em associação com bevacizumab:</w:t>
      </w:r>
    </w:p>
    <w:p w14:paraId="24AAD81D" w14:textId="77777777" w:rsidR="00400398" w:rsidRDefault="00400398" w:rsidP="00A2273E"/>
    <w:p w14:paraId="493195FE" w14:textId="77777777" w:rsidR="00400398" w:rsidRPr="00C46A87" w:rsidRDefault="00400398" w:rsidP="00BC5DE0">
      <w:pPr>
        <w:ind w:left="644"/>
        <w:rPr>
          <w:szCs w:val="22"/>
        </w:rPr>
      </w:pPr>
      <w:r w:rsidRPr="007232E4">
        <w:rPr>
          <w:sz w:val="32"/>
          <w:szCs w:val="32"/>
        </w:rPr>
        <w:t>•</w:t>
      </w:r>
      <w:r w:rsidRPr="007232E4">
        <w:rPr>
          <w:sz w:val="32"/>
          <w:szCs w:val="32"/>
        </w:rPr>
        <w:tab/>
      </w:r>
      <w:r>
        <w:t>Braço de QT (quimioterapia isolada):</w:t>
      </w:r>
    </w:p>
    <w:p w14:paraId="0E5419BA" w14:textId="6CE3F481" w:rsidR="00400398" w:rsidRDefault="00400398" w:rsidP="00C53143">
      <w:pPr>
        <w:tabs>
          <w:tab w:val="left" w:pos="1276"/>
        </w:tabs>
        <w:ind w:left="1276" w:hanging="284"/>
        <w:rPr>
          <w:szCs w:val="22"/>
        </w:rPr>
      </w:pPr>
      <w:r w:rsidRPr="007232E4">
        <w:rPr>
          <w:sz w:val="32"/>
          <w:szCs w:val="32"/>
        </w:rPr>
        <w:t>•</w:t>
      </w:r>
      <w:r w:rsidRPr="007232E4">
        <w:rPr>
          <w:sz w:val="32"/>
          <w:szCs w:val="32"/>
        </w:rPr>
        <w:tab/>
      </w:r>
      <w:r>
        <w:rPr>
          <w:szCs w:val="22"/>
        </w:rPr>
        <w:t>Paclitaxel 80 mg/m</w:t>
      </w:r>
      <w:r>
        <w:rPr>
          <w:szCs w:val="22"/>
          <w:vertAlign w:val="superscript"/>
        </w:rPr>
        <w:t>2</w:t>
      </w:r>
      <w:r>
        <w:rPr>
          <w:szCs w:val="22"/>
        </w:rPr>
        <w:t xml:space="preserve"> como perfusão </w:t>
      </w:r>
      <w:r w:rsidR="00D35B8D">
        <w:t>intravenosa</w:t>
      </w:r>
      <w:r w:rsidR="00096F93">
        <w:t xml:space="preserve"> </w:t>
      </w:r>
      <w:r>
        <w:rPr>
          <w:szCs w:val="22"/>
        </w:rPr>
        <w:t>de 1 hora nos Dias 1, 8, l5 e 22 a cada 4 semanas.</w:t>
      </w:r>
    </w:p>
    <w:p w14:paraId="4B6BAFFD" w14:textId="47086517" w:rsidR="00400398" w:rsidRDefault="00400398" w:rsidP="00C53143">
      <w:pPr>
        <w:tabs>
          <w:tab w:val="left" w:pos="1276"/>
        </w:tabs>
        <w:ind w:left="1276" w:hanging="284"/>
        <w:rPr>
          <w:szCs w:val="22"/>
        </w:rPr>
      </w:pPr>
      <w:r w:rsidRPr="007232E4">
        <w:rPr>
          <w:sz w:val="32"/>
          <w:szCs w:val="32"/>
        </w:rPr>
        <w:t>•</w:t>
      </w:r>
      <w:r w:rsidRPr="007232E4">
        <w:rPr>
          <w:sz w:val="32"/>
          <w:szCs w:val="32"/>
        </w:rPr>
        <w:tab/>
      </w:r>
      <w:r>
        <w:rPr>
          <w:szCs w:val="22"/>
        </w:rPr>
        <w:t>Topotecano 4 mg/m</w:t>
      </w:r>
      <w:r>
        <w:rPr>
          <w:szCs w:val="22"/>
          <w:vertAlign w:val="superscript"/>
        </w:rPr>
        <w:t>2</w:t>
      </w:r>
      <w:r>
        <w:rPr>
          <w:szCs w:val="22"/>
        </w:rPr>
        <w:t xml:space="preserve"> como perfusão </w:t>
      </w:r>
      <w:r w:rsidR="00D35B8D">
        <w:t>intravenosa</w:t>
      </w:r>
      <w:r w:rsidR="00096F93">
        <w:t xml:space="preserve"> </w:t>
      </w:r>
      <w:r>
        <w:rPr>
          <w:szCs w:val="22"/>
        </w:rPr>
        <w:t>de 30 minutos nos Dias 1, 8 e l5 a cada 4 semanas. Como alternativa, uma dose de 1,25 mg/m</w:t>
      </w:r>
      <w:r>
        <w:rPr>
          <w:szCs w:val="22"/>
          <w:vertAlign w:val="superscript"/>
        </w:rPr>
        <w:t>2</w:t>
      </w:r>
      <w:r>
        <w:rPr>
          <w:szCs w:val="22"/>
        </w:rPr>
        <w:t xml:space="preserve"> poderia ser administrada durante 30 minutos nos Dias 1-5 a cada 3 semanas.</w:t>
      </w:r>
    </w:p>
    <w:p w14:paraId="7D4B5852" w14:textId="4A085D71" w:rsidR="00400398" w:rsidRDefault="00400398" w:rsidP="00C53143">
      <w:pPr>
        <w:ind w:left="1276" w:hanging="284"/>
        <w:rPr>
          <w:szCs w:val="22"/>
        </w:rPr>
      </w:pPr>
      <w:r w:rsidRPr="007232E4">
        <w:rPr>
          <w:sz w:val="32"/>
          <w:szCs w:val="32"/>
        </w:rPr>
        <w:lastRenderedPageBreak/>
        <w:t>•</w:t>
      </w:r>
      <w:r w:rsidRPr="007232E4">
        <w:rPr>
          <w:sz w:val="32"/>
          <w:szCs w:val="32"/>
        </w:rPr>
        <w:tab/>
      </w:r>
      <w:r>
        <w:rPr>
          <w:szCs w:val="22"/>
        </w:rPr>
        <w:t>PLD 40 mg/m</w:t>
      </w:r>
      <w:r>
        <w:rPr>
          <w:szCs w:val="22"/>
          <w:vertAlign w:val="superscript"/>
        </w:rPr>
        <w:t>2</w:t>
      </w:r>
      <w:r>
        <w:rPr>
          <w:szCs w:val="22"/>
        </w:rPr>
        <w:t xml:space="preserve"> como perfusão </w:t>
      </w:r>
      <w:r w:rsidR="00D35B8D">
        <w:t>intravenosa</w:t>
      </w:r>
      <w:r w:rsidR="00096F93">
        <w:t xml:space="preserve"> </w:t>
      </w:r>
      <w:r>
        <w:rPr>
          <w:szCs w:val="22"/>
        </w:rPr>
        <w:t xml:space="preserve">a 1 mg/min apenas no Dia 1 a cada 4 semanas. Após o Ciclo 1, o </w:t>
      </w:r>
      <w:r w:rsidR="00D35B8D">
        <w:rPr>
          <w:szCs w:val="22"/>
        </w:rPr>
        <w:t xml:space="preserve">medicamento </w:t>
      </w:r>
      <w:r>
        <w:rPr>
          <w:szCs w:val="22"/>
        </w:rPr>
        <w:t>poderia ser administrado como perfusão de 1 hora.</w:t>
      </w:r>
    </w:p>
    <w:p w14:paraId="4E8832B5" w14:textId="77777777" w:rsidR="00400398" w:rsidRDefault="00400398" w:rsidP="00A73A88">
      <w:pPr>
        <w:ind w:left="641" w:hanging="357"/>
        <w:rPr>
          <w:szCs w:val="22"/>
        </w:rPr>
      </w:pPr>
      <w:r w:rsidRPr="007232E4">
        <w:rPr>
          <w:sz w:val="32"/>
          <w:szCs w:val="32"/>
        </w:rPr>
        <w:t>•</w:t>
      </w:r>
      <w:r w:rsidRPr="007232E4">
        <w:rPr>
          <w:sz w:val="32"/>
          <w:szCs w:val="32"/>
        </w:rPr>
        <w:tab/>
      </w:r>
      <w:r>
        <w:rPr>
          <w:szCs w:val="22"/>
        </w:rPr>
        <w:t>Braço de QT+BV (quimioterapia mais bevacizumab):</w:t>
      </w:r>
    </w:p>
    <w:p w14:paraId="5A0E1967" w14:textId="0C392A07" w:rsidR="00400398" w:rsidRDefault="00400398" w:rsidP="00A73A88">
      <w:pPr>
        <w:tabs>
          <w:tab w:val="left" w:pos="1276"/>
        </w:tabs>
        <w:ind w:left="1276" w:hanging="284"/>
        <w:rPr>
          <w:szCs w:val="22"/>
        </w:rPr>
      </w:pPr>
      <w:r w:rsidRPr="007232E4">
        <w:rPr>
          <w:sz w:val="32"/>
          <w:szCs w:val="32"/>
        </w:rPr>
        <w:t>•</w:t>
      </w:r>
      <w:r w:rsidRPr="007232E4">
        <w:rPr>
          <w:sz w:val="32"/>
          <w:szCs w:val="32"/>
        </w:rPr>
        <w:tab/>
      </w:r>
      <w:r>
        <w:rPr>
          <w:szCs w:val="22"/>
        </w:rPr>
        <w:t xml:space="preserve">A quimioterapia selecionada foi associada com bevacizumab </w:t>
      </w:r>
      <w:r w:rsidR="00D35B8D">
        <w:t>intravenoso</w:t>
      </w:r>
      <w:r w:rsidR="00096F93">
        <w:t xml:space="preserve"> </w:t>
      </w:r>
      <w:r>
        <w:rPr>
          <w:szCs w:val="22"/>
        </w:rPr>
        <w:t>a 10 mg/kg a cada 2 semanas (ou bevacizumab a 15 mg/kg a cada 3 semanas, se usado em associação com o topotecano a 1,25 mg/m</w:t>
      </w:r>
      <w:r>
        <w:rPr>
          <w:szCs w:val="22"/>
          <w:vertAlign w:val="superscript"/>
        </w:rPr>
        <w:t xml:space="preserve">2 </w:t>
      </w:r>
      <w:r>
        <w:rPr>
          <w:szCs w:val="22"/>
        </w:rPr>
        <w:t>nos Dias 1-5, a cada 3 semanas).</w:t>
      </w:r>
    </w:p>
    <w:p w14:paraId="69F1617A" w14:textId="77777777" w:rsidR="00400398" w:rsidRDefault="00400398" w:rsidP="00515346">
      <w:pPr>
        <w:tabs>
          <w:tab w:val="left" w:pos="2127"/>
        </w:tabs>
        <w:rPr>
          <w:szCs w:val="22"/>
        </w:rPr>
      </w:pPr>
    </w:p>
    <w:p w14:paraId="6C357616" w14:textId="77777777" w:rsidR="00400398" w:rsidRPr="00F34C3D" w:rsidRDefault="00400398" w:rsidP="00515346">
      <w:pPr>
        <w:tabs>
          <w:tab w:val="left" w:pos="2127"/>
        </w:tabs>
        <w:rPr>
          <w:szCs w:val="22"/>
        </w:rPr>
      </w:pPr>
      <w:r>
        <w:rPr>
          <w:szCs w:val="22"/>
        </w:rPr>
        <w:t xml:space="preserve">Os doentes elegíveis tinham cancro epitelial do ovário, da trompa de Falópio ou cancro peritoneal primário que progrediram em &lt;6 meses com a terapêutica prévia de </w:t>
      </w:r>
      <w:r w:rsidR="00233EB7">
        <w:rPr>
          <w:szCs w:val="22"/>
        </w:rPr>
        <w:t>platina</w:t>
      </w:r>
      <w:r>
        <w:rPr>
          <w:szCs w:val="22"/>
        </w:rPr>
        <w:t xml:space="preserve"> que consistia, no mínimo, em 4 ciclos de terapêutica com </w:t>
      </w:r>
      <w:r w:rsidR="00233EB7">
        <w:rPr>
          <w:szCs w:val="22"/>
        </w:rPr>
        <w:t>platina</w:t>
      </w:r>
      <w:r>
        <w:rPr>
          <w:szCs w:val="22"/>
        </w:rPr>
        <w:t xml:space="preserve">. Os doentes devem ter uma esperança de </w:t>
      </w:r>
      <w:r w:rsidRPr="00F34C3D">
        <w:rPr>
          <w:szCs w:val="22"/>
        </w:rPr>
        <w:t>vida</w:t>
      </w:r>
      <w:r>
        <w:rPr>
          <w:szCs w:val="22"/>
        </w:rPr>
        <w:t xml:space="preserve"> de</w:t>
      </w:r>
      <w:r w:rsidRPr="00F34C3D">
        <w:rPr>
          <w:szCs w:val="22"/>
        </w:rPr>
        <w:t xml:space="preserve"> </w:t>
      </w:r>
      <w:r>
        <w:rPr>
          <w:noProof/>
          <w:szCs w:val="22"/>
        </w:rPr>
        <w:sym w:font="Symbol" w:char="F0B3"/>
      </w:r>
      <w:r w:rsidRPr="00F34C3D">
        <w:rPr>
          <w:szCs w:val="22"/>
        </w:rPr>
        <w:t> 12</w:t>
      </w:r>
      <w:r w:rsidR="00D15ACC">
        <w:rPr>
          <w:szCs w:val="22"/>
        </w:rPr>
        <w:t xml:space="preserve"> </w:t>
      </w:r>
      <w:r w:rsidRPr="00F34C3D">
        <w:rPr>
          <w:szCs w:val="22"/>
        </w:rPr>
        <w:t>semanas e sem radioterapia pr</w:t>
      </w:r>
      <w:r>
        <w:rPr>
          <w:szCs w:val="22"/>
        </w:rPr>
        <w:t xml:space="preserve">évia à pélvis ou abdómen. A maioria dos doentes encontrava-se no estadio FIGO IIIC ou no estadio IV. A maioria dos doentes em ambos os braços apresentavam uma </w:t>
      </w:r>
      <w:r>
        <w:rPr>
          <w:i/>
          <w:szCs w:val="22"/>
        </w:rPr>
        <w:t xml:space="preserve">performance status </w:t>
      </w:r>
      <w:r>
        <w:rPr>
          <w:szCs w:val="22"/>
        </w:rPr>
        <w:t xml:space="preserve">ECOG (PS) de 0 (QT: 56,4% </w:t>
      </w:r>
      <w:r>
        <w:rPr>
          <w:i/>
          <w:szCs w:val="22"/>
        </w:rPr>
        <w:t xml:space="preserve">vs. </w:t>
      </w:r>
      <w:r>
        <w:rPr>
          <w:szCs w:val="22"/>
        </w:rPr>
        <w:t xml:space="preserve">QT + BV: 61,2%). </w:t>
      </w:r>
      <w:r w:rsidRPr="00F34C3D">
        <w:rPr>
          <w:szCs w:val="22"/>
        </w:rPr>
        <w:t xml:space="preserve">A percentagem de doentes com um ECOG PS de 1 ou </w:t>
      </w:r>
      <w:r>
        <w:rPr>
          <w:noProof/>
          <w:szCs w:val="22"/>
        </w:rPr>
        <w:sym w:font="Symbol" w:char="F0B3"/>
      </w:r>
      <w:r w:rsidRPr="00F34C3D">
        <w:rPr>
          <w:szCs w:val="22"/>
        </w:rPr>
        <w:t> </w:t>
      </w:r>
      <w:r>
        <w:rPr>
          <w:szCs w:val="22"/>
        </w:rPr>
        <w:t xml:space="preserve">2 foi de 38,7% e de 5,0% no braço de QT, e de 29,8% e de 9,0% no braço de QT+BV. A informação sobre a raça existe para 29,3% dos doentes e quase todos os doentes eram brancos. A idade mediana dos doentes foi de 61,0 anos (intervalo: 25-84). Um total de 16 doentes (4,4%) tinham &gt; 75 anos de idade. As taxas globais de descontinuação devido a </w:t>
      </w:r>
      <w:r w:rsidR="00D35B8D">
        <w:rPr>
          <w:szCs w:val="22"/>
        </w:rPr>
        <w:t xml:space="preserve">reações </w:t>
      </w:r>
      <w:r>
        <w:rPr>
          <w:szCs w:val="22"/>
        </w:rPr>
        <w:t>advers</w:t>
      </w:r>
      <w:r w:rsidR="00D35B8D">
        <w:rPr>
          <w:szCs w:val="22"/>
        </w:rPr>
        <w:t>a</w:t>
      </w:r>
      <w:r>
        <w:rPr>
          <w:szCs w:val="22"/>
        </w:rPr>
        <w:t xml:space="preserve">s foi de 8,8% no braço de QT e de 43,6% no braço de QT+BV (a maioria devido a acontecimentos adversos de Grau 2-3) e o tempo mediano de descontinuação no braço de QT+BV foi de 5,2 meses comparativamente a 2,4 meses no braço de QT. As taxas de descontinuação devido a </w:t>
      </w:r>
      <w:r w:rsidR="00D35B8D">
        <w:rPr>
          <w:szCs w:val="22"/>
        </w:rPr>
        <w:t xml:space="preserve">reações </w:t>
      </w:r>
      <w:r>
        <w:rPr>
          <w:szCs w:val="22"/>
        </w:rPr>
        <w:t>advers</w:t>
      </w:r>
      <w:r w:rsidR="00D35B8D">
        <w:rPr>
          <w:szCs w:val="22"/>
        </w:rPr>
        <w:t>a</w:t>
      </w:r>
      <w:r>
        <w:rPr>
          <w:szCs w:val="22"/>
        </w:rPr>
        <w:t xml:space="preserve">s no subgrupo de doentes &gt; 65 anos de idade foi de 8,8% no braço de QT e de 50,0% no braço de QT + BV. A taxa de risco (HR) da PFS foi de 0,47 (IC 95%: 0,35; 0,62) e de 0,45 (IC 95%: 0,31; 0,67) para os subgrupos &lt; 65 e </w:t>
      </w:r>
      <w:r>
        <w:rPr>
          <w:noProof/>
          <w:szCs w:val="22"/>
        </w:rPr>
        <w:sym w:font="Symbol" w:char="F0B3"/>
      </w:r>
      <w:r>
        <w:rPr>
          <w:szCs w:val="22"/>
        </w:rPr>
        <w:t xml:space="preserve"> 65, respetivamente.</w:t>
      </w:r>
    </w:p>
    <w:p w14:paraId="5A0011FE" w14:textId="77777777" w:rsidR="00812456" w:rsidRDefault="00812456" w:rsidP="00515346">
      <w:pPr>
        <w:tabs>
          <w:tab w:val="left" w:pos="2127"/>
        </w:tabs>
        <w:rPr>
          <w:szCs w:val="22"/>
        </w:rPr>
      </w:pPr>
    </w:p>
    <w:p w14:paraId="4FBF1B9C" w14:textId="77777777" w:rsidR="00400398" w:rsidRDefault="00400398" w:rsidP="00515346">
      <w:pPr>
        <w:tabs>
          <w:tab w:val="left" w:pos="2127"/>
        </w:tabs>
        <w:rPr>
          <w:szCs w:val="22"/>
        </w:rPr>
      </w:pPr>
      <w:r>
        <w:rPr>
          <w:szCs w:val="22"/>
        </w:rPr>
        <w:t xml:space="preserve">O objetivo primário foi a </w:t>
      </w:r>
      <w:r w:rsidR="00D35B8D">
        <w:rPr>
          <w:szCs w:val="22"/>
        </w:rPr>
        <w:t>PFS</w:t>
      </w:r>
      <w:r>
        <w:rPr>
          <w:szCs w:val="22"/>
        </w:rPr>
        <w:t xml:space="preserve">, e os objetivos secundários incluíam a taxa de resposta objetiva e a </w:t>
      </w:r>
      <w:r w:rsidR="00D35B8D">
        <w:rPr>
          <w:szCs w:val="22"/>
        </w:rPr>
        <w:t>OS</w:t>
      </w:r>
      <w:r>
        <w:rPr>
          <w:szCs w:val="22"/>
        </w:rPr>
        <w:t xml:space="preserve">. Os resultados estão apresentados na Tabela </w:t>
      </w:r>
      <w:r w:rsidR="001A58BE">
        <w:rPr>
          <w:szCs w:val="22"/>
        </w:rPr>
        <w:t>23</w:t>
      </w:r>
      <w:r>
        <w:rPr>
          <w:szCs w:val="22"/>
        </w:rPr>
        <w:t>.</w:t>
      </w:r>
    </w:p>
    <w:p w14:paraId="7192FD72" w14:textId="77777777" w:rsidR="00DB215C" w:rsidRDefault="00DB215C" w:rsidP="00515346">
      <w:pPr>
        <w:tabs>
          <w:tab w:val="left" w:pos="2127"/>
        </w:tabs>
        <w:rPr>
          <w:szCs w:val="22"/>
        </w:rPr>
      </w:pPr>
    </w:p>
    <w:p w14:paraId="2F11ED16" w14:textId="77777777" w:rsidR="00400398" w:rsidRDefault="00400398" w:rsidP="001E05C2">
      <w:pPr>
        <w:keepNext/>
        <w:keepLines/>
        <w:rPr>
          <w:b/>
          <w:szCs w:val="22"/>
        </w:rPr>
      </w:pPr>
      <w:r w:rsidRPr="00A176C3">
        <w:rPr>
          <w:b/>
          <w:szCs w:val="22"/>
        </w:rPr>
        <w:lastRenderedPageBreak/>
        <w:t xml:space="preserve">Tabela </w:t>
      </w:r>
      <w:r w:rsidR="00405C75">
        <w:rPr>
          <w:b/>
          <w:szCs w:val="22"/>
        </w:rPr>
        <w:t>23</w:t>
      </w:r>
      <w:r w:rsidR="00812456">
        <w:rPr>
          <w:b/>
          <w:szCs w:val="22"/>
        </w:rPr>
        <w:tab/>
      </w:r>
      <w:r w:rsidRPr="00A176C3">
        <w:rPr>
          <w:b/>
          <w:szCs w:val="22"/>
        </w:rPr>
        <w:t xml:space="preserve">Resultados de </w:t>
      </w:r>
      <w:r w:rsidR="000E5531">
        <w:rPr>
          <w:b/>
          <w:szCs w:val="22"/>
        </w:rPr>
        <w:t>e</w:t>
      </w:r>
      <w:r w:rsidRPr="00A176C3">
        <w:rPr>
          <w:b/>
          <w:szCs w:val="22"/>
        </w:rPr>
        <w:t xml:space="preserve">ficácia do </w:t>
      </w:r>
      <w:r w:rsidR="000E5531">
        <w:rPr>
          <w:b/>
          <w:szCs w:val="22"/>
        </w:rPr>
        <w:t>e</w:t>
      </w:r>
      <w:r w:rsidRPr="00A176C3">
        <w:rPr>
          <w:b/>
          <w:szCs w:val="22"/>
        </w:rPr>
        <w:t>studo MO22224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8"/>
        <w:gridCol w:w="2076"/>
        <w:gridCol w:w="2527"/>
      </w:tblGrid>
      <w:tr w:rsidR="00400398" w:rsidRPr="00215594" w14:paraId="55783262" w14:textId="77777777" w:rsidTr="00DD00C0">
        <w:trPr>
          <w:trHeight w:val="332"/>
        </w:trPr>
        <w:tc>
          <w:tcPr>
            <w:tcW w:w="9143" w:type="dxa"/>
            <w:gridSpan w:val="3"/>
          </w:tcPr>
          <w:p w14:paraId="5DC12368" w14:textId="77777777" w:rsidR="00400398" w:rsidRPr="001E05C2" w:rsidRDefault="00400398" w:rsidP="001E05C2">
            <w:pPr>
              <w:pStyle w:val="TextTi12"/>
              <w:keepNext/>
              <w:keepLines/>
              <w:spacing w:after="0"/>
              <w:jc w:val="left"/>
              <w:rPr>
                <w:rFonts w:eastAsia="SimSun"/>
                <w:noProof/>
                <w:sz w:val="22"/>
              </w:rPr>
            </w:pPr>
            <w:r w:rsidRPr="001E05C2">
              <w:rPr>
                <w:rFonts w:eastAsia="SimSun"/>
                <w:noProof/>
                <w:sz w:val="22"/>
              </w:rPr>
              <w:t xml:space="preserve">Objetivo </w:t>
            </w:r>
            <w:r w:rsidR="00D35B8D">
              <w:rPr>
                <w:rFonts w:eastAsia="SimSun"/>
                <w:noProof/>
                <w:sz w:val="22"/>
              </w:rPr>
              <w:t>p</w:t>
            </w:r>
            <w:r w:rsidRPr="001E05C2">
              <w:rPr>
                <w:rFonts w:eastAsia="SimSun"/>
                <w:noProof/>
                <w:sz w:val="22"/>
              </w:rPr>
              <w:t>rimário</w:t>
            </w:r>
          </w:p>
        </w:tc>
      </w:tr>
      <w:tr w:rsidR="00400398" w:rsidRPr="00215594" w14:paraId="327E338D" w14:textId="77777777" w:rsidTr="00DD00C0">
        <w:tc>
          <w:tcPr>
            <w:tcW w:w="9143" w:type="dxa"/>
            <w:gridSpan w:val="3"/>
          </w:tcPr>
          <w:p w14:paraId="7F31BF20" w14:textId="77777777" w:rsidR="00400398" w:rsidRPr="00C82494" w:rsidRDefault="00400398" w:rsidP="004353F4">
            <w:pPr>
              <w:pStyle w:val="TextTi12"/>
              <w:keepNext/>
              <w:keepLines/>
              <w:spacing w:after="0"/>
              <w:jc w:val="left"/>
              <w:rPr>
                <w:rFonts w:eastAsia="SimSun"/>
                <w:noProof/>
                <w:sz w:val="22"/>
                <w:vertAlign w:val="superscript"/>
              </w:rPr>
            </w:pPr>
            <w:r w:rsidRPr="00C82494">
              <w:rPr>
                <w:rFonts w:eastAsia="SimSun"/>
                <w:noProof/>
                <w:sz w:val="22"/>
              </w:rPr>
              <w:t>Sobrevivência Livre de Progressão*</w:t>
            </w:r>
          </w:p>
        </w:tc>
      </w:tr>
      <w:tr w:rsidR="00400398" w:rsidRPr="00215594" w14:paraId="3F3DAA91" w14:textId="77777777" w:rsidTr="00DD00C0">
        <w:tc>
          <w:tcPr>
            <w:tcW w:w="4499" w:type="dxa"/>
          </w:tcPr>
          <w:p w14:paraId="2E8C64B1" w14:textId="77777777" w:rsidR="00400398" w:rsidRPr="00C82494" w:rsidRDefault="00400398" w:rsidP="004353F4">
            <w:pPr>
              <w:pStyle w:val="TextTi12"/>
              <w:keepNext/>
              <w:keepLines/>
              <w:spacing w:after="0"/>
              <w:ind w:left="720"/>
              <w:jc w:val="left"/>
              <w:rPr>
                <w:rFonts w:eastAsia="SimSun"/>
                <w:noProof/>
                <w:sz w:val="22"/>
              </w:rPr>
            </w:pPr>
          </w:p>
        </w:tc>
        <w:tc>
          <w:tcPr>
            <w:tcW w:w="2093" w:type="dxa"/>
          </w:tcPr>
          <w:p w14:paraId="5AFFA42E"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QT</w:t>
            </w:r>
          </w:p>
          <w:p w14:paraId="1C4A564D"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(n</w:t>
            </w:r>
            <w:r w:rsidR="00D15ACC">
              <w:rPr>
                <w:rFonts w:eastAsia="SimSun"/>
                <w:noProof/>
                <w:sz w:val="22"/>
              </w:rPr>
              <w:t xml:space="preserve"> </w:t>
            </w:r>
            <w:r w:rsidRPr="00C82494">
              <w:rPr>
                <w:rFonts w:eastAsia="SimSun"/>
                <w:noProof/>
                <w:sz w:val="22"/>
              </w:rPr>
              <w:t>=</w:t>
            </w:r>
            <w:r w:rsidR="00D15ACC">
              <w:rPr>
                <w:rFonts w:eastAsia="SimSun"/>
                <w:noProof/>
                <w:sz w:val="22"/>
              </w:rPr>
              <w:t xml:space="preserve"> </w:t>
            </w:r>
            <w:r w:rsidRPr="00C82494">
              <w:rPr>
                <w:rFonts w:eastAsia="SimSun"/>
                <w:noProof/>
                <w:sz w:val="22"/>
              </w:rPr>
              <w:t>182)</w:t>
            </w:r>
          </w:p>
        </w:tc>
        <w:tc>
          <w:tcPr>
            <w:tcW w:w="2551" w:type="dxa"/>
          </w:tcPr>
          <w:p w14:paraId="6ADD766D"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QT+BV</w:t>
            </w:r>
          </w:p>
          <w:p w14:paraId="4D15251D"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(n</w:t>
            </w:r>
            <w:r w:rsidR="00D15ACC">
              <w:rPr>
                <w:rFonts w:eastAsia="SimSun"/>
                <w:noProof/>
                <w:sz w:val="22"/>
              </w:rPr>
              <w:t xml:space="preserve"> </w:t>
            </w:r>
            <w:r w:rsidRPr="00C82494">
              <w:rPr>
                <w:rFonts w:eastAsia="SimSun"/>
                <w:noProof/>
                <w:sz w:val="22"/>
              </w:rPr>
              <w:t>=</w:t>
            </w:r>
            <w:r w:rsidR="00D15ACC">
              <w:rPr>
                <w:rFonts w:eastAsia="SimSun"/>
                <w:noProof/>
                <w:sz w:val="22"/>
              </w:rPr>
              <w:t xml:space="preserve"> </w:t>
            </w:r>
            <w:r w:rsidRPr="00C82494">
              <w:rPr>
                <w:rFonts w:eastAsia="SimSun"/>
                <w:noProof/>
                <w:sz w:val="22"/>
              </w:rPr>
              <w:t>179)</w:t>
            </w:r>
          </w:p>
        </w:tc>
      </w:tr>
      <w:tr w:rsidR="00400398" w:rsidRPr="00215594" w14:paraId="26B31380" w14:textId="77777777" w:rsidTr="00DD00C0">
        <w:tc>
          <w:tcPr>
            <w:tcW w:w="4499" w:type="dxa"/>
          </w:tcPr>
          <w:p w14:paraId="3BC55F22" w14:textId="77777777" w:rsidR="00400398" w:rsidRPr="00C82494" w:rsidRDefault="00400398" w:rsidP="004353F4">
            <w:pPr>
              <w:pStyle w:val="TextTi12"/>
              <w:keepNext/>
              <w:keepLines/>
              <w:spacing w:after="0"/>
              <w:ind w:left="720"/>
              <w:jc w:val="left"/>
              <w:rPr>
                <w:rFonts w:eastAsia="SimSun"/>
                <w:noProof/>
                <w:sz w:val="22"/>
              </w:rPr>
            </w:pPr>
            <w:r w:rsidRPr="00C82494">
              <w:rPr>
                <w:rFonts w:eastAsia="SimSun"/>
                <w:noProof/>
                <w:sz w:val="22"/>
              </w:rPr>
              <w:t>Mediana (meses)</w:t>
            </w:r>
          </w:p>
        </w:tc>
        <w:tc>
          <w:tcPr>
            <w:tcW w:w="2093" w:type="dxa"/>
          </w:tcPr>
          <w:p w14:paraId="1DDF68C1"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3,4</w:t>
            </w:r>
          </w:p>
        </w:tc>
        <w:tc>
          <w:tcPr>
            <w:tcW w:w="2551" w:type="dxa"/>
          </w:tcPr>
          <w:p w14:paraId="1EC27FF1"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6,7</w:t>
            </w:r>
          </w:p>
        </w:tc>
      </w:tr>
      <w:tr w:rsidR="00400398" w:rsidRPr="00215594" w14:paraId="44DDB064" w14:textId="77777777" w:rsidTr="00DD00C0">
        <w:tc>
          <w:tcPr>
            <w:tcW w:w="4499" w:type="dxa"/>
          </w:tcPr>
          <w:p w14:paraId="3EFFCBE6" w14:textId="77777777" w:rsidR="00400398" w:rsidRPr="00893DDD" w:rsidRDefault="00400398" w:rsidP="004353F4">
            <w:pPr>
              <w:pStyle w:val="TextTi12"/>
              <w:keepNext/>
              <w:keepLines/>
              <w:spacing w:after="0"/>
              <w:ind w:left="720"/>
              <w:jc w:val="left"/>
              <w:rPr>
                <w:rFonts w:eastAsia="SimSun"/>
                <w:sz w:val="22"/>
                <w:szCs w:val="22"/>
                <w:lang w:eastAsia="zh-CN"/>
              </w:rPr>
            </w:pPr>
            <w:r w:rsidRPr="00893DDD">
              <w:rPr>
                <w:rFonts w:eastAsia="SimSun"/>
                <w:i/>
                <w:sz w:val="22"/>
                <w:szCs w:val="22"/>
                <w:lang w:eastAsia="zh-CN"/>
              </w:rPr>
              <w:t>Hazard ratio</w:t>
            </w:r>
            <w:r w:rsidRPr="00893DDD">
              <w:rPr>
                <w:rFonts w:eastAsia="SimSun"/>
                <w:sz w:val="22"/>
                <w:szCs w:val="22"/>
                <w:lang w:eastAsia="zh-CN"/>
              </w:rPr>
              <w:t xml:space="preserve"> (taxa de risco)</w:t>
            </w:r>
          </w:p>
          <w:p w14:paraId="763E0B72" w14:textId="77777777" w:rsidR="00400398" w:rsidRPr="00C82494" w:rsidRDefault="00400398" w:rsidP="004353F4">
            <w:pPr>
              <w:pStyle w:val="TextTi12"/>
              <w:keepNext/>
              <w:keepLines/>
              <w:spacing w:after="0"/>
              <w:ind w:left="720"/>
              <w:jc w:val="left"/>
              <w:rPr>
                <w:rFonts w:eastAsia="SimSun"/>
                <w:noProof/>
                <w:sz w:val="22"/>
              </w:rPr>
            </w:pPr>
            <w:r w:rsidRPr="00C82494">
              <w:rPr>
                <w:rFonts w:eastAsia="SimSun"/>
                <w:noProof/>
                <w:sz w:val="22"/>
              </w:rPr>
              <w:t>(IC 95%)</w:t>
            </w:r>
          </w:p>
        </w:tc>
        <w:tc>
          <w:tcPr>
            <w:tcW w:w="4644" w:type="dxa"/>
            <w:gridSpan w:val="2"/>
          </w:tcPr>
          <w:p w14:paraId="454A0CE6"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0,379 [0,296; 0,485]</w:t>
            </w:r>
          </w:p>
        </w:tc>
      </w:tr>
      <w:tr w:rsidR="00400398" w:rsidRPr="00215594" w14:paraId="08240EB0" w14:textId="77777777" w:rsidTr="00DD00C0">
        <w:trPr>
          <w:trHeight w:val="269"/>
        </w:trPr>
        <w:tc>
          <w:tcPr>
            <w:tcW w:w="4499" w:type="dxa"/>
          </w:tcPr>
          <w:p w14:paraId="07C4C832" w14:textId="77777777" w:rsidR="00400398" w:rsidRPr="00C82494" w:rsidRDefault="00400398" w:rsidP="004353F4">
            <w:pPr>
              <w:pStyle w:val="TextTi12"/>
              <w:keepNext/>
              <w:keepLines/>
              <w:spacing w:after="0"/>
              <w:ind w:left="720"/>
              <w:jc w:val="left"/>
              <w:rPr>
                <w:rFonts w:eastAsia="SimSun"/>
                <w:noProof/>
                <w:sz w:val="22"/>
                <w:u w:val="single"/>
              </w:rPr>
            </w:pPr>
            <w:r w:rsidRPr="00C82494">
              <w:rPr>
                <w:rFonts w:eastAsia="SimSun"/>
                <w:noProof/>
                <w:sz w:val="22"/>
              </w:rPr>
              <w:t>Valor de p</w:t>
            </w:r>
          </w:p>
        </w:tc>
        <w:tc>
          <w:tcPr>
            <w:tcW w:w="4644" w:type="dxa"/>
            <w:gridSpan w:val="2"/>
          </w:tcPr>
          <w:p w14:paraId="2340CDCE" w14:textId="77777777" w:rsidR="00400398" w:rsidRPr="00C82494" w:rsidRDefault="00400398" w:rsidP="004353F4">
            <w:pPr>
              <w:pStyle w:val="TextTi12"/>
              <w:keepNext/>
              <w:keepLines/>
              <w:spacing w:after="0"/>
              <w:ind w:left="-72"/>
              <w:jc w:val="center"/>
              <w:rPr>
                <w:rFonts w:eastAsia="SimSun"/>
                <w:noProof/>
                <w:sz w:val="22"/>
              </w:rPr>
            </w:pPr>
            <w:r w:rsidRPr="00C82494">
              <w:rPr>
                <w:rFonts w:eastAsia="SimSun"/>
                <w:noProof/>
                <w:sz w:val="22"/>
              </w:rPr>
              <w:t>&lt;0,0001</w:t>
            </w:r>
          </w:p>
        </w:tc>
      </w:tr>
      <w:tr w:rsidR="00400398" w:rsidRPr="00215594" w14:paraId="398C1BC4" w14:textId="77777777" w:rsidTr="00DD00C0">
        <w:trPr>
          <w:trHeight w:val="413"/>
        </w:trPr>
        <w:tc>
          <w:tcPr>
            <w:tcW w:w="9143" w:type="dxa"/>
            <w:gridSpan w:val="3"/>
          </w:tcPr>
          <w:p w14:paraId="6A5427EA" w14:textId="77777777" w:rsidR="00400398" w:rsidRPr="001E05C2" w:rsidRDefault="00400398" w:rsidP="001E05C2">
            <w:pPr>
              <w:pStyle w:val="TextTi12"/>
              <w:keepNext/>
              <w:keepLines/>
              <w:spacing w:after="0"/>
              <w:jc w:val="left"/>
              <w:rPr>
                <w:rFonts w:eastAsia="SimSun"/>
                <w:noProof/>
                <w:sz w:val="22"/>
              </w:rPr>
            </w:pPr>
            <w:r w:rsidRPr="001E05C2">
              <w:rPr>
                <w:rFonts w:eastAsia="SimSun"/>
                <w:noProof/>
                <w:sz w:val="22"/>
              </w:rPr>
              <w:t xml:space="preserve">Objetivos </w:t>
            </w:r>
            <w:r w:rsidR="00D35B8D">
              <w:rPr>
                <w:rFonts w:eastAsia="SimSun"/>
                <w:noProof/>
                <w:sz w:val="22"/>
              </w:rPr>
              <w:t>s</w:t>
            </w:r>
            <w:r w:rsidRPr="001E05C2">
              <w:rPr>
                <w:rFonts w:eastAsia="SimSun"/>
                <w:noProof/>
                <w:sz w:val="22"/>
              </w:rPr>
              <w:t>ecundários</w:t>
            </w:r>
          </w:p>
        </w:tc>
      </w:tr>
      <w:tr w:rsidR="00400398" w:rsidRPr="00215594" w14:paraId="0294969F" w14:textId="77777777" w:rsidTr="00DD00C0">
        <w:trPr>
          <w:trHeight w:val="269"/>
        </w:trPr>
        <w:tc>
          <w:tcPr>
            <w:tcW w:w="9143" w:type="dxa"/>
            <w:gridSpan w:val="3"/>
          </w:tcPr>
          <w:p w14:paraId="4F120D49" w14:textId="77777777" w:rsidR="00400398" w:rsidRPr="00893DDD" w:rsidRDefault="00400398" w:rsidP="004353F4">
            <w:pPr>
              <w:pStyle w:val="TextTi12"/>
              <w:keepNext/>
              <w:keepLines/>
              <w:spacing w:after="0"/>
              <w:jc w:val="left"/>
              <w:rPr>
                <w:rFonts w:eastAsia="SimSun"/>
                <w:sz w:val="22"/>
                <w:szCs w:val="22"/>
                <w:lang w:eastAsia="zh-CN"/>
              </w:rPr>
            </w:pPr>
            <w:r w:rsidRPr="00893DDD">
              <w:rPr>
                <w:rFonts w:eastAsia="SimSun"/>
                <w:sz w:val="22"/>
                <w:szCs w:val="22"/>
                <w:lang w:eastAsia="zh-CN"/>
              </w:rPr>
              <w:t xml:space="preserve">Taxa de </w:t>
            </w:r>
            <w:r w:rsidR="00D35B8D">
              <w:rPr>
                <w:rFonts w:eastAsia="SimSun"/>
                <w:sz w:val="22"/>
                <w:szCs w:val="22"/>
                <w:lang w:eastAsia="zh-CN"/>
              </w:rPr>
              <w:t>r</w:t>
            </w:r>
            <w:r w:rsidRPr="00893DDD">
              <w:rPr>
                <w:rFonts w:eastAsia="SimSun"/>
                <w:sz w:val="22"/>
                <w:szCs w:val="22"/>
                <w:lang w:eastAsia="zh-CN"/>
              </w:rPr>
              <w:t xml:space="preserve">esposta </w:t>
            </w:r>
            <w:r w:rsidR="00D35B8D">
              <w:rPr>
                <w:rFonts w:eastAsia="SimSun"/>
                <w:sz w:val="22"/>
                <w:szCs w:val="22"/>
                <w:lang w:eastAsia="zh-CN"/>
              </w:rPr>
              <w:t>o</w:t>
            </w:r>
            <w:r w:rsidRPr="00893DDD">
              <w:rPr>
                <w:rFonts w:eastAsia="SimSun"/>
                <w:sz w:val="22"/>
                <w:szCs w:val="22"/>
                <w:lang w:eastAsia="zh-CN"/>
              </w:rPr>
              <w:t xml:space="preserve">bjetiva** </w:t>
            </w:r>
          </w:p>
        </w:tc>
      </w:tr>
      <w:tr w:rsidR="00400398" w:rsidRPr="00215594" w14:paraId="2A33B22D" w14:textId="77777777" w:rsidTr="00DD00C0">
        <w:tc>
          <w:tcPr>
            <w:tcW w:w="4499" w:type="dxa"/>
          </w:tcPr>
          <w:p w14:paraId="1962F0DC" w14:textId="77777777" w:rsidR="00400398" w:rsidRPr="00893DDD" w:rsidRDefault="00400398" w:rsidP="004353F4">
            <w:pPr>
              <w:pStyle w:val="TextTi12"/>
              <w:keepNext/>
              <w:keepLines/>
              <w:spacing w:after="0"/>
              <w:ind w:left="720"/>
              <w:jc w:val="left"/>
              <w:rPr>
                <w:rFonts w:eastAsia="SimSun"/>
                <w:sz w:val="22"/>
                <w:szCs w:val="22"/>
                <w:lang w:eastAsia="zh-CN"/>
              </w:rPr>
            </w:pPr>
          </w:p>
        </w:tc>
        <w:tc>
          <w:tcPr>
            <w:tcW w:w="2093" w:type="dxa"/>
          </w:tcPr>
          <w:p w14:paraId="03BEEA04"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QT</w:t>
            </w:r>
          </w:p>
          <w:p w14:paraId="4E244783"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(n</w:t>
            </w:r>
            <w:r w:rsidR="00D15ACC">
              <w:rPr>
                <w:rFonts w:eastAsia="SimSun"/>
                <w:noProof/>
                <w:sz w:val="22"/>
              </w:rPr>
              <w:t xml:space="preserve"> </w:t>
            </w:r>
            <w:r w:rsidRPr="00C82494">
              <w:rPr>
                <w:rFonts w:eastAsia="SimSun"/>
                <w:noProof/>
                <w:sz w:val="22"/>
              </w:rPr>
              <w:t>=</w:t>
            </w:r>
            <w:r w:rsidR="00D15ACC">
              <w:rPr>
                <w:rFonts w:eastAsia="SimSun"/>
                <w:noProof/>
                <w:sz w:val="22"/>
              </w:rPr>
              <w:t xml:space="preserve"> </w:t>
            </w:r>
            <w:r w:rsidRPr="00C82494">
              <w:rPr>
                <w:rFonts w:eastAsia="SimSun"/>
                <w:noProof/>
                <w:sz w:val="22"/>
              </w:rPr>
              <w:t>144)</w:t>
            </w:r>
          </w:p>
        </w:tc>
        <w:tc>
          <w:tcPr>
            <w:tcW w:w="2551" w:type="dxa"/>
          </w:tcPr>
          <w:p w14:paraId="60D83EEF"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QT+BV</w:t>
            </w:r>
          </w:p>
          <w:p w14:paraId="62F34890"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(n</w:t>
            </w:r>
            <w:r w:rsidR="00D15ACC">
              <w:rPr>
                <w:rFonts w:eastAsia="SimSun"/>
                <w:noProof/>
                <w:sz w:val="22"/>
              </w:rPr>
              <w:t xml:space="preserve"> </w:t>
            </w:r>
            <w:r w:rsidRPr="00C82494">
              <w:rPr>
                <w:rFonts w:eastAsia="SimSun"/>
                <w:noProof/>
                <w:sz w:val="22"/>
              </w:rPr>
              <w:t>=</w:t>
            </w:r>
            <w:r w:rsidR="00D15ACC">
              <w:rPr>
                <w:rFonts w:eastAsia="SimSun"/>
                <w:noProof/>
                <w:sz w:val="22"/>
              </w:rPr>
              <w:t xml:space="preserve"> </w:t>
            </w:r>
            <w:r w:rsidRPr="00C82494">
              <w:rPr>
                <w:rFonts w:eastAsia="SimSun"/>
                <w:noProof/>
                <w:sz w:val="22"/>
              </w:rPr>
              <w:t>142)</w:t>
            </w:r>
          </w:p>
        </w:tc>
      </w:tr>
      <w:tr w:rsidR="00400398" w:rsidRPr="00215594" w14:paraId="053639B2" w14:textId="77777777" w:rsidTr="00DD00C0">
        <w:tc>
          <w:tcPr>
            <w:tcW w:w="4499" w:type="dxa"/>
          </w:tcPr>
          <w:p w14:paraId="1C473779" w14:textId="77777777" w:rsidR="00400398" w:rsidRPr="00893DDD" w:rsidRDefault="00400398" w:rsidP="004353F4">
            <w:pPr>
              <w:pStyle w:val="TextTi12"/>
              <w:keepNext/>
              <w:keepLines/>
              <w:spacing w:after="0"/>
              <w:jc w:val="left"/>
              <w:rPr>
                <w:rFonts w:eastAsia="SimSun"/>
                <w:sz w:val="22"/>
                <w:szCs w:val="22"/>
                <w:u w:val="single"/>
                <w:lang w:eastAsia="zh-CN"/>
              </w:rPr>
            </w:pPr>
            <w:r w:rsidRPr="00893DDD">
              <w:rPr>
                <w:rFonts w:eastAsia="SimSun"/>
                <w:sz w:val="22"/>
                <w:szCs w:val="22"/>
                <w:lang w:eastAsia="zh-CN"/>
              </w:rPr>
              <w:t>% de doentes com resposta objetiva</w:t>
            </w:r>
          </w:p>
        </w:tc>
        <w:tc>
          <w:tcPr>
            <w:tcW w:w="2093" w:type="dxa"/>
          </w:tcPr>
          <w:p w14:paraId="7327EF9A"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18 (12,5%)</w:t>
            </w:r>
          </w:p>
        </w:tc>
        <w:tc>
          <w:tcPr>
            <w:tcW w:w="2551" w:type="dxa"/>
          </w:tcPr>
          <w:p w14:paraId="5E1FCE32"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40 (28,2%)</w:t>
            </w:r>
          </w:p>
        </w:tc>
      </w:tr>
      <w:tr w:rsidR="00400398" w:rsidRPr="00215594" w14:paraId="3D80C940" w14:textId="77777777" w:rsidTr="00DD00C0">
        <w:trPr>
          <w:trHeight w:val="287"/>
        </w:trPr>
        <w:tc>
          <w:tcPr>
            <w:tcW w:w="4499" w:type="dxa"/>
          </w:tcPr>
          <w:p w14:paraId="0C5019DD" w14:textId="77777777" w:rsidR="00400398" w:rsidRPr="00C82494" w:rsidRDefault="00400398" w:rsidP="004353F4">
            <w:pPr>
              <w:pStyle w:val="TextTi12"/>
              <w:keepNext/>
              <w:keepLines/>
              <w:spacing w:after="0"/>
              <w:ind w:left="720"/>
              <w:jc w:val="left"/>
              <w:rPr>
                <w:rFonts w:eastAsia="SimSun"/>
                <w:noProof/>
                <w:sz w:val="22"/>
              </w:rPr>
            </w:pPr>
            <w:r w:rsidRPr="00C82494">
              <w:rPr>
                <w:rFonts w:eastAsia="SimSun"/>
                <w:noProof/>
                <w:sz w:val="22"/>
              </w:rPr>
              <w:t xml:space="preserve">valor de p </w:t>
            </w:r>
          </w:p>
        </w:tc>
        <w:tc>
          <w:tcPr>
            <w:tcW w:w="4644" w:type="dxa"/>
            <w:gridSpan w:val="2"/>
          </w:tcPr>
          <w:p w14:paraId="77FCEF99"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0,0007</w:t>
            </w:r>
          </w:p>
        </w:tc>
      </w:tr>
      <w:tr w:rsidR="00400398" w:rsidRPr="00215594" w14:paraId="66A86E70" w14:textId="77777777" w:rsidTr="00DD00C0">
        <w:trPr>
          <w:trHeight w:val="233"/>
        </w:trPr>
        <w:tc>
          <w:tcPr>
            <w:tcW w:w="4499" w:type="dxa"/>
          </w:tcPr>
          <w:p w14:paraId="10B58215" w14:textId="77777777" w:rsidR="00400398" w:rsidRPr="00893DDD" w:rsidRDefault="00400398" w:rsidP="004353F4">
            <w:pPr>
              <w:pStyle w:val="TextTi12"/>
              <w:keepNext/>
              <w:keepLines/>
              <w:spacing w:after="0"/>
              <w:jc w:val="left"/>
              <w:rPr>
                <w:rFonts w:eastAsia="SimSun"/>
                <w:sz w:val="22"/>
                <w:szCs w:val="22"/>
                <w:lang w:eastAsia="zh-CN"/>
              </w:rPr>
            </w:pPr>
            <w:r w:rsidRPr="00893DDD">
              <w:rPr>
                <w:rFonts w:eastAsia="SimSun"/>
                <w:sz w:val="22"/>
                <w:szCs w:val="22"/>
                <w:lang w:eastAsia="zh-CN"/>
              </w:rPr>
              <w:t xml:space="preserve">Sobrevivência </w:t>
            </w:r>
            <w:r w:rsidR="00D35B8D">
              <w:rPr>
                <w:rFonts w:eastAsia="SimSun"/>
                <w:sz w:val="22"/>
                <w:szCs w:val="22"/>
                <w:lang w:eastAsia="zh-CN"/>
              </w:rPr>
              <w:t>g</w:t>
            </w:r>
            <w:r w:rsidRPr="00893DDD">
              <w:rPr>
                <w:rFonts w:eastAsia="SimSun"/>
                <w:sz w:val="22"/>
                <w:szCs w:val="22"/>
                <w:lang w:eastAsia="zh-CN"/>
              </w:rPr>
              <w:t>lobal (análise final)***</w:t>
            </w:r>
          </w:p>
        </w:tc>
        <w:tc>
          <w:tcPr>
            <w:tcW w:w="4644" w:type="dxa"/>
            <w:gridSpan w:val="2"/>
          </w:tcPr>
          <w:p w14:paraId="1E4C0D56" w14:textId="77777777" w:rsidR="00400398" w:rsidRPr="00893DDD" w:rsidRDefault="00400398" w:rsidP="004353F4">
            <w:pPr>
              <w:pStyle w:val="TextTi12"/>
              <w:keepNext/>
              <w:keepLines/>
              <w:spacing w:after="0"/>
              <w:jc w:val="center"/>
              <w:rPr>
                <w:rFonts w:eastAsia="SimSun"/>
                <w:sz w:val="22"/>
                <w:szCs w:val="22"/>
                <w:lang w:eastAsia="zh-CN"/>
              </w:rPr>
            </w:pPr>
          </w:p>
        </w:tc>
      </w:tr>
      <w:tr w:rsidR="00400398" w:rsidRPr="00215594" w14:paraId="1CDEF06A" w14:textId="77777777" w:rsidTr="00DD00C0">
        <w:trPr>
          <w:trHeight w:val="287"/>
        </w:trPr>
        <w:tc>
          <w:tcPr>
            <w:tcW w:w="4499" w:type="dxa"/>
          </w:tcPr>
          <w:p w14:paraId="66A1A27D" w14:textId="77777777" w:rsidR="00400398" w:rsidRPr="00893DDD" w:rsidRDefault="00400398" w:rsidP="004353F4">
            <w:pPr>
              <w:pStyle w:val="TextTi12"/>
              <w:keepNext/>
              <w:keepLines/>
              <w:spacing w:after="0"/>
              <w:ind w:left="720"/>
              <w:jc w:val="left"/>
              <w:rPr>
                <w:rFonts w:eastAsia="SimSun"/>
                <w:sz w:val="22"/>
                <w:szCs w:val="22"/>
                <w:lang w:eastAsia="zh-CN"/>
              </w:rPr>
            </w:pPr>
          </w:p>
        </w:tc>
        <w:tc>
          <w:tcPr>
            <w:tcW w:w="2093" w:type="dxa"/>
          </w:tcPr>
          <w:p w14:paraId="61E39383"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QT</w:t>
            </w:r>
          </w:p>
          <w:p w14:paraId="729EFD53"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(n</w:t>
            </w:r>
            <w:r w:rsidR="00D15ACC">
              <w:rPr>
                <w:rFonts w:eastAsia="SimSun"/>
                <w:noProof/>
                <w:sz w:val="22"/>
              </w:rPr>
              <w:t xml:space="preserve"> </w:t>
            </w:r>
            <w:r w:rsidRPr="00C82494">
              <w:rPr>
                <w:rFonts w:eastAsia="SimSun"/>
                <w:noProof/>
                <w:sz w:val="22"/>
              </w:rPr>
              <w:t>=</w:t>
            </w:r>
            <w:r w:rsidR="00D15ACC">
              <w:rPr>
                <w:rFonts w:eastAsia="SimSun"/>
                <w:noProof/>
                <w:sz w:val="22"/>
              </w:rPr>
              <w:t xml:space="preserve"> </w:t>
            </w:r>
            <w:r w:rsidRPr="00C82494">
              <w:rPr>
                <w:rFonts w:eastAsia="SimSun"/>
                <w:noProof/>
                <w:sz w:val="22"/>
              </w:rPr>
              <w:t>182)</w:t>
            </w:r>
          </w:p>
        </w:tc>
        <w:tc>
          <w:tcPr>
            <w:tcW w:w="2551" w:type="dxa"/>
          </w:tcPr>
          <w:p w14:paraId="58695934"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QT+BV</w:t>
            </w:r>
          </w:p>
          <w:p w14:paraId="5C900A10"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(n</w:t>
            </w:r>
            <w:r w:rsidR="00D15ACC">
              <w:rPr>
                <w:rFonts w:eastAsia="SimSun"/>
                <w:noProof/>
                <w:sz w:val="22"/>
              </w:rPr>
              <w:t xml:space="preserve"> </w:t>
            </w:r>
            <w:r w:rsidRPr="00C82494">
              <w:rPr>
                <w:rFonts w:eastAsia="SimSun"/>
                <w:noProof/>
                <w:sz w:val="22"/>
              </w:rPr>
              <w:t>=</w:t>
            </w:r>
            <w:r w:rsidR="00D15ACC">
              <w:rPr>
                <w:rFonts w:eastAsia="SimSun"/>
                <w:noProof/>
                <w:sz w:val="22"/>
              </w:rPr>
              <w:t xml:space="preserve"> </w:t>
            </w:r>
            <w:r w:rsidRPr="00C82494">
              <w:rPr>
                <w:rFonts w:eastAsia="SimSun"/>
                <w:noProof/>
                <w:sz w:val="22"/>
              </w:rPr>
              <w:t>179)</w:t>
            </w:r>
          </w:p>
        </w:tc>
      </w:tr>
      <w:tr w:rsidR="00400398" w:rsidRPr="00215594" w14:paraId="293A74BB" w14:textId="77777777" w:rsidTr="00DD00C0">
        <w:trPr>
          <w:trHeight w:val="287"/>
        </w:trPr>
        <w:tc>
          <w:tcPr>
            <w:tcW w:w="4499" w:type="dxa"/>
          </w:tcPr>
          <w:p w14:paraId="2FB9DBDD" w14:textId="77777777" w:rsidR="00400398" w:rsidRPr="00C82494" w:rsidRDefault="00400398" w:rsidP="004353F4">
            <w:pPr>
              <w:pStyle w:val="TextTi12"/>
              <w:keepNext/>
              <w:keepLines/>
              <w:spacing w:after="0"/>
              <w:ind w:left="720"/>
              <w:jc w:val="left"/>
              <w:rPr>
                <w:rFonts w:eastAsia="SimSun"/>
                <w:noProof/>
                <w:sz w:val="22"/>
              </w:rPr>
            </w:pPr>
            <w:r w:rsidRPr="00C82494">
              <w:rPr>
                <w:rFonts w:eastAsia="SimSun"/>
                <w:noProof/>
                <w:sz w:val="22"/>
              </w:rPr>
              <w:t>OS mediana (meses)</w:t>
            </w:r>
          </w:p>
        </w:tc>
        <w:tc>
          <w:tcPr>
            <w:tcW w:w="2093" w:type="dxa"/>
          </w:tcPr>
          <w:p w14:paraId="08348076"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13,3</w:t>
            </w:r>
          </w:p>
        </w:tc>
        <w:tc>
          <w:tcPr>
            <w:tcW w:w="2551" w:type="dxa"/>
          </w:tcPr>
          <w:p w14:paraId="6130D3CE"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16,6</w:t>
            </w:r>
          </w:p>
        </w:tc>
      </w:tr>
      <w:tr w:rsidR="00400398" w:rsidRPr="00215594" w14:paraId="10276CA1" w14:textId="77777777" w:rsidTr="00DD00C0">
        <w:trPr>
          <w:trHeight w:val="287"/>
        </w:trPr>
        <w:tc>
          <w:tcPr>
            <w:tcW w:w="4499" w:type="dxa"/>
          </w:tcPr>
          <w:p w14:paraId="429CFD2E" w14:textId="77777777" w:rsidR="00400398" w:rsidRPr="00215594" w:rsidRDefault="00400398" w:rsidP="004353F4">
            <w:pPr>
              <w:keepNext/>
              <w:keepLines/>
              <w:ind w:left="284"/>
              <w:rPr>
                <w:szCs w:val="22"/>
              </w:rPr>
            </w:pPr>
            <w:r w:rsidRPr="00215594">
              <w:rPr>
                <w:i/>
                <w:szCs w:val="22"/>
              </w:rPr>
              <w:t xml:space="preserve">        Hazard </w:t>
            </w:r>
            <w:r w:rsidR="00D35B8D">
              <w:rPr>
                <w:i/>
                <w:szCs w:val="22"/>
              </w:rPr>
              <w:t>r</w:t>
            </w:r>
            <w:r w:rsidRPr="00215594">
              <w:rPr>
                <w:i/>
                <w:szCs w:val="22"/>
              </w:rPr>
              <w:t xml:space="preserve">atio </w:t>
            </w:r>
            <w:r w:rsidRPr="00215594">
              <w:rPr>
                <w:szCs w:val="22"/>
              </w:rPr>
              <w:t>(taxa de risco)</w:t>
            </w:r>
          </w:p>
          <w:p w14:paraId="1BA99FFC" w14:textId="77777777" w:rsidR="00400398" w:rsidRPr="00C82494" w:rsidRDefault="00400398" w:rsidP="004353F4">
            <w:pPr>
              <w:pStyle w:val="TextTi12"/>
              <w:keepNext/>
              <w:keepLines/>
              <w:spacing w:after="0"/>
              <w:ind w:left="720"/>
              <w:jc w:val="left"/>
              <w:rPr>
                <w:rFonts w:eastAsia="SimSun"/>
                <w:noProof/>
                <w:sz w:val="22"/>
              </w:rPr>
            </w:pPr>
            <w:r w:rsidRPr="00893DDD">
              <w:rPr>
                <w:rFonts w:eastAsia="SimSun"/>
                <w:sz w:val="22"/>
                <w:szCs w:val="22"/>
                <w:lang w:eastAsia="zh-CN"/>
              </w:rPr>
              <w:t xml:space="preserve"> </w:t>
            </w:r>
            <w:r w:rsidRPr="00C82494">
              <w:rPr>
                <w:rFonts w:eastAsia="SimSun"/>
                <w:noProof/>
                <w:sz w:val="22"/>
              </w:rPr>
              <w:t>(IC 95%)</w:t>
            </w:r>
          </w:p>
        </w:tc>
        <w:tc>
          <w:tcPr>
            <w:tcW w:w="4644" w:type="dxa"/>
            <w:gridSpan w:val="2"/>
          </w:tcPr>
          <w:p w14:paraId="556B4AF5" w14:textId="77777777" w:rsidR="00400398" w:rsidRPr="00C82494" w:rsidRDefault="00400398" w:rsidP="004353F4">
            <w:pPr>
              <w:pStyle w:val="TextTi12"/>
              <w:keepNext/>
              <w:keepLines/>
              <w:spacing w:after="0"/>
              <w:jc w:val="center"/>
              <w:rPr>
                <w:rFonts w:eastAsia="SimSun"/>
                <w:noProof/>
                <w:sz w:val="22"/>
              </w:rPr>
            </w:pPr>
            <w:r w:rsidRPr="00C82494">
              <w:rPr>
                <w:rFonts w:eastAsia="SimSun"/>
                <w:noProof/>
                <w:sz w:val="22"/>
              </w:rPr>
              <w:t>0,870 [0,678; 1,116]</w:t>
            </w:r>
          </w:p>
        </w:tc>
      </w:tr>
      <w:tr w:rsidR="00400398" w:rsidRPr="00215594" w14:paraId="2EF538FE" w14:textId="77777777" w:rsidTr="00DD00C0">
        <w:trPr>
          <w:trHeight w:val="64"/>
        </w:trPr>
        <w:tc>
          <w:tcPr>
            <w:tcW w:w="4499" w:type="dxa"/>
          </w:tcPr>
          <w:p w14:paraId="537F04E0" w14:textId="77777777" w:rsidR="00400398" w:rsidRPr="00C82494" w:rsidRDefault="00400398" w:rsidP="004353F4">
            <w:pPr>
              <w:pStyle w:val="TextTi12"/>
              <w:keepNext/>
              <w:keepLines/>
              <w:spacing w:after="0"/>
              <w:ind w:left="720"/>
              <w:jc w:val="left"/>
              <w:rPr>
                <w:rFonts w:eastAsia="SimSun"/>
                <w:noProof/>
                <w:sz w:val="22"/>
              </w:rPr>
            </w:pPr>
            <w:r w:rsidRPr="00C82494">
              <w:rPr>
                <w:rFonts w:eastAsia="SimSun"/>
                <w:noProof/>
                <w:sz w:val="22"/>
              </w:rPr>
              <w:t>Valor de p</w:t>
            </w:r>
          </w:p>
        </w:tc>
        <w:tc>
          <w:tcPr>
            <w:tcW w:w="4644" w:type="dxa"/>
            <w:gridSpan w:val="2"/>
          </w:tcPr>
          <w:p w14:paraId="4AEADB8B" w14:textId="77777777" w:rsidR="00400398" w:rsidRPr="00C82494" w:rsidRDefault="00400398" w:rsidP="004353F4">
            <w:pPr>
              <w:pStyle w:val="TextTi12"/>
              <w:keepNext/>
              <w:keepLines/>
              <w:spacing w:after="0"/>
              <w:jc w:val="center"/>
              <w:rPr>
                <w:rFonts w:eastAsia="SimSun"/>
                <w:noProof/>
                <w:sz w:val="22"/>
              </w:rPr>
            </w:pPr>
            <w:r w:rsidRPr="00215594">
              <w:rPr>
                <w:noProof/>
                <w:sz w:val="22"/>
              </w:rPr>
              <w:t>0,2711</w:t>
            </w:r>
          </w:p>
        </w:tc>
      </w:tr>
    </w:tbl>
    <w:p w14:paraId="1098256B" w14:textId="77777777" w:rsidR="00400398" w:rsidRPr="00C82494" w:rsidRDefault="00400398" w:rsidP="004353F4">
      <w:pPr>
        <w:keepNext/>
        <w:keepLines/>
        <w:tabs>
          <w:tab w:val="left" w:pos="1843"/>
        </w:tabs>
        <w:rPr>
          <w:noProof/>
          <w:sz w:val="20"/>
        </w:rPr>
      </w:pPr>
      <w:r w:rsidRPr="00C82494">
        <w:rPr>
          <w:noProof/>
          <w:sz w:val="20"/>
        </w:rPr>
        <w:t>Todas as análises apresentadas nesta tabela são análises estratificadas.</w:t>
      </w:r>
    </w:p>
    <w:p w14:paraId="37E035BD" w14:textId="77777777" w:rsidR="00400398" w:rsidRPr="00C82494" w:rsidRDefault="00400398" w:rsidP="004353F4">
      <w:pPr>
        <w:keepNext/>
        <w:keepLines/>
        <w:tabs>
          <w:tab w:val="left" w:pos="1843"/>
        </w:tabs>
        <w:rPr>
          <w:noProof/>
          <w:sz w:val="20"/>
        </w:rPr>
      </w:pPr>
      <w:r w:rsidRPr="00C82494">
        <w:rPr>
          <w:noProof/>
          <w:sz w:val="20"/>
        </w:rPr>
        <w:t>* A análise primária foi realizada com cut-off de dados a 14 novembro 2011.</w:t>
      </w:r>
    </w:p>
    <w:p w14:paraId="2F7A7285" w14:textId="77777777" w:rsidR="00400398" w:rsidRPr="00C82494" w:rsidRDefault="00400398" w:rsidP="004353F4">
      <w:pPr>
        <w:keepNext/>
        <w:keepLines/>
        <w:tabs>
          <w:tab w:val="left" w:pos="1843"/>
        </w:tabs>
        <w:rPr>
          <w:noProof/>
          <w:sz w:val="20"/>
        </w:rPr>
      </w:pPr>
      <w:r w:rsidRPr="00C82494">
        <w:rPr>
          <w:noProof/>
          <w:sz w:val="20"/>
        </w:rPr>
        <w:t xml:space="preserve">** Doentes aleatorizados com Doença Mensurável à entrada no estudo. </w:t>
      </w:r>
    </w:p>
    <w:p w14:paraId="07883083" w14:textId="77777777" w:rsidR="00400398" w:rsidRPr="00C82494" w:rsidRDefault="00400398" w:rsidP="004353F4">
      <w:pPr>
        <w:keepNext/>
        <w:keepLines/>
        <w:tabs>
          <w:tab w:val="left" w:pos="1843"/>
        </w:tabs>
        <w:rPr>
          <w:noProof/>
          <w:sz w:val="20"/>
        </w:rPr>
      </w:pPr>
      <w:r w:rsidRPr="00C82494">
        <w:rPr>
          <w:noProof/>
          <w:sz w:val="20"/>
        </w:rPr>
        <w:t xml:space="preserve">***A análise final da </w:t>
      </w:r>
      <w:r w:rsidR="00D35B8D">
        <w:rPr>
          <w:noProof/>
          <w:sz w:val="20"/>
        </w:rPr>
        <w:t>OS</w:t>
      </w:r>
      <w:r w:rsidRPr="00C82494">
        <w:rPr>
          <w:noProof/>
          <w:sz w:val="20"/>
        </w:rPr>
        <w:t xml:space="preserve"> foi realizada quando tinham sido observadas 266 mortes, que representavam 73,7% dos doentes recrutados. </w:t>
      </w:r>
    </w:p>
    <w:p w14:paraId="0EB9BD0D" w14:textId="77777777" w:rsidR="00400398" w:rsidRDefault="00400398" w:rsidP="004353F4">
      <w:pPr>
        <w:keepNext/>
        <w:keepLines/>
        <w:rPr>
          <w:szCs w:val="22"/>
        </w:rPr>
      </w:pPr>
    </w:p>
    <w:p w14:paraId="06965CB0" w14:textId="77777777" w:rsidR="00400398" w:rsidRDefault="00400398" w:rsidP="004353F4">
      <w:pPr>
        <w:keepNext/>
        <w:keepLines/>
        <w:tabs>
          <w:tab w:val="left" w:pos="1843"/>
        </w:tabs>
        <w:rPr>
          <w:szCs w:val="22"/>
        </w:rPr>
      </w:pPr>
      <w:r>
        <w:rPr>
          <w:szCs w:val="22"/>
        </w:rPr>
        <w:t xml:space="preserve">O ensaio atingiu o objetivo primário de melhoria da PFS. Em comparação com os doentes tratados apenas com quimioterapia (paclitaxel, topotecano ou PLD), no contexto de doença recorrente resistente a </w:t>
      </w:r>
      <w:r w:rsidR="00233EB7">
        <w:rPr>
          <w:szCs w:val="22"/>
        </w:rPr>
        <w:t>platina</w:t>
      </w:r>
      <w:r>
        <w:rPr>
          <w:szCs w:val="22"/>
        </w:rPr>
        <w:t>, as doentes que receberam bevacizumab numa dose de 10 mg/kg a cada 2 semanas (ou de 15 mg/kg a cada 3 semanas, se usado em associação com o topotecano a 1,25 mg/m</w:t>
      </w:r>
      <w:r>
        <w:rPr>
          <w:szCs w:val="22"/>
          <w:vertAlign w:val="superscript"/>
        </w:rPr>
        <w:t>2</w:t>
      </w:r>
      <w:r>
        <w:rPr>
          <w:szCs w:val="22"/>
        </w:rPr>
        <w:t xml:space="preserve">, nos Dias 1 – 5, a cada 3 semanas) em associação com quimioterapia e que continuaram a receber bevacizumab até à progressão da doença ou toxicidade inaceitável, tiveram uma melhoria estatisticamente significativa da PFS. As análises exploratórias da PFS e da OS </w:t>
      </w:r>
      <w:r>
        <w:t>por</w:t>
      </w:r>
      <w:r w:rsidRPr="007232E4">
        <w:t xml:space="preserve"> coorte </w:t>
      </w:r>
      <w:r>
        <w:rPr>
          <w:szCs w:val="22"/>
        </w:rPr>
        <w:t xml:space="preserve">de quimioterapia </w:t>
      </w:r>
      <w:r>
        <w:t>(</w:t>
      </w:r>
      <w:r>
        <w:rPr>
          <w:szCs w:val="22"/>
        </w:rPr>
        <w:t xml:space="preserve">paclitaxel, topotecano e PLD) estão resumidos na tabela </w:t>
      </w:r>
      <w:r w:rsidR="001A58BE">
        <w:rPr>
          <w:szCs w:val="22"/>
        </w:rPr>
        <w:t>24</w:t>
      </w:r>
      <w:r>
        <w:rPr>
          <w:szCs w:val="22"/>
        </w:rPr>
        <w:t>.</w:t>
      </w:r>
    </w:p>
    <w:p w14:paraId="516E91EB" w14:textId="77777777" w:rsidR="00400398" w:rsidRDefault="00400398" w:rsidP="00770130">
      <w:pPr>
        <w:tabs>
          <w:tab w:val="left" w:pos="1843"/>
        </w:tabs>
        <w:rPr>
          <w:szCs w:val="22"/>
        </w:rPr>
      </w:pPr>
    </w:p>
    <w:p w14:paraId="19E0D73D" w14:textId="77777777" w:rsidR="00400398" w:rsidRDefault="00400398" w:rsidP="00A73A88">
      <w:pPr>
        <w:keepNext/>
        <w:keepLines/>
        <w:outlineLvl w:val="0"/>
        <w:rPr>
          <w:b/>
        </w:rPr>
      </w:pPr>
      <w:r w:rsidRPr="00AF087B">
        <w:rPr>
          <w:b/>
        </w:rPr>
        <w:lastRenderedPageBreak/>
        <w:t xml:space="preserve">Tabela </w:t>
      </w:r>
      <w:r w:rsidR="00405C75" w:rsidRPr="00AF087B">
        <w:rPr>
          <w:b/>
        </w:rPr>
        <w:t>2</w:t>
      </w:r>
      <w:r w:rsidR="00405C75">
        <w:rPr>
          <w:b/>
        </w:rPr>
        <w:t>4</w:t>
      </w:r>
      <w:r w:rsidR="00812456">
        <w:rPr>
          <w:b/>
        </w:rPr>
        <w:tab/>
      </w:r>
      <w:r w:rsidRPr="00AF087B">
        <w:rPr>
          <w:b/>
        </w:rPr>
        <w:t>Análise</w:t>
      </w:r>
      <w:r>
        <w:rPr>
          <w:b/>
        </w:rPr>
        <w:t>s</w:t>
      </w:r>
      <w:r w:rsidRPr="00AF087B">
        <w:rPr>
          <w:b/>
        </w:rPr>
        <w:t xml:space="preserve"> exploratór</w:t>
      </w:r>
      <w:r>
        <w:rPr>
          <w:b/>
        </w:rPr>
        <w:t>i</w:t>
      </w:r>
      <w:r w:rsidRPr="00AF087B">
        <w:rPr>
          <w:b/>
        </w:rPr>
        <w:t>a</w:t>
      </w:r>
      <w:r>
        <w:rPr>
          <w:b/>
        </w:rPr>
        <w:t>s</w:t>
      </w:r>
      <w:r w:rsidRPr="00AF087B">
        <w:rPr>
          <w:b/>
        </w:rPr>
        <w:t xml:space="preserve"> da PFS </w:t>
      </w:r>
      <w:r>
        <w:rPr>
          <w:b/>
        </w:rPr>
        <w:t>e da OS por</w:t>
      </w:r>
      <w:r w:rsidRPr="00AF087B">
        <w:rPr>
          <w:b/>
        </w:rPr>
        <w:t xml:space="preserve"> co</w:t>
      </w:r>
      <w:r>
        <w:rPr>
          <w:b/>
        </w:rPr>
        <w:t>orte</w:t>
      </w:r>
      <w:r w:rsidRPr="00AF087B">
        <w:rPr>
          <w:b/>
        </w:rPr>
        <w:t xml:space="preserve"> de quimioterapia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5"/>
        <w:gridCol w:w="2947"/>
        <w:gridCol w:w="80"/>
        <w:gridCol w:w="2869"/>
      </w:tblGrid>
      <w:tr w:rsidR="00400398" w:rsidRPr="00215594" w14:paraId="18FF02E4" w14:textId="77777777" w:rsidTr="00D91337">
        <w:tc>
          <w:tcPr>
            <w:tcW w:w="1747" w:type="pct"/>
          </w:tcPr>
          <w:p w14:paraId="61AE0418" w14:textId="77777777" w:rsidR="00400398" w:rsidRPr="00215594" w:rsidRDefault="00400398" w:rsidP="00A045BA">
            <w:pPr>
              <w:keepNext/>
              <w:keepLines/>
              <w:rPr>
                <w:noProof/>
              </w:rPr>
            </w:pPr>
          </w:p>
        </w:tc>
        <w:tc>
          <w:tcPr>
            <w:tcW w:w="1670" w:type="pct"/>
            <w:gridSpan w:val="2"/>
          </w:tcPr>
          <w:p w14:paraId="6BDFEAC0" w14:textId="77777777" w:rsidR="00400398" w:rsidRPr="00C82494" w:rsidRDefault="00400398" w:rsidP="00A045BA">
            <w:pPr>
              <w:pStyle w:val="TextTi12"/>
              <w:keepNext/>
              <w:keepLines/>
              <w:jc w:val="center"/>
              <w:rPr>
                <w:rFonts w:eastAsia="SimSun"/>
                <w:noProof/>
                <w:sz w:val="22"/>
              </w:rPr>
            </w:pPr>
            <w:r w:rsidRPr="00C82494">
              <w:rPr>
                <w:rFonts w:eastAsia="SimSun"/>
                <w:noProof/>
                <w:sz w:val="22"/>
              </w:rPr>
              <w:t>QT</w:t>
            </w:r>
          </w:p>
          <w:p w14:paraId="083DC662" w14:textId="77777777" w:rsidR="00400398" w:rsidRPr="00215594" w:rsidRDefault="00400398" w:rsidP="00A045BA">
            <w:pPr>
              <w:keepNext/>
              <w:keepLines/>
              <w:ind w:left="567" w:hanging="567"/>
              <w:jc w:val="center"/>
              <w:outlineLvl w:val="0"/>
              <w:rPr>
                <w:noProof/>
              </w:rPr>
            </w:pPr>
          </w:p>
        </w:tc>
        <w:tc>
          <w:tcPr>
            <w:tcW w:w="1583" w:type="pct"/>
          </w:tcPr>
          <w:p w14:paraId="44F0502E" w14:textId="77777777" w:rsidR="00400398" w:rsidRPr="00C82494" w:rsidRDefault="00400398" w:rsidP="00A045BA">
            <w:pPr>
              <w:pStyle w:val="TextTi12"/>
              <w:keepNext/>
              <w:keepLines/>
              <w:jc w:val="center"/>
              <w:rPr>
                <w:rFonts w:eastAsia="SimSun"/>
                <w:noProof/>
                <w:sz w:val="22"/>
              </w:rPr>
            </w:pPr>
            <w:r w:rsidRPr="00C82494">
              <w:rPr>
                <w:rFonts w:eastAsia="SimSun"/>
                <w:noProof/>
                <w:sz w:val="22"/>
              </w:rPr>
              <w:t>QT+BV</w:t>
            </w:r>
          </w:p>
          <w:p w14:paraId="5240BF7D" w14:textId="77777777" w:rsidR="00400398" w:rsidRPr="00215594" w:rsidRDefault="00400398" w:rsidP="00A045BA">
            <w:pPr>
              <w:keepNext/>
              <w:keepLines/>
              <w:ind w:left="567" w:hanging="567"/>
              <w:jc w:val="center"/>
              <w:outlineLvl w:val="0"/>
              <w:rPr>
                <w:noProof/>
              </w:rPr>
            </w:pPr>
          </w:p>
        </w:tc>
      </w:tr>
      <w:tr w:rsidR="00400398" w:rsidRPr="00215594" w14:paraId="762E91A4" w14:textId="77777777" w:rsidTr="00D91337">
        <w:tc>
          <w:tcPr>
            <w:tcW w:w="1747" w:type="pct"/>
          </w:tcPr>
          <w:p w14:paraId="0A1EAE90" w14:textId="77777777" w:rsidR="00400398" w:rsidRPr="001E05C2" w:rsidRDefault="00400398" w:rsidP="001E05C2">
            <w:pPr>
              <w:keepNext/>
              <w:keepLines/>
              <w:rPr>
                <w:noProof/>
              </w:rPr>
            </w:pPr>
            <w:r w:rsidRPr="001E05C2">
              <w:rPr>
                <w:noProof/>
              </w:rPr>
              <w:t>Paclitaxel</w:t>
            </w:r>
          </w:p>
        </w:tc>
        <w:tc>
          <w:tcPr>
            <w:tcW w:w="3253" w:type="pct"/>
            <w:gridSpan w:val="3"/>
          </w:tcPr>
          <w:p w14:paraId="561B7399" w14:textId="77777777" w:rsidR="00400398" w:rsidRPr="00215594" w:rsidRDefault="00D15ACC" w:rsidP="00A045BA">
            <w:pPr>
              <w:keepNext/>
              <w:keepLines/>
              <w:jc w:val="center"/>
              <w:rPr>
                <w:noProof/>
              </w:rPr>
            </w:pPr>
            <w:r w:rsidRPr="00215594">
              <w:rPr>
                <w:noProof/>
              </w:rPr>
              <w:t xml:space="preserve">n </w:t>
            </w:r>
            <w:r w:rsidR="00400398" w:rsidRPr="00215594">
              <w:rPr>
                <w:noProof/>
              </w:rPr>
              <w:t>=</w:t>
            </w:r>
            <w:r w:rsidRPr="00215594">
              <w:rPr>
                <w:noProof/>
              </w:rPr>
              <w:t xml:space="preserve"> </w:t>
            </w:r>
            <w:r w:rsidR="00400398" w:rsidRPr="00215594">
              <w:rPr>
                <w:noProof/>
              </w:rPr>
              <w:t>115</w:t>
            </w:r>
          </w:p>
        </w:tc>
      </w:tr>
      <w:tr w:rsidR="00400398" w:rsidRPr="00215594" w14:paraId="06717F80" w14:textId="77777777" w:rsidTr="00D91337">
        <w:tc>
          <w:tcPr>
            <w:tcW w:w="1747" w:type="pct"/>
          </w:tcPr>
          <w:p w14:paraId="73963158" w14:textId="77777777" w:rsidR="00400398" w:rsidRPr="00C82494" w:rsidRDefault="00400398" w:rsidP="00A045BA">
            <w:pPr>
              <w:pStyle w:val="TableText10"/>
              <w:keepNext/>
              <w:keepLines/>
              <w:spacing w:line="280" w:lineRule="atLeast"/>
              <w:jc w:val="center"/>
              <w:rPr>
                <w:rFonts w:eastAsia="SimSun"/>
                <w:noProof/>
                <w:sz w:val="22"/>
              </w:rPr>
            </w:pPr>
            <w:r w:rsidRPr="00215594">
              <w:rPr>
                <w:noProof/>
                <w:sz w:val="22"/>
              </w:rPr>
              <w:t>PFS mediana (meses)</w:t>
            </w:r>
          </w:p>
        </w:tc>
        <w:tc>
          <w:tcPr>
            <w:tcW w:w="1670" w:type="pct"/>
            <w:gridSpan w:val="2"/>
          </w:tcPr>
          <w:p w14:paraId="63EFE50B" w14:textId="77777777" w:rsidR="00400398" w:rsidRPr="00215594" w:rsidRDefault="00400398" w:rsidP="00DA2AB3">
            <w:pPr>
              <w:jc w:val="center"/>
              <w:rPr>
                <w:noProof/>
              </w:rPr>
            </w:pPr>
            <w:r w:rsidRPr="00215594">
              <w:rPr>
                <w:noProof/>
              </w:rPr>
              <w:t xml:space="preserve">3,9 </w:t>
            </w:r>
          </w:p>
        </w:tc>
        <w:tc>
          <w:tcPr>
            <w:tcW w:w="1583" w:type="pct"/>
          </w:tcPr>
          <w:p w14:paraId="0532BC61" w14:textId="77777777" w:rsidR="00400398" w:rsidRPr="00215594" w:rsidRDefault="00400398" w:rsidP="00DA2AB3">
            <w:pPr>
              <w:jc w:val="center"/>
              <w:rPr>
                <w:noProof/>
              </w:rPr>
            </w:pPr>
            <w:r w:rsidRPr="00215594">
              <w:rPr>
                <w:noProof/>
              </w:rPr>
              <w:t>9,2</w:t>
            </w:r>
          </w:p>
        </w:tc>
      </w:tr>
      <w:tr w:rsidR="00400398" w:rsidRPr="00215594" w14:paraId="565E563C" w14:textId="77777777" w:rsidTr="00D91337">
        <w:tc>
          <w:tcPr>
            <w:tcW w:w="1747" w:type="pct"/>
          </w:tcPr>
          <w:p w14:paraId="4B35160F" w14:textId="77777777" w:rsidR="00400398" w:rsidRPr="00215594" w:rsidRDefault="00400398" w:rsidP="00A045BA">
            <w:pPr>
              <w:pStyle w:val="TableText10"/>
              <w:keepNext/>
              <w:keepLines/>
              <w:spacing w:line="280" w:lineRule="atLeast"/>
              <w:jc w:val="center"/>
              <w:rPr>
                <w:sz w:val="22"/>
                <w:szCs w:val="22"/>
              </w:rPr>
            </w:pPr>
            <w:r w:rsidRPr="00215594">
              <w:rPr>
                <w:i/>
                <w:sz w:val="22"/>
                <w:szCs w:val="22"/>
              </w:rPr>
              <w:t>Hazard ratio</w:t>
            </w:r>
            <w:r w:rsidRPr="00215594">
              <w:rPr>
                <w:sz w:val="22"/>
                <w:szCs w:val="22"/>
              </w:rPr>
              <w:t xml:space="preserve"> (taxa de risco) (IC 95%)</w:t>
            </w:r>
          </w:p>
        </w:tc>
        <w:tc>
          <w:tcPr>
            <w:tcW w:w="3253" w:type="pct"/>
            <w:gridSpan w:val="3"/>
          </w:tcPr>
          <w:p w14:paraId="4E9C1F01" w14:textId="77777777" w:rsidR="00400398" w:rsidRPr="00215594" w:rsidRDefault="00400398" w:rsidP="00DA2AB3">
            <w:pPr>
              <w:jc w:val="center"/>
              <w:rPr>
                <w:noProof/>
              </w:rPr>
            </w:pPr>
            <w:r w:rsidRPr="00215594">
              <w:rPr>
                <w:noProof/>
              </w:rPr>
              <w:t>0,47 [0,31; 0,72]</w:t>
            </w:r>
          </w:p>
        </w:tc>
      </w:tr>
      <w:tr w:rsidR="00400398" w:rsidRPr="00215594" w14:paraId="046BA7C0" w14:textId="77777777" w:rsidTr="00D91337">
        <w:tc>
          <w:tcPr>
            <w:tcW w:w="1747" w:type="pct"/>
          </w:tcPr>
          <w:p w14:paraId="7C1F12B6" w14:textId="77777777" w:rsidR="00400398" w:rsidRPr="00215594" w:rsidRDefault="00400398" w:rsidP="00A045BA">
            <w:pPr>
              <w:keepNext/>
              <w:keepLines/>
              <w:widowControl w:val="0"/>
              <w:jc w:val="center"/>
              <w:rPr>
                <w:noProof/>
              </w:rPr>
            </w:pPr>
            <w:r w:rsidRPr="00215594">
              <w:rPr>
                <w:noProof/>
              </w:rPr>
              <w:t>OS mediana (meses)</w:t>
            </w:r>
          </w:p>
        </w:tc>
        <w:tc>
          <w:tcPr>
            <w:tcW w:w="1670" w:type="pct"/>
            <w:gridSpan w:val="2"/>
          </w:tcPr>
          <w:p w14:paraId="4F1DC4EE" w14:textId="77777777" w:rsidR="00400398" w:rsidRPr="00215594" w:rsidRDefault="00400398" w:rsidP="00A045BA">
            <w:pPr>
              <w:jc w:val="center"/>
              <w:rPr>
                <w:noProof/>
              </w:rPr>
            </w:pPr>
            <w:r w:rsidRPr="00215594">
              <w:rPr>
                <w:noProof/>
              </w:rPr>
              <w:t>13,2</w:t>
            </w:r>
          </w:p>
        </w:tc>
        <w:tc>
          <w:tcPr>
            <w:tcW w:w="1583" w:type="pct"/>
          </w:tcPr>
          <w:p w14:paraId="4418BF32" w14:textId="77777777" w:rsidR="00400398" w:rsidRPr="00215594" w:rsidRDefault="00400398" w:rsidP="00A045BA">
            <w:pPr>
              <w:jc w:val="center"/>
              <w:rPr>
                <w:noProof/>
              </w:rPr>
            </w:pPr>
            <w:r w:rsidRPr="00215594">
              <w:rPr>
                <w:noProof/>
              </w:rPr>
              <w:t>22,4</w:t>
            </w:r>
          </w:p>
        </w:tc>
      </w:tr>
      <w:tr w:rsidR="00400398" w:rsidRPr="00215594" w14:paraId="74972681" w14:textId="77777777" w:rsidTr="00D91337">
        <w:trPr>
          <w:trHeight w:val="522"/>
        </w:trPr>
        <w:tc>
          <w:tcPr>
            <w:tcW w:w="1747" w:type="pct"/>
            <w:tcBorders>
              <w:bottom w:val="double" w:sz="4" w:space="0" w:color="auto"/>
            </w:tcBorders>
          </w:tcPr>
          <w:p w14:paraId="310F2846" w14:textId="77777777" w:rsidR="00400398" w:rsidRPr="00215594" w:rsidRDefault="00400398" w:rsidP="00A045BA">
            <w:pPr>
              <w:keepNext/>
              <w:keepLines/>
              <w:widowControl w:val="0"/>
              <w:jc w:val="center"/>
              <w:rPr>
                <w:szCs w:val="22"/>
              </w:rPr>
            </w:pPr>
            <w:r w:rsidRPr="00215594">
              <w:rPr>
                <w:i/>
                <w:szCs w:val="22"/>
              </w:rPr>
              <w:t>Hazard ratio</w:t>
            </w:r>
            <w:r w:rsidRPr="00215594">
              <w:rPr>
                <w:szCs w:val="22"/>
              </w:rPr>
              <w:t xml:space="preserve"> (taxa de risco) (IC 95%)</w:t>
            </w:r>
          </w:p>
        </w:tc>
        <w:tc>
          <w:tcPr>
            <w:tcW w:w="3253" w:type="pct"/>
            <w:gridSpan w:val="3"/>
            <w:tcBorders>
              <w:bottom w:val="double" w:sz="4" w:space="0" w:color="auto"/>
            </w:tcBorders>
          </w:tcPr>
          <w:p w14:paraId="2D88CFC3" w14:textId="77777777" w:rsidR="00400398" w:rsidRPr="00215594" w:rsidRDefault="00400398" w:rsidP="00DA2AB3">
            <w:pPr>
              <w:jc w:val="center"/>
              <w:rPr>
                <w:noProof/>
              </w:rPr>
            </w:pPr>
            <w:r w:rsidRPr="00215594">
              <w:rPr>
                <w:noProof/>
              </w:rPr>
              <w:t>0,64 [0,41; 0,99]</w:t>
            </w:r>
          </w:p>
        </w:tc>
      </w:tr>
      <w:tr w:rsidR="00400398" w:rsidRPr="00215594" w14:paraId="05FEF365" w14:textId="77777777" w:rsidTr="00D91337">
        <w:tc>
          <w:tcPr>
            <w:tcW w:w="1747" w:type="pct"/>
          </w:tcPr>
          <w:p w14:paraId="65AD2BAE" w14:textId="77777777" w:rsidR="00400398" w:rsidRPr="001E05C2" w:rsidRDefault="00400398" w:rsidP="001E05C2">
            <w:pPr>
              <w:keepNext/>
              <w:keepLines/>
              <w:widowControl w:val="0"/>
              <w:rPr>
                <w:noProof/>
              </w:rPr>
            </w:pPr>
            <w:r w:rsidRPr="001E05C2">
              <w:rPr>
                <w:noProof/>
              </w:rPr>
              <w:t>Topotecano</w:t>
            </w:r>
          </w:p>
        </w:tc>
        <w:tc>
          <w:tcPr>
            <w:tcW w:w="3253" w:type="pct"/>
            <w:gridSpan w:val="3"/>
          </w:tcPr>
          <w:p w14:paraId="3F71A620" w14:textId="77777777" w:rsidR="00400398" w:rsidRPr="00215594" w:rsidRDefault="00D15ACC" w:rsidP="00A045BA">
            <w:pPr>
              <w:jc w:val="center"/>
              <w:rPr>
                <w:noProof/>
              </w:rPr>
            </w:pPr>
            <w:r w:rsidRPr="00215594">
              <w:rPr>
                <w:noProof/>
              </w:rPr>
              <w:t xml:space="preserve">n </w:t>
            </w:r>
            <w:r w:rsidR="00400398" w:rsidRPr="00215594">
              <w:rPr>
                <w:noProof/>
              </w:rPr>
              <w:t>=</w:t>
            </w:r>
            <w:r w:rsidRPr="00215594">
              <w:rPr>
                <w:noProof/>
              </w:rPr>
              <w:t xml:space="preserve"> </w:t>
            </w:r>
            <w:r w:rsidR="00400398" w:rsidRPr="00215594">
              <w:rPr>
                <w:noProof/>
              </w:rPr>
              <w:t>120</w:t>
            </w:r>
          </w:p>
        </w:tc>
      </w:tr>
      <w:tr w:rsidR="00400398" w:rsidRPr="00215594" w14:paraId="652D1C7B" w14:textId="77777777" w:rsidTr="00D91337">
        <w:trPr>
          <w:trHeight w:val="309"/>
        </w:trPr>
        <w:tc>
          <w:tcPr>
            <w:tcW w:w="1747" w:type="pct"/>
          </w:tcPr>
          <w:p w14:paraId="20CC0E09" w14:textId="77777777" w:rsidR="00400398" w:rsidRPr="00215594" w:rsidRDefault="00400398" w:rsidP="00A045BA">
            <w:pPr>
              <w:pStyle w:val="TableText10"/>
              <w:keepNext/>
              <w:keepLines/>
              <w:spacing w:line="280" w:lineRule="atLeast"/>
              <w:jc w:val="center"/>
              <w:rPr>
                <w:noProof/>
              </w:rPr>
            </w:pPr>
            <w:r w:rsidRPr="00215594">
              <w:rPr>
                <w:noProof/>
                <w:sz w:val="22"/>
              </w:rPr>
              <w:t>PFS mediana (meses)</w:t>
            </w:r>
          </w:p>
        </w:tc>
        <w:tc>
          <w:tcPr>
            <w:tcW w:w="1670" w:type="pct"/>
            <w:gridSpan w:val="2"/>
          </w:tcPr>
          <w:p w14:paraId="4F43266B" w14:textId="77777777" w:rsidR="00400398" w:rsidRPr="00215594" w:rsidRDefault="00400398" w:rsidP="00DA2AB3">
            <w:pPr>
              <w:jc w:val="center"/>
              <w:rPr>
                <w:noProof/>
              </w:rPr>
            </w:pPr>
            <w:r w:rsidRPr="00215594">
              <w:rPr>
                <w:noProof/>
              </w:rPr>
              <w:t>2,1</w:t>
            </w:r>
          </w:p>
        </w:tc>
        <w:tc>
          <w:tcPr>
            <w:tcW w:w="1583" w:type="pct"/>
          </w:tcPr>
          <w:p w14:paraId="5E25A4B8" w14:textId="77777777" w:rsidR="00400398" w:rsidRPr="00215594" w:rsidRDefault="00400398" w:rsidP="00DA2AB3">
            <w:pPr>
              <w:jc w:val="center"/>
              <w:rPr>
                <w:noProof/>
              </w:rPr>
            </w:pPr>
            <w:r w:rsidRPr="00215594">
              <w:rPr>
                <w:noProof/>
              </w:rPr>
              <w:t>6,2</w:t>
            </w:r>
          </w:p>
        </w:tc>
      </w:tr>
      <w:tr w:rsidR="00400398" w:rsidRPr="00215594" w14:paraId="046C3240" w14:textId="77777777" w:rsidTr="00D91337">
        <w:tc>
          <w:tcPr>
            <w:tcW w:w="1747" w:type="pct"/>
          </w:tcPr>
          <w:p w14:paraId="0EAA7B45" w14:textId="77777777" w:rsidR="00400398" w:rsidRPr="00215594" w:rsidRDefault="00400398" w:rsidP="00A045BA">
            <w:pPr>
              <w:pStyle w:val="TableText10"/>
              <w:keepNext/>
              <w:keepLines/>
              <w:spacing w:line="280" w:lineRule="atLeast"/>
              <w:jc w:val="center"/>
              <w:rPr>
                <w:noProof/>
                <w:sz w:val="22"/>
              </w:rPr>
            </w:pPr>
            <w:r w:rsidRPr="00215594">
              <w:rPr>
                <w:noProof/>
                <w:sz w:val="22"/>
              </w:rPr>
              <w:t>Hazard ratio (95% I</w:t>
            </w:r>
            <w:r w:rsidR="00D15ACC" w:rsidRPr="00215594">
              <w:rPr>
                <w:noProof/>
                <w:sz w:val="22"/>
              </w:rPr>
              <w:t>C</w:t>
            </w:r>
            <w:r w:rsidRPr="00215594">
              <w:rPr>
                <w:noProof/>
                <w:sz w:val="22"/>
              </w:rPr>
              <w:t>)</w:t>
            </w:r>
          </w:p>
        </w:tc>
        <w:tc>
          <w:tcPr>
            <w:tcW w:w="3253" w:type="pct"/>
            <w:gridSpan w:val="3"/>
          </w:tcPr>
          <w:p w14:paraId="3D47BEB6" w14:textId="77777777" w:rsidR="00400398" w:rsidRPr="00215594" w:rsidRDefault="00400398" w:rsidP="00DA2AB3">
            <w:pPr>
              <w:jc w:val="center"/>
              <w:rPr>
                <w:noProof/>
              </w:rPr>
            </w:pPr>
            <w:r w:rsidRPr="00215594">
              <w:rPr>
                <w:noProof/>
              </w:rPr>
              <w:t>0,28 [0,18; 0,44]</w:t>
            </w:r>
          </w:p>
        </w:tc>
      </w:tr>
      <w:tr w:rsidR="00400398" w:rsidRPr="00215594" w14:paraId="300ED73C" w14:textId="77777777" w:rsidTr="00D91337">
        <w:tc>
          <w:tcPr>
            <w:tcW w:w="1747" w:type="pct"/>
          </w:tcPr>
          <w:p w14:paraId="45D06477" w14:textId="77777777" w:rsidR="00400398" w:rsidRPr="00215594" w:rsidRDefault="00400398" w:rsidP="00A045BA">
            <w:pPr>
              <w:pStyle w:val="TableText10"/>
              <w:keepNext/>
              <w:keepLines/>
              <w:spacing w:line="280" w:lineRule="atLeast"/>
              <w:jc w:val="center"/>
              <w:rPr>
                <w:noProof/>
                <w:sz w:val="22"/>
              </w:rPr>
            </w:pPr>
            <w:r w:rsidRPr="00215594">
              <w:rPr>
                <w:noProof/>
              </w:rPr>
              <w:t>OS mediana (meses)</w:t>
            </w:r>
          </w:p>
        </w:tc>
        <w:tc>
          <w:tcPr>
            <w:tcW w:w="1670" w:type="pct"/>
            <w:gridSpan w:val="2"/>
          </w:tcPr>
          <w:p w14:paraId="66AB114E" w14:textId="77777777" w:rsidR="00400398" w:rsidRPr="00215594" w:rsidRDefault="00400398" w:rsidP="00A045BA">
            <w:pPr>
              <w:jc w:val="center"/>
              <w:rPr>
                <w:noProof/>
              </w:rPr>
            </w:pPr>
            <w:r w:rsidRPr="00215594">
              <w:rPr>
                <w:noProof/>
              </w:rPr>
              <w:t>13,3</w:t>
            </w:r>
          </w:p>
        </w:tc>
        <w:tc>
          <w:tcPr>
            <w:tcW w:w="1583" w:type="pct"/>
          </w:tcPr>
          <w:p w14:paraId="4BC3C2A3" w14:textId="77777777" w:rsidR="00400398" w:rsidRPr="00215594" w:rsidRDefault="00400398" w:rsidP="00A045BA">
            <w:pPr>
              <w:jc w:val="center"/>
              <w:rPr>
                <w:noProof/>
              </w:rPr>
            </w:pPr>
            <w:r w:rsidRPr="00215594">
              <w:rPr>
                <w:noProof/>
              </w:rPr>
              <w:t>13,8</w:t>
            </w:r>
          </w:p>
        </w:tc>
      </w:tr>
      <w:tr w:rsidR="00400398" w:rsidRPr="00215594" w14:paraId="6EC59259" w14:textId="77777777" w:rsidTr="00D91337">
        <w:trPr>
          <w:trHeight w:val="504"/>
        </w:trPr>
        <w:tc>
          <w:tcPr>
            <w:tcW w:w="1747" w:type="pct"/>
            <w:tcBorders>
              <w:bottom w:val="double" w:sz="4" w:space="0" w:color="auto"/>
            </w:tcBorders>
          </w:tcPr>
          <w:p w14:paraId="4463E17A" w14:textId="77777777" w:rsidR="00400398" w:rsidRPr="00215594" w:rsidRDefault="00400398" w:rsidP="00A045BA">
            <w:pPr>
              <w:pStyle w:val="TableText10"/>
              <w:keepNext/>
              <w:keepLines/>
              <w:spacing w:line="280" w:lineRule="atLeast"/>
              <w:jc w:val="center"/>
              <w:rPr>
                <w:sz w:val="22"/>
                <w:szCs w:val="22"/>
              </w:rPr>
            </w:pPr>
            <w:r w:rsidRPr="00215594">
              <w:rPr>
                <w:i/>
                <w:sz w:val="22"/>
                <w:szCs w:val="22"/>
              </w:rPr>
              <w:t>Hazard ratio</w:t>
            </w:r>
            <w:r w:rsidRPr="00215594">
              <w:rPr>
                <w:sz w:val="22"/>
                <w:szCs w:val="22"/>
              </w:rPr>
              <w:t xml:space="preserve"> (taxa de risco) (IC 95%)</w:t>
            </w:r>
          </w:p>
        </w:tc>
        <w:tc>
          <w:tcPr>
            <w:tcW w:w="3253" w:type="pct"/>
            <w:gridSpan w:val="3"/>
            <w:tcBorders>
              <w:bottom w:val="double" w:sz="4" w:space="0" w:color="auto"/>
            </w:tcBorders>
          </w:tcPr>
          <w:p w14:paraId="46CDE681" w14:textId="77777777" w:rsidR="00400398" w:rsidRPr="00215594" w:rsidRDefault="00400398" w:rsidP="00A045BA">
            <w:pPr>
              <w:jc w:val="center"/>
              <w:rPr>
                <w:noProof/>
              </w:rPr>
            </w:pPr>
            <w:r w:rsidRPr="00215594">
              <w:rPr>
                <w:noProof/>
              </w:rPr>
              <w:t>1,07 [0,70; 1,63]</w:t>
            </w:r>
          </w:p>
          <w:p w14:paraId="6410ACE4" w14:textId="77777777" w:rsidR="00400398" w:rsidRPr="00215594" w:rsidRDefault="00400398" w:rsidP="00A045BA">
            <w:pPr>
              <w:ind w:left="567" w:hanging="567"/>
              <w:jc w:val="center"/>
              <w:outlineLvl w:val="0"/>
              <w:rPr>
                <w:noProof/>
              </w:rPr>
            </w:pPr>
          </w:p>
        </w:tc>
      </w:tr>
      <w:tr w:rsidR="00400398" w:rsidRPr="00215594" w14:paraId="67DF0688" w14:textId="77777777" w:rsidTr="00D91337">
        <w:tc>
          <w:tcPr>
            <w:tcW w:w="1747" w:type="pct"/>
          </w:tcPr>
          <w:p w14:paraId="2C8C5346" w14:textId="77777777" w:rsidR="00400398" w:rsidRPr="001E05C2" w:rsidRDefault="00400398" w:rsidP="001E05C2">
            <w:pPr>
              <w:pStyle w:val="TableText10"/>
              <w:keepNext/>
              <w:keepLines/>
              <w:spacing w:line="280" w:lineRule="atLeast"/>
              <w:rPr>
                <w:noProof/>
                <w:sz w:val="22"/>
              </w:rPr>
            </w:pPr>
            <w:r w:rsidRPr="001E05C2">
              <w:rPr>
                <w:noProof/>
                <w:sz w:val="22"/>
              </w:rPr>
              <w:t>PLD</w:t>
            </w:r>
          </w:p>
        </w:tc>
        <w:tc>
          <w:tcPr>
            <w:tcW w:w="3253" w:type="pct"/>
            <w:gridSpan w:val="3"/>
          </w:tcPr>
          <w:p w14:paraId="1E63707C" w14:textId="77777777" w:rsidR="00400398" w:rsidRPr="00215594" w:rsidRDefault="00D15ACC" w:rsidP="00A045BA">
            <w:pPr>
              <w:jc w:val="center"/>
              <w:rPr>
                <w:noProof/>
              </w:rPr>
            </w:pPr>
            <w:r w:rsidRPr="00215594">
              <w:rPr>
                <w:noProof/>
              </w:rPr>
              <w:t xml:space="preserve">n </w:t>
            </w:r>
            <w:r w:rsidR="00400398" w:rsidRPr="00215594">
              <w:rPr>
                <w:noProof/>
              </w:rPr>
              <w:t>=</w:t>
            </w:r>
            <w:r w:rsidRPr="00215594">
              <w:rPr>
                <w:noProof/>
              </w:rPr>
              <w:t xml:space="preserve"> </w:t>
            </w:r>
            <w:r w:rsidR="00400398" w:rsidRPr="00215594">
              <w:rPr>
                <w:noProof/>
              </w:rPr>
              <w:t>126</w:t>
            </w:r>
          </w:p>
        </w:tc>
      </w:tr>
      <w:tr w:rsidR="00400398" w:rsidRPr="00215594" w14:paraId="5E987019" w14:textId="77777777" w:rsidTr="00D91337">
        <w:trPr>
          <w:trHeight w:val="218"/>
        </w:trPr>
        <w:tc>
          <w:tcPr>
            <w:tcW w:w="1747" w:type="pct"/>
          </w:tcPr>
          <w:p w14:paraId="720A862A" w14:textId="77777777" w:rsidR="00400398" w:rsidRPr="00215594" w:rsidRDefault="00400398" w:rsidP="00A045BA">
            <w:pPr>
              <w:pStyle w:val="TableText10"/>
              <w:keepNext/>
              <w:keepLines/>
              <w:spacing w:line="280" w:lineRule="atLeast"/>
              <w:jc w:val="center"/>
              <w:rPr>
                <w:noProof/>
                <w:sz w:val="22"/>
              </w:rPr>
            </w:pPr>
            <w:r w:rsidRPr="00215594">
              <w:rPr>
                <w:noProof/>
                <w:sz w:val="22"/>
              </w:rPr>
              <w:t>PFS mediana (meses)</w:t>
            </w:r>
          </w:p>
        </w:tc>
        <w:tc>
          <w:tcPr>
            <w:tcW w:w="1670" w:type="pct"/>
            <w:gridSpan w:val="2"/>
          </w:tcPr>
          <w:p w14:paraId="18C9F5A4" w14:textId="77777777" w:rsidR="00400398" w:rsidRPr="00215594" w:rsidRDefault="00400398" w:rsidP="00A045BA">
            <w:pPr>
              <w:jc w:val="center"/>
              <w:rPr>
                <w:noProof/>
              </w:rPr>
            </w:pPr>
            <w:r w:rsidRPr="00215594">
              <w:rPr>
                <w:noProof/>
              </w:rPr>
              <w:t xml:space="preserve">3,5 </w:t>
            </w:r>
          </w:p>
        </w:tc>
        <w:tc>
          <w:tcPr>
            <w:tcW w:w="1583" w:type="pct"/>
          </w:tcPr>
          <w:p w14:paraId="16E15C23" w14:textId="77777777" w:rsidR="00400398" w:rsidRPr="00215594" w:rsidRDefault="00400398" w:rsidP="00DA2AB3">
            <w:pPr>
              <w:jc w:val="center"/>
              <w:rPr>
                <w:noProof/>
              </w:rPr>
            </w:pPr>
            <w:r w:rsidRPr="00215594">
              <w:rPr>
                <w:noProof/>
              </w:rPr>
              <w:t>5,1</w:t>
            </w:r>
          </w:p>
        </w:tc>
      </w:tr>
      <w:tr w:rsidR="00400398" w:rsidRPr="00215594" w14:paraId="3B5F3B05" w14:textId="77777777" w:rsidTr="00D91337">
        <w:tc>
          <w:tcPr>
            <w:tcW w:w="1747" w:type="pct"/>
          </w:tcPr>
          <w:p w14:paraId="19115091" w14:textId="77777777" w:rsidR="00400398" w:rsidRPr="00215594" w:rsidRDefault="00400398" w:rsidP="00A045BA">
            <w:pPr>
              <w:pStyle w:val="TableText10"/>
              <w:keepNext/>
              <w:keepLines/>
              <w:spacing w:line="280" w:lineRule="atLeast"/>
              <w:jc w:val="center"/>
              <w:rPr>
                <w:sz w:val="22"/>
                <w:szCs w:val="22"/>
              </w:rPr>
            </w:pPr>
            <w:r w:rsidRPr="00215594">
              <w:rPr>
                <w:i/>
                <w:sz w:val="22"/>
                <w:szCs w:val="22"/>
              </w:rPr>
              <w:t>Hazard ratio</w:t>
            </w:r>
            <w:r w:rsidRPr="00215594">
              <w:rPr>
                <w:sz w:val="22"/>
                <w:szCs w:val="22"/>
              </w:rPr>
              <w:t xml:space="preserve"> (taxa de risco) (IC 95%)</w:t>
            </w:r>
          </w:p>
        </w:tc>
        <w:tc>
          <w:tcPr>
            <w:tcW w:w="3253" w:type="pct"/>
            <w:gridSpan w:val="3"/>
          </w:tcPr>
          <w:p w14:paraId="484C8A37" w14:textId="77777777" w:rsidR="00400398" w:rsidRPr="00215594" w:rsidRDefault="00400398" w:rsidP="00DA2AB3">
            <w:pPr>
              <w:jc w:val="center"/>
              <w:rPr>
                <w:noProof/>
              </w:rPr>
            </w:pPr>
            <w:r w:rsidRPr="00215594">
              <w:rPr>
                <w:noProof/>
              </w:rPr>
              <w:t>0,53 [0,36; 0,77]</w:t>
            </w:r>
          </w:p>
        </w:tc>
      </w:tr>
      <w:tr w:rsidR="00400398" w:rsidRPr="00215594" w14:paraId="26A3770D" w14:textId="77777777" w:rsidTr="00D91337">
        <w:tc>
          <w:tcPr>
            <w:tcW w:w="1747" w:type="pct"/>
          </w:tcPr>
          <w:p w14:paraId="4F67FCE4" w14:textId="77777777" w:rsidR="00400398" w:rsidRPr="00215594" w:rsidRDefault="00400398" w:rsidP="00A045BA">
            <w:pPr>
              <w:keepNext/>
              <w:keepLines/>
              <w:widowControl w:val="0"/>
              <w:jc w:val="center"/>
              <w:rPr>
                <w:noProof/>
              </w:rPr>
            </w:pPr>
            <w:r w:rsidRPr="00215594">
              <w:rPr>
                <w:noProof/>
              </w:rPr>
              <w:t>OS mediana (meses)</w:t>
            </w:r>
          </w:p>
        </w:tc>
        <w:tc>
          <w:tcPr>
            <w:tcW w:w="1626" w:type="pct"/>
          </w:tcPr>
          <w:p w14:paraId="635D9B01" w14:textId="77777777" w:rsidR="00400398" w:rsidRPr="00215594" w:rsidRDefault="00400398" w:rsidP="00DA2AB3">
            <w:pPr>
              <w:jc w:val="center"/>
              <w:rPr>
                <w:noProof/>
              </w:rPr>
            </w:pPr>
            <w:r w:rsidRPr="00215594">
              <w:rPr>
                <w:noProof/>
              </w:rPr>
              <w:t>14,1</w:t>
            </w:r>
          </w:p>
        </w:tc>
        <w:tc>
          <w:tcPr>
            <w:tcW w:w="1627" w:type="pct"/>
            <w:gridSpan w:val="2"/>
          </w:tcPr>
          <w:p w14:paraId="19106FF3" w14:textId="77777777" w:rsidR="00400398" w:rsidRPr="00215594" w:rsidRDefault="00400398" w:rsidP="00DA2AB3">
            <w:pPr>
              <w:jc w:val="center"/>
              <w:rPr>
                <w:noProof/>
              </w:rPr>
            </w:pPr>
            <w:r w:rsidRPr="00215594">
              <w:rPr>
                <w:noProof/>
              </w:rPr>
              <w:t>13,7</w:t>
            </w:r>
          </w:p>
        </w:tc>
      </w:tr>
      <w:tr w:rsidR="00400398" w:rsidRPr="00215594" w14:paraId="57928867" w14:textId="77777777" w:rsidTr="00D91337">
        <w:tc>
          <w:tcPr>
            <w:tcW w:w="1747" w:type="pct"/>
          </w:tcPr>
          <w:p w14:paraId="681AE2EB" w14:textId="77777777" w:rsidR="00400398" w:rsidRPr="00215594" w:rsidRDefault="00400398" w:rsidP="00A045BA">
            <w:pPr>
              <w:keepNext/>
              <w:keepLines/>
              <w:widowControl w:val="0"/>
              <w:jc w:val="center"/>
              <w:rPr>
                <w:szCs w:val="22"/>
              </w:rPr>
            </w:pPr>
            <w:r w:rsidRPr="00215594">
              <w:rPr>
                <w:i/>
                <w:szCs w:val="22"/>
              </w:rPr>
              <w:t>Hazard ratio</w:t>
            </w:r>
            <w:r w:rsidRPr="00215594">
              <w:rPr>
                <w:szCs w:val="22"/>
              </w:rPr>
              <w:t xml:space="preserve"> (taxa de risco) (IC 95%)</w:t>
            </w:r>
          </w:p>
        </w:tc>
        <w:tc>
          <w:tcPr>
            <w:tcW w:w="3253" w:type="pct"/>
            <w:gridSpan w:val="3"/>
          </w:tcPr>
          <w:p w14:paraId="6A805039" w14:textId="77777777" w:rsidR="00400398" w:rsidRPr="00215594" w:rsidRDefault="00400398" w:rsidP="00DA2AB3">
            <w:pPr>
              <w:jc w:val="center"/>
              <w:rPr>
                <w:noProof/>
              </w:rPr>
            </w:pPr>
            <w:r w:rsidRPr="00215594">
              <w:rPr>
                <w:noProof/>
              </w:rPr>
              <w:t>0,91 [0,61; 1,35]</w:t>
            </w:r>
          </w:p>
        </w:tc>
      </w:tr>
    </w:tbl>
    <w:p w14:paraId="2B87AE43" w14:textId="77777777" w:rsidR="00400398" w:rsidRPr="00AF087B" w:rsidRDefault="00400398" w:rsidP="00A73A88">
      <w:pPr>
        <w:keepNext/>
        <w:keepLines/>
        <w:outlineLvl w:val="0"/>
        <w:rPr>
          <w:b/>
        </w:rPr>
      </w:pPr>
    </w:p>
    <w:p w14:paraId="0F3507D3" w14:textId="77777777" w:rsidR="00400398" w:rsidRPr="00C876C5" w:rsidRDefault="00400398">
      <w:pPr>
        <w:jc w:val="both"/>
        <w:outlineLvl w:val="0"/>
        <w:rPr>
          <w:rFonts w:eastAsia="SimSun"/>
          <w:i/>
          <w:szCs w:val="22"/>
          <w:u w:val="single"/>
          <w:lang w:eastAsia="zh-CN"/>
        </w:rPr>
      </w:pPr>
      <w:r w:rsidRPr="005124FA">
        <w:rPr>
          <w:rFonts w:eastAsia="SimSun"/>
          <w:i/>
          <w:szCs w:val="22"/>
          <w:u w:val="single"/>
          <w:lang w:eastAsia="zh-CN"/>
        </w:rPr>
        <w:t xml:space="preserve">Cancro do </w:t>
      </w:r>
      <w:r w:rsidRPr="002D12ED">
        <w:rPr>
          <w:rFonts w:eastAsia="SimSun"/>
          <w:i/>
          <w:szCs w:val="22"/>
          <w:u w:val="single"/>
          <w:lang w:eastAsia="zh-CN"/>
        </w:rPr>
        <w:t>colo</w:t>
      </w:r>
      <w:r w:rsidRPr="00C876C5">
        <w:rPr>
          <w:rFonts w:eastAsia="SimSun"/>
          <w:i/>
          <w:szCs w:val="22"/>
          <w:u w:val="single"/>
          <w:lang w:eastAsia="zh-CN"/>
        </w:rPr>
        <w:t xml:space="preserve"> do útero</w:t>
      </w:r>
    </w:p>
    <w:p w14:paraId="0079E812" w14:textId="77777777" w:rsidR="00400398" w:rsidRDefault="00400398">
      <w:pPr>
        <w:jc w:val="both"/>
        <w:outlineLvl w:val="0"/>
        <w:rPr>
          <w:rFonts w:eastAsia="SimSun"/>
          <w:i/>
          <w:szCs w:val="22"/>
          <w:u w:val="single"/>
          <w:lang w:eastAsia="zh-CN"/>
        </w:rPr>
      </w:pPr>
    </w:p>
    <w:p w14:paraId="5FC8B9C7" w14:textId="77777777" w:rsidR="00400398" w:rsidRPr="00B56630" w:rsidRDefault="00400398">
      <w:pPr>
        <w:jc w:val="both"/>
        <w:outlineLvl w:val="0"/>
        <w:rPr>
          <w:rFonts w:eastAsia="SimSun"/>
          <w:i/>
          <w:szCs w:val="22"/>
          <w:lang w:eastAsia="zh-CN"/>
        </w:rPr>
      </w:pPr>
      <w:r w:rsidRPr="00B56630">
        <w:rPr>
          <w:rFonts w:eastAsia="SimSun"/>
          <w:i/>
          <w:szCs w:val="22"/>
          <w:lang w:eastAsia="zh-CN"/>
        </w:rPr>
        <w:t>GOG-0240</w:t>
      </w:r>
    </w:p>
    <w:p w14:paraId="328BECD3" w14:textId="77777777" w:rsidR="00400398" w:rsidRDefault="00400398" w:rsidP="00CD045C">
      <w:r w:rsidRPr="002136AD">
        <w:t xml:space="preserve">No estudo GOG-0240, um ensaio clínico de fase III aleatorizado, de quatro braços, aberto e multicêntrico, foram avaliadas </w:t>
      </w:r>
      <w:r w:rsidRPr="002136AD">
        <w:rPr>
          <w:rFonts w:eastAsia="SimSun"/>
          <w:szCs w:val="22"/>
          <w:lang w:eastAsia="zh-CN"/>
        </w:rPr>
        <w:t xml:space="preserve">a eficácia e segurança de </w:t>
      </w:r>
      <w:r w:rsidR="000E5531">
        <w:rPr>
          <w:rFonts w:eastAsia="SimSun"/>
          <w:szCs w:val="22"/>
          <w:lang w:eastAsia="zh-CN"/>
        </w:rPr>
        <w:t>bevacizumab</w:t>
      </w:r>
      <w:r w:rsidR="000E5531" w:rsidRPr="002136AD">
        <w:rPr>
          <w:rFonts w:eastAsia="SimSun"/>
          <w:szCs w:val="22"/>
          <w:lang w:eastAsia="zh-CN"/>
        </w:rPr>
        <w:t xml:space="preserve"> </w:t>
      </w:r>
      <w:r w:rsidRPr="002136AD">
        <w:rPr>
          <w:rFonts w:eastAsia="SimSun"/>
          <w:szCs w:val="22"/>
          <w:lang w:eastAsia="zh-CN"/>
        </w:rPr>
        <w:t xml:space="preserve">em associação com quimioterapia (paclitaxel e cisplatina ou paclitaxel e topotecano) no tratamento de doentes com </w:t>
      </w:r>
      <w:r w:rsidRPr="002136AD">
        <w:t>cancro do colo do útero com doença persistente, recorrente ou metastizada.</w:t>
      </w:r>
    </w:p>
    <w:p w14:paraId="3D091E50" w14:textId="77777777" w:rsidR="00400398" w:rsidRDefault="00400398" w:rsidP="00CD045C"/>
    <w:p w14:paraId="21DCBDBA" w14:textId="77777777" w:rsidR="00400398" w:rsidRDefault="00400398" w:rsidP="00CD045C">
      <w:r>
        <w:t xml:space="preserve">Foram aleatorizadas um total de 452 doentes c para receber: </w:t>
      </w:r>
    </w:p>
    <w:p w14:paraId="2C675A2B" w14:textId="77777777" w:rsidR="00400398" w:rsidRDefault="00400398" w:rsidP="00CD045C"/>
    <w:p w14:paraId="13FAF60C" w14:textId="39FBE589" w:rsidR="00400398" w:rsidRDefault="00400398" w:rsidP="00CA5962">
      <w:pPr>
        <w:keepLines/>
        <w:ind w:left="567" w:hanging="567"/>
        <w:outlineLvl w:val="0"/>
      </w:pPr>
      <w:r w:rsidRPr="007232E4">
        <w:rPr>
          <w:sz w:val="32"/>
          <w:szCs w:val="32"/>
        </w:rPr>
        <w:t>•</w:t>
      </w:r>
      <w:r>
        <w:rPr>
          <w:sz w:val="32"/>
          <w:szCs w:val="32"/>
        </w:rPr>
        <w:tab/>
      </w:r>
      <w:r w:rsidRPr="00B56630">
        <w:t>Paclitaxel 135 mg/m</w:t>
      </w:r>
      <w:r w:rsidRPr="00B56630">
        <w:rPr>
          <w:vertAlign w:val="superscript"/>
        </w:rPr>
        <w:t>2</w:t>
      </w:r>
      <w:r w:rsidRPr="00B56630">
        <w:t xml:space="preserve"> </w:t>
      </w:r>
      <w:r w:rsidR="00F36D72" w:rsidRPr="0081705C">
        <w:t xml:space="preserve">por via intravenosa </w:t>
      </w:r>
      <w:r w:rsidRPr="00B56630">
        <w:t>durante 24 horas no Dia 1 e cisplatina 50 mg/m</w:t>
      </w:r>
      <w:r w:rsidRPr="00B56630">
        <w:rPr>
          <w:vertAlign w:val="superscript"/>
        </w:rPr>
        <w:t>2</w:t>
      </w:r>
      <w:r w:rsidRPr="00B56630">
        <w:t xml:space="preserve"> </w:t>
      </w:r>
      <w:r w:rsidR="00F36D72" w:rsidRPr="0081705C">
        <w:t xml:space="preserve">por via intravenosa </w:t>
      </w:r>
      <w:r w:rsidRPr="00B56630">
        <w:t>no Dia 2, a cada 3</w:t>
      </w:r>
      <w:r w:rsidR="00812456">
        <w:t> </w:t>
      </w:r>
      <w:r w:rsidRPr="00B56630">
        <w:t>semanas (q3w); ou</w:t>
      </w:r>
    </w:p>
    <w:p w14:paraId="1DBDD658" w14:textId="423216FC" w:rsidR="00400398" w:rsidRDefault="00400398" w:rsidP="00C82494">
      <w:pPr>
        <w:keepLines/>
        <w:ind w:left="567"/>
        <w:outlineLvl w:val="0"/>
      </w:pPr>
      <w:r w:rsidRPr="00B56630">
        <w:t>Paclitaxel 175 mg/m</w:t>
      </w:r>
      <w:r w:rsidRPr="00B56630">
        <w:rPr>
          <w:vertAlign w:val="superscript"/>
        </w:rPr>
        <w:t>2</w:t>
      </w:r>
      <w:r w:rsidRPr="00B56630">
        <w:t xml:space="preserve"> </w:t>
      </w:r>
      <w:r w:rsidR="00F36D72" w:rsidRPr="0081705C">
        <w:t xml:space="preserve">por via intravenosa </w:t>
      </w:r>
      <w:r w:rsidRPr="00B56630">
        <w:t>durante 3 horas no Dia 1 e cisplatina 50 mg/m</w:t>
      </w:r>
      <w:r w:rsidRPr="00B56630">
        <w:rPr>
          <w:vertAlign w:val="superscript"/>
        </w:rPr>
        <w:t>2</w:t>
      </w:r>
      <w:r w:rsidRPr="00B56630">
        <w:t xml:space="preserve"> </w:t>
      </w:r>
      <w:r w:rsidR="00F36D72" w:rsidRPr="0081705C">
        <w:t xml:space="preserve">por via intravenosa </w:t>
      </w:r>
      <w:r w:rsidRPr="00B56630">
        <w:t>no Dia 2 (q3w); ou</w:t>
      </w:r>
    </w:p>
    <w:p w14:paraId="16D4B959" w14:textId="5E0A6EE0" w:rsidR="00400398" w:rsidRDefault="00400398" w:rsidP="00C82494">
      <w:pPr>
        <w:keepLines/>
        <w:ind w:left="567"/>
        <w:outlineLvl w:val="0"/>
      </w:pPr>
      <w:r w:rsidRPr="00B56630">
        <w:t>Paclitaxel 175 mg/m</w:t>
      </w:r>
      <w:r w:rsidRPr="00B56630">
        <w:rPr>
          <w:vertAlign w:val="superscript"/>
        </w:rPr>
        <w:t>2</w:t>
      </w:r>
      <w:r w:rsidRPr="00B56630">
        <w:t xml:space="preserve"> </w:t>
      </w:r>
      <w:r w:rsidR="00F36D72" w:rsidRPr="0081705C">
        <w:t xml:space="preserve">por via intravenosa </w:t>
      </w:r>
      <w:r w:rsidRPr="00B56630">
        <w:t>durante 3 horas no Dia 1 e cisplatina 50 mg/m</w:t>
      </w:r>
      <w:r w:rsidRPr="00B56630">
        <w:rPr>
          <w:vertAlign w:val="superscript"/>
        </w:rPr>
        <w:t>2</w:t>
      </w:r>
      <w:r w:rsidRPr="00B56630">
        <w:t xml:space="preserve"> </w:t>
      </w:r>
      <w:r w:rsidR="00F36D72" w:rsidRPr="0081705C">
        <w:t xml:space="preserve">por via intravenosa </w:t>
      </w:r>
      <w:r w:rsidRPr="00B56630">
        <w:t>no Dia 1 (q3w)</w:t>
      </w:r>
    </w:p>
    <w:p w14:paraId="79D75AD4" w14:textId="77777777" w:rsidR="00400398" w:rsidRDefault="00400398" w:rsidP="00C82494">
      <w:pPr>
        <w:keepLines/>
        <w:ind w:left="567"/>
        <w:outlineLvl w:val="0"/>
      </w:pPr>
    </w:p>
    <w:p w14:paraId="55C46C81" w14:textId="6A1279A9" w:rsidR="00400398" w:rsidRDefault="00400398" w:rsidP="00CA5962">
      <w:pPr>
        <w:keepNext/>
        <w:keepLines/>
        <w:ind w:left="567" w:hanging="567"/>
        <w:outlineLvl w:val="0"/>
      </w:pPr>
      <w:r w:rsidRPr="007232E4">
        <w:rPr>
          <w:sz w:val="32"/>
          <w:szCs w:val="32"/>
        </w:rPr>
        <w:t>•</w:t>
      </w:r>
      <w:r>
        <w:rPr>
          <w:sz w:val="32"/>
          <w:szCs w:val="32"/>
        </w:rPr>
        <w:tab/>
      </w:r>
      <w:r w:rsidRPr="00B56630">
        <w:t>Paclitaxel 135 mg/m</w:t>
      </w:r>
      <w:r w:rsidRPr="00B56630">
        <w:rPr>
          <w:vertAlign w:val="superscript"/>
        </w:rPr>
        <w:t>2</w:t>
      </w:r>
      <w:r w:rsidRPr="00B56630">
        <w:t xml:space="preserve"> </w:t>
      </w:r>
      <w:r w:rsidR="00F36D72" w:rsidRPr="0081705C">
        <w:t xml:space="preserve">por via intravenosa </w:t>
      </w:r>
      <w:r w:rsidRPr="00B56630">
        <w:t>durante 24 horas no Dia 1 e cisplatina 50 mg/m</w:t>
      </w:r>
      <w:r w:rsidRPr="00B56630">
        <w:rPr>
          <w:vertAlign w:val="superscript"/>
        </w:rPr>
        <w:t>2</w:t>
      </w:r>
      <w:r w:rsidRPr="00B56630">
        <w:t xml:space="preserve"> </w:t>
      </w:r>
      <w:r w:rsidR="00F36D72" w:rsidRPr="0081705C">
        <w:t xml:space="preserve">por via intravenosa </w:t>
      </w:r>
      <w:r w:rsidRPr="00B56630">
        <w:t xml:space="preserve">no Dia 2 mais bevacizumab 15 mg/kg </w:t>
      </w:r>
      <w:r w:rsidR="00F36D72" w:rsidRPr="0081705C">
        <w:t xml:space="preserve">por via intravenosa </w:t>
      </w:r>
      <w:r w:rsidRPr="00B56630">
        <w:t xml:space="preserve">no Dia 2 (q3w); ou </w:t>
      </w:r>
    </w:p>
    <w:p w14:paraId="6B836382" w14:textId="502B6ACE" w:rsidR="00400398" w:rsidRDefault="00400398" w:rsidP="00FD1111">
      <w:pPr>
        <w:keepNext/>
        <w:keepLines/>
        <w:ind w:left="567"/>
        <w:outlineLvl w:val="0"/>
      </w:pPr>
      <w:r w:rsidRPr="00B56630">
        <w:t>Paclitaxel 175 mg/m</w:t>
      </w:r>
      <w:r w:rsidRPr="00B56630">
        <w:rPr>
          <w:vertAlign w:val="superscript"/>
        </w:rPr>
        <w:t>2</w:t>
      </w:r>
      <w:r w:rsidRPr="00B56630">
        <w:t xml:space="preserve"> </w:t>
      </w:r>
      <w:r w:rsidR="00F36D72" w:rsidRPr="0081705C">
        <w:t xml:space="preserve">por via intravenosa </w:t>
      </w:r>
      <w:r w:rsidRPr="00B56630">
        <w:t>durante 3 horas no Dia 1 e cisplatina 50 mg/m</w:t>
      </w:r>
      <w:r w:rsidRPr="00B56630">
        <w:rPr>
          <w:vertAlign w:val="superscript"/>
        </w:rPr>
        <w:t>2</w:t>
      </w:r>
      <w:r w:rsidRPr="00B56630">
        <w:t xml:space="preserve"> </w:t>
      </w:r>
      <w:r w:rsidR="00F36D72" w:rsidRPr="0081705C">
        <w:t xml:space="preserve">por via intravenosa </w:t>
      </w:r>
      <w:r w:rsidRPr="00B56630">
        <w:t xml:space="preserve">no Dia 2 mais bevacizumab 15 mg/kg </w:t>
      </w:r>
      <w:r w:rsidR="00F36D72" w:rsidRPr="0081705C">
        <w:t xml:space="preserve">por via intravenosa </w:t>
      </w:r>
      <w:r w:rsidRPr="00B56630">
        <w:t xml:space="preserve">no Dia 2 (q3w); ou </w:t>
      </w:r>
    </w:p>
    <w:p w14:paraId="2A8D597B" w14:textId="33811EB8" w:rsidR="00400398" w:rsidRDefault="00400398" w:rsidP="00FD1111">
      <w:pPr>
        <w:keepNext/>
        <w:keepLines/>
        <w:ind w:left="567"/>
        <w:outlineLvl w:val="0"/>
      </w:pPr>
      <w:r w:rsidRPr="00B56630">
        <w:t>Paclitaxel 175 mg/m</w:t>
      </w:r>
      <w:r w:rsidRPr="00B56630">
        <w:rPr>
          <w:vertAlign w:val="superscript"/>
        </w:rPr>
        <w:t>2</w:t>
      </w:r>
      <w:r w:rsidRPr="00B56630">
        <w:t xml:space="preserve"> </w:t>
      </w:r>
      <w:r w:rsidR="00F36D72" w:rsidRPr="0081705C">
        <w:t xml:space="preserve">por via intravenosa </w:t>
      </w:r>
      <w:r w:rsidRPr="00B56630">
        <w:t>durante 3 horas no Dia 1 e cisplatina 50 mg/m</w:t>
      </w:r>
      <w:r w:rsidRPr="00B56630">
        <w:rPr>
          <w:vertAlign w:val="superscript"/>
        </w:rPr>
        <w:t>2</w:t>
      </w:r>
      <w:r w:rsidRPr="00B56630">
        <w:t xml:space="preserve"> </w:t>
      </w:r>
      <w:r w:rsidR="00F36D72" w:rsidRPr="0081705C">
        <w:t xml:space="preserve">por via intravenosa </w:t>
      </w:r>
      <w:r w:rsidRPr="00B56630">
        <w:t xml:space="preserve">no Dia 1 mais bevacizumab 15 mg/kg </w:t>
      </w:r>
      <w:r w:rsidR="00F36D72" w:rsidRPr="0081705C">
        <w:t xml:space="preserve">por via intravenosa </w:t>
      </w:r>
      <w:r w:rsidRPr="00B56630">
        <w:t>no Dia 1 (q3w)</w:t>
      </w:r>
    </w:p>
    <w:p w14:paraId="0BAE82DA" w14:textId="77777777" w:rsidR="00400398" w:rsidRDefault="00400398" w:rsidP="00C82494">
      <w:pPr>
        <w:keepLines/>
        <w:ind w:left="567"/>
        <w:outlineLvl w:val="0"/>
      </w:pPr>
    </w:p>
    <w:p w14:paraId="40DE9D64" w14:textId="1BB8B407" w:rsidR="00400398" w:rsidRDefault="00400398" w:rsidP="00CA5962">
      <w:pPr>
        <w:keepLines/>
        <w:ind w:left="567" w:hanging="567"/>
        <w:outlineLvl w:val="0"/>
      </w:pPr>
      <w:r w:rsidRPr="007232E4">
        <w:rPr>
          <w:sz w:val="32"/>
          <w:szCs w:val="32"/>
        </w:rPr>
        <w:t>•</w:t>
      </w:r>
      <w:r>
        <w:rPr>
          <w:sz w:val="32"/>
          <w:szCs w:val="32"/>
        </w:rPr>
        <w:tab/>
      </w:r>
      <w:r w:rsidRPr="00B56630">
        <w:t>Paclitaxel 175 mg/m</w:t>
      </w:r>
      <w:r w:rsidRPr="00B56630">
        <w:rPr>
          <w:vertAlign w:val="superscript"/>
        </w:rPr>
        <w:t>2</w:t>
      </w:r>
      <w:r w:rsidRPr="00B56630">
        <w:t xml:space="preserve"> </w:t>
      </w:r>
      <w:r w:rsidR="00F36D72" w:rsidRPr="0081705C">
        <w:t xml:space="preserve">por via intravenosa </w:t>
      </w:r>
      <w:r w:rsidRPr="00B56630">
        <w:t>durante 3 horas no Dia 1 e topotecano 0,75 mg/m</w:t>
      </w:r>
      <w:r w:rsidRPr="00B56630">
        <w:rPr>
          <w:vertAlign w:val="superscript"/>
        </w:rPr>
        <w:t>2</w:t>
      </w:r>
      <w:r w:rsidRPr="00B56630">
        <w:t xml:space="preserve"> </w:t>
      </w:r>
      <w:r w:rsidR="00F36D72" w:rsidRPr="0081705C">
        <w:t xml:space="preserve">por via intravenosa </w:t>
      </w:r>
      <w:r w:rsidRPr="00B56630">
        <w:t>durante 30</w:t>
      </w:r>
      <w:r w:rsidR="00812456">
        <w:t> </w:t>
      </w:r>
      <w:r w:rsidRPr="00B56630">
        <w:t>minutos no dias 1-3 (q3w)</w:t>
      </w:r>
    </w:p>
    <w:p w14:paraId="3748E802" w14:textId="77777777" w:rsidR="00400398" w:rsidRDefault="00400398" w:rsidP="00C82494">
      <w:pPr>
        <w:keepLines/>
        <w:ind w:left="567"/>
        <w:outlineLvl w:val="0"/>
      </w:pPr>
    </w:p>
    <w:p w14:paraId="02F97709" w14:textId="2077FEC0" w:rsidR="00400398" w:rsidRDefault="00400398" w:rsidP="00CA5962">
      <w:pPr>
        <w:ind w:left="567" w:hanging="567"/>
        <w:outlineLvl w:val="0"/>
      </w:pPr>
      <w:r w:rsidRPr="007232E4">
        <w:rPr>
          <w:sz w:val="32"/>
          <w:szCs w:val="32"/>
        </w:rPr>
        <w:lastRenderedPageBreak/>
        <w:t>•</w:t>
      </w:r>
      <w:r>
        <w:rPr>
          <w:sz w:val="32"/>
          <w:szCs w:val="32"/>
        </w:rPr>
        <w:tab/>
      </w:r>
      <w:r w:rsidRPr="00B56630">
        <w:t>Paclitaxel 175 mg/m</w:t>
      </w:r>
      <w:r w:rsidRPr="00B56630">
        <w:rPr>
          <w:vertAlign w:val="superscript"/>
        </w:rPr>
        <w:t>2</w:t>
      </w:r>
      <w:r w:rsidRPr="00B56630">
        <w:t xml:space="preserve"> </w:t>
      </w:r>
      <w:r w:rsidR="00F36D72" w:rsidRPr="0081705C">
        <w:t xml:space="preserve">por via intravenosa </w:t>
      </w:r>
      <w:r w:rsidRPr="00B56630">
        <w:t>durante 3 horas no Dia 1 e topotecano 0,75 mg/m</w:t>
      </w:r>
      <w:r w:rsidRPr="00B56630">
        <w:rPr>
          <w:vertAlign w:val="superscript"/>
        </w:rPr>
        <w:t>2</w:t>
      </w:r>
      <w:r w:rsidRPr="00B56630">
        <w:t xml:space="preserve"> </w:t>
      </w:r>
      <w:r w:rsidR="00F36D72" w:rsidRPr="0081705C">
        <w:t xml:space="preserve">por via intravenosa </w:t>
      </w:r>
      <w:r w:rsidRPr="00B56630">
        <w:t>durante 30</w:t>
      </w:r>
      <w:r w:rsidR="00812456">
        <w:t> </w:t>
      </w:r>
      <w:r w:rsidRPr="00B56630">
        <w:t xml:space="preserve">minutos no Dias 1-3 mais bevacizumab 15 mg/kg </w:t>
      </w:r>
      <w:r w:rsidR="00F36D72" w:rsidRPr="0081705C">
        <w:t xml:space="preserve">por via intravenosa </w:t>
      </w:r>
      <w:r w:rsidRPr="00B56630">
        <w:t>no Dia 1 (q3w)</w:t>
      </w:r>
    </w:p>
    <w:p w14:paraId="375853BC" w14:textId="77777777" w:rsidR="00400398" w:rsidRDefault="00400398"/>
    <w:p w14:paraId="5291275E" w14:textId="77777777" w:rsidR="00400398" w:rsidRDefault="00400398">
      <w:r w:rsidRPr="005124FA">
        <w:t xml:space="preserve">As doentes elegíveis tinham </w:t>
      </w:r>
      <w:r w:rsidRPr="002D12ED">
        <w:t>carcinoma</w:t>
      </w:r>
      <w:r w:rsidRPr="00C876C5">
        <w:t xml:space="preserve"> </w:t>
      </w:r>
      <w:r>
        <w:t xml:space="preserve">pavimentocelular </w:t>
      </w:r>
      <w:r w:rsidRPr="002D12ED">
        <w:t>persistente, recorrente ou metastizado</w:t>
      </w:r>
      <w:r w:rsidRPr="00C876C5">
        <w:t xml:space="preserve">, </w:t>
      </w:r>
      <w:r w:rsidRPr="00745443">
        <w:t xml:space="preserve">carcinoma adenoescamoso, ou adenocarcinoma do colo do útero </w:t>
      </w:r>
      <w:r>
        <w:t xml:space="preserve">não passível de </w:t>
      </w:r>
      <w:r w:rsidRPr="005124FA">
        <w:t>tratamento com cirurgia e/ou</w:t>
      </w:r>
      <w:r w:rsidRPr="002D12ED">
        <w:t xml:space="preserve"> radioterapia e que não </w:t>
      </w:r>
      <w:r>
        <w:t xml:space="preserve">tivessem </w:t>
      </w:r>
      <w:r w:rsidRPr="005124FA">
        <w:t>recebido terapêutica prévia</w:t>
      </w:r>
      <w:r w:rsidRPr="002D12ED">
        <w:t xml:space="preserve"> com </w:t>
      </w:r>
      <w:r w:rsidRPr="00C876C5">
        <w:t>b</w:t>
      </w:r>
      <w:r w:rsidRPr="00B5025D">
        <w:t xml:space="preserve">evacizumab ou outros inibidores </w:t>
      </w:r>
      <w:r w:rsidRPr="00745443">
        <w:t xml:space="preserve">do </w:t>
      </w:r>
      <w:r w:rsidRPr="00DC74D6">
        <w:t xml:space="preserve">VEGF ou agentes dirigidos ao recetor do VEGF. </w:t>
      </w:r>
    </w:p>
    <w:p w14:paraId="25A02A5A" w14:textId="77777777" w:rsidR="00400398" w:rsidRPr="0016790F" w:rsidRDefault="00400398" w:rsidP="00CD045C"/>
    <w:p w14:paraId="0C857313" w14:textId="77777777" w:rsidR="00400398" w:rsidRPr="00C51D98" w:rsidRDefault="00400398" w:rsidP="00CD045C">
      <w:r w:rsidRPr="00B56630">
        <w:t xml:space="preserve">A idade </w:t>
      </w:r>
      <w:r>
        <w:t>mediana</w:t>
      </w:r>
      <w:r w:rsidRPr="00B5025D">
        <w:t xml:space="preserve"> </w:t>
      </w:r>
      <w:r>
        <w:t>era</w:t>
      </w:r>
      <w:r w:rsidRPr="00B5025D">
        <w:t xml:space="preserve"> 46,0 anos (intervalo: 20-83) no grupo</w:t>
      </w:r>
      <w:r w:rsidRPr="00C51D98">
        <w:t xml:space="preserve"> da quimioterapia e 48,0 </w:t>
      </w:r>
      <w:r>
        <w:t xml:space="preserve">anos </w:t>
      </w:r>
      <w:r w:rsidRPr="00C51D98">
        <w:t>(intervalo 22</w:t>
      </w:r>
      <w:r w:rsidR="00812456">
        <w:t>­</w:t>
      </w:r>
      <w:r w:rsidRPr="00C51D98">
        <w:t>8</w:t>
      </w:r>
      <w:r>
        <w:t>5</w:t>
      </w:r>
      <w:r w:rsidRPr="005124FA">
        <w:t>) no grupo quimioterapia+</w:t>
      </w:r>
      <w:r w:rsidR="000E5531">
        <w:t>bevacizumab</w:t>
      </w:r>
      <w:r w:rsidRPr="00B5025D">
        <w:t>; com 9,3% das doentes do grupo da quimioterapia e 7,5% das doentes</w:t>
      </w:r>
      <w:r w:rsidRPr="00C51D98">
        <w:t xml:space="preserve"> no grupo quimioterapia+</w:t>
      </w:r>
      <w:r w:rsidR="000E5531">
        <w:t>bevacizumab</w:t>
      </w:r>
      <w:r w:rsidR="000E5531" w:rsidRPr="00C51D98">
        <w:t xml:space="preserve"> </w:t>
      </w:r>
      <w:r w:rsidRPr="00C51D98">
        <w:t>com idade superior a 65 anos.</w:t>
      </w:r>
    </w:p>
    <w:p w14:paraId="769C521A" w14:textId="77777777" w:rsidR="000E5531" w:rsidRDefault="000E5531" w:rsidP="00C82494">
      <w:pPr>
        <w:outlineLvl w:val="0"/>
      </w:pPr>
    </w:p>
    <w:p w14:paraId="6606A41B" w14:textId="77777777" w:rsidR="00400398" w:rsidRDefault="00400398" w:rsidP="00C82494">
      <w:pPr>
        <w:outlineLvl w:val="0"/>
      </w:pPr>
      <w:r w:rsidRPr="00C51D98">
        <w:t xml:space="preserve">Das 452 doentes aleatorizadas na </w:t>
      </w:r>
      <w:r>
        <w:t>linha de base</w:t>
      </w:r>
      <w:r w:rsidRPr="005124FA">
        <w:t>, a maioria das doentes eram de raça br</w:t>
      </w:r>
      <w:r w:rsidRPr="002D12ED">
        <w:t>anca (80</w:t>
      </w:r>
      <w:r w:rsidRPr="00C876C5">
        <w:t>,0% no grupo da quimioterapia e 75,3% no grupo quimioterapia+</w:t>
      </w:r>
      <w:r w:rsidR="000E5531">
        <w:t>bevacizumab</w:t>
      </w:r>
      <w:r w:rsidRPr="008D1471">
        <w:t>)</w:t>
      </w:r>
      <w:r>
        <w:t>,</w:t>
      </w:r>
      <w:r w:rsidRPr="005124FA">
        <w:t xml:space="preserve"> tinham carcinoma </w:t>
      </w:r>
      <w:r>
        <w:t>pavimentocelular</w:t>
      </w:r>
      <w:r w:rsidRPr="005124FA">
        <w:t xml:space="preserve"> </w:t>
      </w:r>
      <w:r w:rsidRPr="002D12ED">
        <w:t>(67,1 % no grupo da quimioterapia e 69,6% no grupo quimioterapia+</w:t>
      </w:r>
      <w:r w:rsidR="000E5531">
        <w:t>bevacizumab</w:t>
      </w:r>
      <w:r w:rsidRPr="002D12ED">
        <w:t>), tinham doença persistente/recorrente</w:t>
      </w:r>
      <w:r w:rsidRPr="00C876C5">
        <w:t xml:space="preserve"> (83,6% no </w:t>
      </w:r>
      <w:r w:rsidRPr="00B5025D">
        <w:t xml:space="preserve">grupo da quimioterapia e </w:t>
      </w:r>
      <w:r w:rsidRPr="00745443">
        <w:t>82,8</w:t>
      </w:r>
      <w:r w:rsidRPr="00DC74D6">
        <w:t>% no grupo quimioterapia+</w:t>
      </w:r>
      <w:r w:rsidR="000E5531">
        <w:t>bevacizumab</w:t>
      </w:r>
      <w:r w:rsidRPr="00DC74D6">
        <w:t xml:space="preserve">), tinham 1-2 locais metastáticos (72,0% no grupo da quimioterapia e </w:t>
      </w:r>
      <w:r w:rsidRPr="0002292A">
        <w:t>76,2</w:t>
      </w:r>
      <w:r w:rsidRPr="00212B39">
        <w:t xml:space="preserve"> % no grupo quimioterapia+</w:t>
      </w:r>
      <w:r w:rsidR="000E5531">
        <w:t>bevacizumab</w:t>
      </w:r>
      <w:r w:rsidRPr="00212B39">
        <w:t xml:space="preserve">), tinham envolvimento dos nódulos linfáticos (50,2% no grupo da quimioterapia </w:t>
      </w:r>
      <w:r w:rsidRPr="0016790F">
        <w:t>e 56,4 % no grupo quimioterapia+</w:t>
      </w:r>
      <w:r w:rsidR="000E5531">
        <w:t>bevacizumab</w:t>
      </w:r>
      <w:r w:rsidRPr="0016790F">
        <w:t xml:space="preserve">) e tinham um intervalo livre de </w:t>
      </w:r>
      <w:r w:rsidR="00233EB7">
        <w:t>platina</w:t>
      </w:r>
      <w:r w:rsidRPr="0016790F">
        <w:t xml:space="preserve"> </w:t>
      </w:r>
      <w:r w:rsidRPr="00B56630">
        <w:rPr>
          <w:szCs w:val="22"/>
        </w:rPr>
        <w:sym w:font="Symbol" w:char="F0B3"/>
      </w:r>
      <w:r w:rsidRPr="00B56630">
        <w:rPr>
          <w:szCs w:val="22"/>
        </w:rPr>
        <w:t xml:space="preserve"> 6 meses (72,5% </w:t>
      </w:r>
      <w:r w:rsidRPr="005124FA">
        <w:t>no grupo da quimioterapia e 64,4% no grupo quimioterapia+</w:t>
      </w:r>
      <w:r w:rsidR="000E5531">
        <w:t>bevacizumab</w:t>
      </w:r>
      <w:r w:rsidRPr="005124FA">
        <w:t>).</w:t>
      </w:r>
    </w:p>
    <w:p w14:paraId="27D298F8" w14:textId="77777777" w:rsidR="00400398" w:rsidRPr="002D12ED" w:rsidRDefault="00400398" w:rsidP="004A12FA">
      <w:pPr>
        <w:jc w:val="both"/>
        <w:outlineLvl w:val="0"/>
      </w:pPr>
    </w:p>
    <w:p w14:paraId="554330EB" w14:textId="77777777" w:rsidR="00400398" w:rsidRPr="00743CD7" w:rsidRDefault="00400398" w:rsidP="00C82494">
      <w:pPr>
        <w:outlineLvl w:val="0"/>
        <w:rPr>
          <w:rFonts w:eastAsia="SimSun"/>
          <w:szCs w:val="22"/>
          <w:lang w:eastAsia="zh-CN"/>
        </w:rPr>
      </w:pPr>
      <w:r w:rsidRPr="00743CD7">
        <w:rPr>
          <w:rFonts w:eastAsia="SimSun"/>
          <w:szCs w:val="22"/>
          <w:lang w:eastAsia="zh-CN"/>
        </w:rPr>
        <w:t xml:space="preserve">O objetivo primário de eficácia foi a </w:t>
      </w:r>
      <w:r w:rsidR="00D35B8D">
        <w:rPr>
          <w:rFonts w:eastAsia="SimSun"/>
          <w:szCs w:val="22"/>
          <w:lang w:eastAsia="zh-CN"/>
        </w:rPr>
        <w:t>OS</w:t>
      </w:r>
      <w:r w:rsidRPr="00743CD7">
        <w:rPr>
          <w:rFonts w:eastAsia="SimSun"/>
          <w:szCs w:val="22"/>
          <w:lang w:eastAsia="zh-CN"/>
        </w:rPr>
        <w:t xml:space="preserve">. Os objetivos secundários de eficácia incluíram a </w:t>
      </w:r>
      <w:r w:rsidR="00D35B8D">
        <w:rPr>
          <w:rFonts w:eastAsia="SimSun"/>
          <w:szCs w:val="22"/>
          <w:lang w:eastAsia="zh-CN"/>
        </w:rPr>
        <w:t>PFS</w:t>
      </w:r>
      <w:r w:rsidRPr="00743CD7">
        <w:rPr>
          <w:rFonts w:eastAsia="SimSun"/>
          <w:szCs w:val="22"/>
          <w:lang w:eastAsia="zh-CN"/>
        </w:rPr>
        <w:t xml:space="preserve"> e a taxa de resposta objetiva. Os resultados da análise primária e da análise de </w:t>
      </w:r>
      <w:r w:rsidRPr="00743CD7">
        <w:rPr>
          <w:rFonts w:eastAsia="SimSun"/>
          <w:i/>
          <w:szCs w:val="22"/>
          <w:lang w:eastAsia="zh-CN"/>
        </w:rPr>
        <w:t xml:space="preserve">follw-up </w:t>
      </w:r>
      <w:r w:rsidRPr="00743CD7">
        <w:rPr>
          <w:rFonts w:eastAsia="SimSun"/>
          <w:szCs w:val="22"/>
          <w:lang w:eastAsia="zh-CN"/>
        </w:rPr>
        <w:t xml:space="preserve">são apresentados por Tratamento com </w:t>
      </w:r>
      <w:r w:rsidR="000E5531">
        <w:rPr>
          <w:rFonts w:eastAsia="SimSun"/>
          <w:szCs w:val="22"/>
          <w:lang w:eastAsia="zh-CN"/>
        </w:rPr>
        <w:t>bevacizumab</w:t>
      </w:r>
      <w:r w:rsidR="000E5531" w:rsidRPr="00743CD7">
        <w:rPr>
          <w:rFonts w:eastAsia="SimSun"/>
          <w:szCs w:val="22"/>
          <w:lang w:eastAsia="zh-CN"/>
        </w:rPr>
        <w:t xml:space="preserve"> </w:t>
      </w:r>
      <w:r w:rsidRPr="00743CD7">
        <w:rPr>
          <w:rFonts w:eastAsia="SimSun"/>
          <w:szCs w:val="22"/>
          <w:lang w:eastAsia="zh-CN"/>
        </w:rPr>
        <w:t xml:space="preserve">e por Tratamento do Ensaio na Tabela </w:t>
      </w:r>
      <w:r w:rsidR="001A58BE" w:rsidRPr="00743CD7">
        <w:rPr>
          <w:rFonts w:eastAsia="SimSun"/>
          <w:szCs w:val="22"/>
          <w:lang w:eastAsia="zh-CN"/>
        </w:rPr>
        <w:t>2</w:t>
      </w:r>
      <w:r w:rsidR="001A58BE">
        <w:rPr>
          <w:rFonts w:eastAsia="SimSun"/>
          <w:szCs w:val="22"/>
          <w:lang w:eastAsia="zh-CN"/>
        </w:rPr>
        <w:t>5</w:t>
      </w:r>
      <w:r w:rsidR="001A58BE" w:rsidRPr="00743CD7">
        <w:rPr>
          <w:rFonts w:eastAsia="SimSun"/>
          <w:szCs w:val="22"/>
          <w:lang w:eastAsia="zh-CN"/>
        </w:rPr>
        <w:t xml:space="preserve"> </w:t>
      </w:r>
      <w:r w:rsidRPr="00743CD7">
        <w:rPr>
          <w:rFonts w:eastAsia="SimSun"/>
          <w:szCs w:val="22"/>
          <w:lang w:eastAsia="zh-CN"/>
        </w:rPr>
        <w:t xml:space="preserve">e Tabela </w:t>
      </w:r>
      <w:r w:rsidR="001A58BE" w:rsidRPr="00743CD7">
        <w:rPr>
          <w:rFonts w:eastAsia="SimSun"/>
          <w:szCs w:val="22"/>
          <w:lang w:eastAsia="zh-CN"/>
        </w:rPr>
        <w:t>2</w:t>
      </w:r>
      <w:r w:rsidR="001A58BE">
        <w:rPr>
          <w:rFonts w:eastAsia="SimSun"/>
          <w:szCs w:val="22"/>
          <w:lang w:eastAsia="zh-CN"/>
        </w:rPr>
        <w:t>6</w:t>
      </w:r>
      <w:r w:rsidRPr="00743CD7">
        <w:rPr>
          <w:rFonts w:eastAsia="SimSun"/>
          <w:szCs w:val="22"/>
          <w:lang w:eastAsia="zh-CN"/>
        </w:rPr>
        <w:t xml:space="preserve">, respetivamente. </w:t>
      </w:r>
    </w:p>
    <w:p w14:paraId="0DB88483" w14:textId="77777777" w:rsidR="00400398" w:rsidRPr="005124FA" w:rsidRDefault="00400398" w:rsidP="004A12FA">
      <w:pPr>
        <w:jc w:val="both"/>
        <w:outlineLvl w:val="0"/>
        <w:rPr>
          <w:rFonts w:eastAsia="SimSun"/>
          <w:i/>
          <w:szCs w:val="22"/>
          <w:u w:val="single"/>
          <w:lang w:eastAsia="zh-CN"/>
        </w:rPr>
      </w:pPr>
    </w:p>
    <w:p w14:paraId="7AC04098" w14:textId="77777777" w:rsidR="00400398" w:rsidRDefault="00400398" w:rsidP="001E05C2">
      <w:pPr>
        <w:keepNext/>
        <w:keepLines/>
        <w:rPr>
          <w:szCs w:val="22"/>
        </w:rPr>
      </w:pPr>
      <w:r w:rsidRPr="00B56630">
        <w:rPr>
          <w:b/>
        </w:rPr>
        <w:lastRenderedPageBreak/>
        <w:t xml:space="preserve">Tabela </w:t>
      </w:r>
      <w:r w:rsidR="00405C75" w:rsidRPr="00B56630">
        <w:rPr>
          <w:b/>
        </w:rPr>
        <w:t>2</w:t>
      </w:r>
      <w:r w:rsidR="00405C75">
        <w:rPr>
          <w:b/>
        </w:rPr>
        <w:t>5</w:t>
      </w:r>
      <w:r w:rsidRPr="00B56630">
        <w:rPr>
          <w:b/>
        </w:rPr>
        <w:tab/>
        <w:t xml:space="preserve">Resultados de eficácia no estudo </w:t>
      </w:r>
      <w:r w:rsidRPr="00B56630">
        <w:rPr>
          <w:rFonts w:cs="Arial"/>
          <w:b/>
          <w:bCs/>
        </w:rPr>
        <w:t xml:space="preserve">GOG-0240 por </w:t>
      </w:r>
      <w:r w:rsidR="00B96995">
        <w:rPr>
          <w:rFonts w:cs="Arial"/>
          <w:b/>
          <w:bCs/>
        </w:rPr>
        <w:t>t</w:t>
      </w:r>
      <w:r w:rsidRPr="00B56630">
        <w:rPr>
          <w:rFonts w:cs="Arial"/>
          <w:b/>
          <w:bCs/>
        </w:rPr>
        <w:t xml:space="preserve">ratamento com </w:t>
      </w:r>
      <w:r w:rsidR="00FF0662">
        <w:rPr>
          <w:rFonts w:cs="Arial"/>
          <w:b/>
          <w:bCs/>
        </w:rPr>
        <w:t>bevacizumab</w:t>
      </w:r>
      <w:r w:rsidR="00FF0662" w:rsidRPr="00B56630">
        <w:rPr>
          <w:rFonts w:cs="Arial"/>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1"/>
        <w:gridCol w:w="2318"/>
        <w:gridCol w:w="2562"/>
      </w:tblGrid>
      <w:tr w:rsidR="00400398" w:rsidRPr="00215594" w14:paraId="184500F9" w14:textId="77777777" w:rsidTr="00D91337">
        <w:trPr>
          <w:jc w:val="center"/>
        </w:trPr>
        <w:tc>
          <w:tcPr>
            <w:tcW w:w="2307" w:type="pct"/>
          </w:tcPr>
          <w:p w14:paraId="3C7B1176" w14:textId="77777777" w:rsidR="00400398" w:rsidRPr="00215594" w:rsidRDefault="00400398" w:rsidP="00C82494">
            <w:pPr>
              <w:pStyle w:val="TableCellLeft"/>
              <w:spacing w:before="0" w:after="0" w:line="240" w:lineRule="auto"/>
              <w:rPr>
                <w:rFonts w:ascii="Times" w:hAnsi="Times" w:cs="Arial"/>
              </w:rPr>
            </w:pPr>
          </w:p>
        </w:tc>
        <w:tc>
          <w:tcPr>
            <w:tcW w:w="1279" w:type="pct"/>
          </w:tcPr>
          <w:p w14:paraId="5859BAA6" w14:textId="77777777" w:rsidR="00400398" w:rsidRPr="001E05C2" w:rsidRDefault="00400398" w:rsidP="00C82494">
            <w:pPr>
              <w:pStyle w:val="TableCellCenter"/>
              <w:spacing w:before="0" w:after="0" w:line="240" w:lineRule="auto"/>
              <w:rPr>
                <w:rFonts w:ascii="Times" w:hAnsi="Times" w:cs="Arial"/>
                <w:b/>
                <w:lang w:eastAsia="ja-JP"/>
              </w:rPr>
            </w:pPr>
            <w:r w:rsidRPr="001E05C2">
              <w:rPr>
                <w:rFonts w:ascii="Times" w:hAnsi="Times" w:cs="Arial"/>
                <w:b/>
                <w:lang w:eastAsia="ja-JP"/>
              </w:rPr>
              <w:t>Quimioterapia</w:t>
            </w:r>
          </w:p>
          <w:p w14:paraId="055A69E5" w14:textId="77777777" w:rsidR="00400398" w:rsidRPr="001E05C2" w:rsidRDefault="00400398">
            <w:pPr>
              <w:pStyle w:val="TableCellCenter"/>
              <w:spacing w:before="0" w:after="0" w:line="240" w:lineRule="auto"/>
              <w:rPr>
                <w:rFonts w:ascii="Times" w:hAnsi="Times" w:cs="Arial"/>
                <w:b/>
              </w:rPr>
            </w:pPr>
            <w:r w:rsidRPr="001E05C2">
              <w:rPr>
                <w:rFonts w:ascii="Times" w:hAnsi="Times" w:cs="Arial"/>
                <w:b/>
              </w:rPr>
              <w:t>(n</w:t>
            </w:r>
            <w:r w:rsidR="009268BE" w:rsidRPr="001E05C2">
              <w:rPr>
                <w:rFonts w:ascii="Times" w:hAnsi="Times" w:cs="Arial"/>
                <w:b/>
              </w:rPr>
              <w:t xml:space="preserve"> </w:t>
            </w:r>
            <w:r w:rsidRPr="001E05C2">
              <w:rPr>
                <w:rFonts w:ascii="Times" w:hAnsi="Times" w:cs="Arial"/>
                <w:b/>
              </w:rPr>
              <w:t>=</w:t>
            </w:r>
            <w:r w:rsidR="009268BE" w:rsidRPr="001E05C2">
              <w:rPr>
                <w:rFonts w:ascii="Times" w:hAnsi="Times" w:cs="Arial"/>
                <w:b/>
              </w:rPr>
              <w:t xml:space="preserve"> </w:t>
            </w:r>
            <w:r w:rsidRPr="001E05C2">
              <w:rPr>
                <w:rFonts w:ascii="Times" w:hAnsi="Times" w:cs="Arial"/>
                <w:b/>
              </w:rPr>
              <w:t>225)</w:t>
            </w:r>
          </w:p>
        </w:tc>
        <w:tc>
          <w:tcPr>
            <w:tcW w:w="1414" w:type="pct"/>
          </w:tcPr>
          <w:p w14:paraId="789D25C5" w14:textId="77777777" w:rsidR="00400398" w:rsidRPr="001E05C2" w:rsidRDefault="00400398" w:rsidP="00C82494">
            <w:pPr>
              <w:pStyle w:val="TextTi12"/>
              <w:keepNext/>
              <w:keepLines/>
              <w:spacing w:after="0"/>
              <w:jc w:val="center"/>
              <w:rPr>
                <w:rFonts w:ascii="Times" w:eastAsia="SimSun" w:hAnsi="Times" w:cs="Arial"/>
                <w:b/>
                <w:sz w:val="20"/>
              </w:rPr>
            </w:pPr>
            <w:r w:rsidRPr="001E05C2">
              <w:rPr>
                <w:rFonts w:ascii="Times" w:eastAsia="SimSun" w:hAnsi="Times" w:cs="Arial"/>
                <w:b/>
                <w:sz w:val="20"/>
              </w:rPr>
              <w:t xml:space="preserve">Quimioterapia + </w:t>
            </w:r>
            <w:r w:rsidR="00FF0662" w:rsidRPr="001E05C2">
              <w:rPr>
                <w:rFonts w:ascii="Times" w:hAnsi="Times"/>
                <w:b/>
                <w:sz w:val="20"/>
                <w:u w:val="single"/>
              </w:rPr>
              <w:t>bevacizumab</w:t>
            </w:r>
          </w:p>
          <w:p w14:paraId="3FBEDD85" w14:textId="77777777" w:rsidR="00400398" w:rsidRPr="001E05C2" w:rsidRDefault="00400398">
            <w:pPr>
              <w:pStyle w:val="TextTi12"/>
              <w:keepNext/>
              <w:keepLines/>
              <w:spacing w:after="0"/>
              <w:jc w:val="center"/>
              <w:rPr>
                <w:rFonts w:ascii="Times" w:eastAsia="SimSun" w:hAnsi="Times" w:cs="Arial"/>
                <w:b/>
                <w:sz w:val="20"/>
              </w:rPr>
            </w:pPr>
            <w:r w:rsidRPr="001E05C2">
              <w:rPr>
                <w:rFonts w:ascii="Times" w:eastAsia="SimSun" w:hAnsi="Times" w:cs="Arial"/>
                <w:b/>
                <w:sz w:val="20"/>
              </w:rPr>
              <w:t>(n</w:t>
            </w:r>
            <w:r w:rsidR="009268BE" w:rsidRPr="001E05C2">
              <w:rPr>
                <w:rFonts w:ascii="Times" w:eastAsia="SimSun" w:hAnsi="Times" w:cs="Arial"/>
                <w:b/>
                <w:sz w:val="20"/>
              </w:rPr>
              <w:t xml:space="preserve"> </w:t>
            </w:r>
            <w:r w:rsidRPr="001E05C2">
              <w:rPr>
                <w:rFonts w:ascii="Times" w:eastAsia="SimSun" w:hAnsi="Times" w:cs="Arial"/>
                <w:b/>
                <w:sz w:val="20"/>
              </w:rPr>
              <w:t>=</w:t>
            </w:r>
            <w:r w:rsidR="009268BE" w:rsidRPr="001E05C2">
              <w:rPr>
                <w:rFonts w:ascii="Times" w:eastAsia="SimSun" w:hAnsi="Times" w:cs="Arial"/>
                <w:b/>
                <w:sz w:val="20"/>
              </w:rPr>
              <w:t xml:space="preserve"> </w:t>
            </w:r>
            <w:r w:rsidRPr="001E05C2">
              <w:rPr>
                <w:rFonts w:ascii="Times" w:eastAsia="SimSun" w:hAnsi="Times" w:cs="Arial"/>
                <w:b/>
                <w:sz w:val="20"/>
                <w:lang w:eastAsia="zh-CN"/>
              </w:rPr>
              <w:t>227)</w:t>
            </w:r>
          </w:p>
        </w:tc>
      </w:tr>
      <w:tr w:rsidR="00400398" w:rsidRPr="00215594" w14:paraId="6B2834E5" w14:textId="77777777" w:rsidTr="00D91337">
        <w:trPr>
          <w:jc w:val="center"/>
        </w:trPr>
        <w:tc>
          <w:tcPr>
            <w:tcW w:w="5000" w:type="pct"/>
            <w:gridSpan w:val="3"/>
          </w:tcPr>
          <w:p w14:paraId="2A431924" w14:textId="77777777" w:rsidR="00400398" w:rsidRPr="001E05C2" w:rsidRDefault="00400398" w:rsidP="00C82494">
            <w:pPr>
              <w:pStyle w:val="TextTi12"/>
              <w:keepNext/>
              <w:keepLines/>
              <w:spacing w:before="120" w:after="120"/>
              <w:jc w:val="center"/>
              <w:rPr>
                <w:rFonts w:ascii="Times" w:eastAsia="SimSun" w:hAnsi="Times" w:cs="Arial"/>
                <w:sz w:val="20"/>
              </w:rPr>
            </w:pPr>
            <w:r w:rsidRPr="001E05C2">
              <w:rPr>
                <w:rFonts w:ascii="Times" w:eastAsia="SimSun" w:hAnsi="Times" w:cs="Arial"/>
                <w:sz w:val="20"/>
                <w:lang w:eastAsia="zh-CN"/>
              </w:rPr>
              <w:t xml:space="preserve">Objetivo </w:t>
            </w:r>
            <w:r w:rsidR="00D35B8D">
              <w:rPr>
                <w:rFonts w:ascii="Times" w:eastAsia="SimSun" w:hAnsi="Times" w:cs="Arial"/>
                <w:sz w:val="20"/>
                <w:lang w:eastAsia="zh-CN"/>
              </w:rPr>
              <w:t>p</w:t>
            </w:r>
            <w:r w:rsidRPr="001E05C2">
              <w:rPr>
                <w:rFonts w:ascii="Times" w:eastAsia="SimSun" w:hAnsi="Times" w:cs="Arial"/>
                <w:sz w:val="20"/>
                <w:lang w:eastAsia="zh-CN"/>
              </w:rPr>
              <w:t>rimário</w:t>
            </w:r>
          </w:p>
        </w:tc>
      </w:tr>
      <w:tr w:rsidR="00400398" w:rsidRPr="00215594" w14:paraId="1BE8B0A7" w14:textId="77777777" w:rsidTr="00D91337">
        <w:trPr>
          <w:jc w:val="center"/>
        </w:trPr>
        <w:tc>
          <w:tcPr>
            <w:tcW w:w="5000" w:type="pct"/>
            <w:gridSpan w:val="3"/>
          </w:tcPr>
          <w:p w14:paraId="00822597" w14:textId="77777777" w:rsidR="00400398" w:rsidRPr="001E05C2" w:rsidRDefault="00400398">
            <w:pPr>
              <w:pStyle w:val="TextTi12"/>
              <w:keepNext/>
              <w:keepLines/>
              <w:spacing w:before="120" w:after="120"/>
              <w:rPr>
                <w:rFonts w:ascii="Times" w:eastAsia="SimSun" w:hAnsi="Times" w:cs="Arial"/>
                <w:sz w:val="20"/>
                <w:vertAlign w:val="superscript"/>
                <w:lang w:eastAsia="zh-CN"/>
              </w:rPr>
            </w:pPr>
            <w:r w:rsidRPr="001E05C2">
              <w:rPr>
                <w:rFonts w:ascii="Times" w:eastAsia="SimSun" w:hAnsi="Times" w:cs="Arial"/>
                <w:sz w:val="20"/>
                <w:lang w:eastAsia="zh-CN"/>
              </w:rPr>
              <w:t xml:space="preserve">Sobrevivência </w:t>
            </w:r>
            <w:r w:rsidR="00D35B8D">
              <w:rPr>
                <w:rFonts w:ascii="Times" w:eastAsia="SimSun" w:hAnsi="Times" w:cs="Arial"/>
                <w:sz w:val="20"/>
                <w:lang w:eastAsia="zh-CN"/>
              </w:rPr>
              <w:t>g</w:t>
            </w:r>
            <w:r w:rsidRPr="001E05C2">
              <w:rPr>
                <w:rFonts w:ascii="Times" w:eastAsia="SimSun" w:hAnsi="Times" w:cs="Arial"/>
                <w:sz w:val="20"/>
                <w:lang w:eastAsia="zh-CN"/>
              </w:rPr>
              <w:t xml:space="preserve">lobal – </w:t>
            </w:r>
            <w:r w:rsidR="00AE4169">
              <w:rPr>
                <w:rFonts w:ascii="Times" w:eastAsia="SimSun" w:hAnsi="Times" w:cs="Arial"/>
                <w:sz w:val="20"/>
                <w:lang w:eastAsia="zh-CN"/>
              </w:rPr>
              <w:t>a</w:t>
            </w:r>
            <w:r w:rsidRPr="001E05C2">
              <w:rPr>
                <w:rFonts w:ascii="Times" w:eastAsia="SimSun" w:hAnsi="Times" w:cs="Arial"/>
                <w:sz w:val="20"/>
                <w:lang w:eastAsia="zh-CN"/>
              </w:rPr>
              <w:t>nálise primária</w:t>
            </w:r>
            <w:r w:rsidRPr="001E05C2">
              <w:rPr>
                <w:rFonts w:ascii="Times" w:eastAsia="SimSun" w:hAnsi="Times" w:cs="Arial"/>
                <w:sz w:val="20"/>
                <w:vertAlign w:val="superscript"/>
                <w:lang w:eastAsia="zh-CN"/>
              </w:rPr>
              <w:t>6</w:t>
            </w:r>
          </w:p>
        </w:tc>
      </w:tr>
      <w:tr w:rsidR="00400398" w:rsidRPr="00215594" w14:paraId="57B45867" w14:textId="77777777" w:rsidTr="00D91337">
        <w:trPr>
          <w:jc w:val="center"/>
        </w:trPr>
        <w:tc>
          <w:tcPr>
            <w:tcW w:w="2307" w:type="pct"/>
          </w:tcPr>
          <w:p w14:paraId="48CDC33F" w14:textId="77777777" w:rsidR="00400398" w:rsidRPr="00215594" w:rsidRDefault="00400398" w:rsidP="00C82494">
            <w:pPr>
              <w:pStyle w:val="TableCellLeft"/>
              <w:spacing w:before="0" w:after="0" w:line="240" w:lineRule="auto"/>
              <w:rPr>
                <w:rFonts w:ascii="Times" w:hAnsi="Times" w:cs="Arial"/>
              </w:rPr>
            </w:pPr>
            <w:r w:rsidRPr="00215594">
              <w:rPr>
                <w:rFonts w:ascii="Times" w:hAnsi="Times" w:cs="Arial"/>
              </w:rPr>
              <w:t>Mediana (meses)</w:t>
            </w:r>
            <w:r w:rsidRPr="00215594">
              <w:rPr>
                <w:rFonts w:ascii="Times" w:hAnsi="Times" w:cs="Arial"/>
                <w:vertAlign w:val="superscript"/>
              </w:rPr>
              <w:t>1</w:t>
            </w:r>
          </w:p>
        </w:tc>
        <w:tc>
          <w:tcPr>
            <w:tcW w:w="1279" w:type="pct"/>
          </w:tcPr>
          <w:p w14:paraId="18C81F4B" w14:textId="77777777" w:rsidR="00400398" w:rsidRPr="00215594" w:rsidRDefault="00400398" w:rsidP="00C82494">
            <w:pPr>
              <w:pStyle w:val="TableCellCenter"/>
              <w:spacing w:before="0" w:after="0" w:line="240" w:lineRule="auto"/>
              <w:rPr>
                <w:rFonts w:ascii="Times" w:hAnsi="Times" w:cs="Arial"/>
              </w:rPr>
            </w:pPr>
            <w:r w:rsidRPr="00215594">
              <w:rPr>
                <w:rFonts w:ascii="Times" w:hAnsi="Times" w:cs="Arial"/>
              </w:rPr>
              <w:t xml:space="preserve">12,9                            </w:t>
            </w:r>
          </w:p>
        </w:tc>
        <w:tc>
          <w:tcPr>
            <w:tcW w:w="1414" w:type="pct"/>
          </w:tcPr>
          <w:p w14:paraId="5065427B" w14:textId="77777777" w:rsidR="00400398" w:rsidRPr="00215594" w:rsidRDefault="00400398">
            <w:pPr>
              <w:pStyle w:val="TableCellCenter"/>
              <w:spacing w:before="0" w:after="0" w:line="240" w:lineRule="auto"/>
              <w:rPr>
                <w:rFonts w:ascii="Times" w:hAnsi="Times" w:cs="Arial"/>
              </w:rPr>
            </w:pPr>
            <w:r w:rsidRPr="00215594">
              <w:rPr>
                <w:rFonts w:ascii="Times" w:hAnsi="Times" w:cs="Arial"/>
              </w:rPr>
              <w:t>16,8</w:t>
            </w:r>
          </w:p>
        </w:tc>
      </w:tr>
      <w:tr w:rsidR="00400398" w:rsidRPr="00215594" w14:paraId="74782FD7" w14:textId="77777777" w:rsidTr="00D91337">
        <w:trPr>
          <w:jc w:val="center"/>
        </w:trPr>
        <w:tc>
          <w:tcPr>
            <w:tcW w:w="2307" w:type="pct"/>
          </w:tcPr>
          <w:p w14:paraId="3CB03A97" w14:textId="77777777" w:rsidR="00400398" w:rsidRPr="00215594" w:rsidRDefault="00400398" w:rsidP="00C82494">
            <w:pPr>
              <w:pStyle w:val="TableCellLeft"/>
              <w:spacing w:before="0" w:after="0" w:line="240" w:lineRule="auto"/>
              <w:rPr>
                <w:rFonts w:ascii="Times" w:hAnsi="Times" w:cs="Arial"/>
              </w:rPr>
            </w:pPr>
            <w:r w:rsidRPr="00215594">
              <w:rPr>
                <w:rFonts w:ascii="Times" w:hAnsi="Times" w:cs="Arial"/>
                <w:i/>
                <w:lang w:eastAsia="ja-JP"/>
              </w:rPr>
              <w:t>Hazard ratio</w:t>
            </w:r>
            <w:r w:rsidRPr="00215594">
              <w:rPr>
                <w:rFonts w:ascii="Times" w:hAnsi="Times" w:cs="Arial"/>
                <w:lang w:eastAsia="ja-JP"/>
              </w:rPr>
              <w:t xml:space="preserve"> </w:t>
            </w:r>
            <w:r w:rsidRPr="00B56630">
              <w:rPr>
                <w:rFonts w:ascii="Times" w:eastAsia="SimSun" w:hAnsi="Times" w:cs="Arial"/>
              </w:rPr>
              <w:t xml:space="preserve">(taxa de risco) </w:t>
            </w:r>
            <w:r w:rsidRPr="00215594">
              <w:rPr>
                <w:rFonts w:ascii="Times" w:hAnsi="Times" w:cs="Arial"/>
                <w:lang w:eastAsia="ja-JP"/>
              </w:rPr>
              <w:t>[IC 95%]</w:t>
            </w:r>
          </w:p>
        </w:tc>
        <w:tc>
          <w:tcPr>
            <w:tcW w:w="2693" w:type="pct"/>
            <w:gridSpan w:val="2"/>
          </w:tcPr>
          <w:p w14:paraId="4FC47E28" w14:textId="77777777" w:rsidR="00400398" w:rsidRPr="00215594" w:rsidRDefault="00400398" w:rsidP="00C82494">
            <w:pPr>
              <w:pStyle w:val="TableCellCenter"/>
              <w:spacing w:before="0" w:after="0" w:line="240" w:lineRule="auto"/>
              <w:rPr>
                <w:rFonts w:ascii="Times" w:hAnsi="Times" w:cs="Arial"/>
              </w:rPr>
            </w:pPr>
            <w:r w:rsidRPr="00215594">
              <w:rPr>
                <w:rFonts w:ascii="Times" w:hAnsi="Times" w:cs="Arial"/>
              </w:rPr>
              <w:t>0,74 [0,58; 0,94]</w:t>
            </w:r>
          </w:p>
          <w:p w14:paraId="4028B36D" w14:textId="77777777" w:rsidR="00400398" w:rsidRPr="00215594" w:rsidRDefault="00400398">
            <w:pPr>
              <w:pStyle w:val="TableCellCenter"/>
              <w:spacing w:before="0" w:after="0" w:line="240" w:lineRule="auto"/>
              <w:rPr>
                <w:rFonts w:ascii="Times" w:hAnsi="Times" w:cs="Arial"/>
              </w:rPr>
            </w:pPr>
            <w:r w:rsidRPr="00215594">
              <w:rPr>
                <w:rFonts w:ascii="Times" w:hAnsi="Times" w:cs="Arial"/>
              </w:rPr>
              <w:t>(valor de p</w:t>
            </w:r>
            <w:r w:rsidRPr="00215594">
              <w:rPr>
                <w:rFonts w:ascii="Times" w:hAnsi="Times" w:cs="Arial"/>
                <w:vertAlign w:val="superscript"/>
              </w:rPr>
              <w:t>5</w:t>
            </w:r>
            <w:r w:rsidRPr="00215594">
              <w:rPr>
                <w:rFonts w:ascii="Times" w:hAnsi="Times" w:cs="Arial"/>
              </w:rPr>
              <w:t xml:space="preserve"> = 0,0132)</w:t>
            </w:r>
          </w:p>
        </w:tc>
      </w:tr>
      <w:tr w:rsidR="00400398" w:rsidRPr="00215594" w14:paraId="6DC39495" w14:textId="77777777" w:rsidTr="00D91337">
        <w:trPr>
          <w:jc w:val="center"/>
        </w:trPr>
        <w:tc>
          <w:tcPr>
            <w:tcW w:w="5000" w:type="pct"/>
            <w:gridSpan w:val="3"/>
          </w:tcPr>
          <w:p w14:paraId="41D043BE" w14:textId="77777777" w:rsidR="00400398" w:rsidRPr="001E05C2" w:rsidRDefault="00400398">
            <w:pPr>
              <w:pStyle w:val="TextTi12"/>
              <w:keepNext/>
              <w:keepLines/>
              <w:spacing w:before="120" w:after="120"/>
              <w:rPr>
                <w:rFonts w:ascii="Times" w:eastAsia="SimSun" w:hAnsi="Times" w:cs="Arial"/>
                <w:sz w:val="20"/>
                <w:vertAlign w:val="superscript"/>
                <w:lang w:eastAsia="zh-CN"/>
              </w:rPr>
            </w:pPr>
            <w:r w:rsidRPr="001E05C2">
              <w:rPr>
                <w:rFonts w:ascii="Times" w:eastAsia="SimSun" w:hAnsi="Times" w:cs="Arial"/>
                <w:sz w:val="20"/>
                <w:lang w:eastAsia="zh-CN"/>
              </w:rPr>
              <w:t xml:space="preserve">Sobrevivência </w:t>
            </w:r>
            <w:r w:rsidR="00AE4169">
              <w:rPr>
                <w:rFonts w:ascii="Times" w:eastAsia="SimSun" w:hAnsi="Times" w:cs="Arial"/>
                <w:sz w:val="20"/>
                <w:lang w:eastAsia="zh-CN"/>
              </w:rPr>
              <w:t>g</w:t>
            </w:r>
            <w:r w:rsidRPr="001E05C2">
              <w:rPr>
                <w:rFonts w:ascii="Times" w:eastAsia="SimSun" w:hAnsi="Times" w:cs="Arial"/>
                <w:sz w:val="20"/>
                <w:lang w:eastAsia="zh-CN"/>
              </w:rPr>
              <w:t xml:space="preserve">lobal – </w:t>
            </w:r>
            <w:r w:rsidR="00AE4169">
              <w:rPr>
                <w:rFonts w:ascii="Times" w:eastAsia="SimSun" w:hAnsi="Times" w:cs="Arial"/>
                <w:sz w:val="20"/>
                <w:lang w:eastAsia="zh-CN"/>
              </w:rPr>
              <w:t>a</w:t>
            </w:r>
            <w:r w:rsidRPr="001E05C2">
              <w:rPr>
                <w:rFonts w:ascii="Times" w:eastAsia="SimSun" w:hAnsi="Times" w:cs="Arial"/>
                <w:sz w:val="20"/>
                <w:lang w:eastAsia="zh-CN"/>
              </w:rPr>
              <w:t xml:space="preserve">nálise de </w:t>
            </w:r>
            <w:r w:rsidRPr="001E05C2">
              <w:rPr>
                <w:rFonts w:ascii="Times" w:eastAsia="SimSun" w:hAnsi="Times" w:cs="Arial"/>
                <w:i/>
                <w:sz w:val="20"/>
                <w:lang w:eastAsia="zh-CN"/>
              </w:rPr>
              <w:t>follow-up</w:t>
            </w:r>
            <w:r w:rsidRPr="001E05C2">
              <w:rPr>
                <w:rFonts w:ascii="Times" w:eastAsia="SimSun" w:hAnsi="Times" w:cs="Arial"/>
                <w:sz w:val="20"/>
                <w:vertAlign w:val="superscript"/>
                <w:lang w:eastAsia="zh-CN"/>
              </w:rPr>
              <w:t>7</w:t>
            </w:r>
          </w:p>
        </w:tc>
      </w:tr>
      <w:tr w:rsidR="00400398" w:rsidRPr="00215594" w14:paraId="5AA7E51D" w14:textId="77777777" w:rsidTr="00D91337">
        <w:trPr>
          <w:jc w:val="center"/>
        </w:trPr>
        <w:tc>
          <w:tcPr>
            <w:tcW w:w="2307" w:type="pct"/>
          </w:tcPr>
          <w:p w14:paraId="0327F9B1" w14:textId="77777777" w:rsidR="00400398" w:rsidRPr="00215594" w:rsidRDefault="00400398" w:rsidP="00C82494">
            <w:pPr>
              <w:pStyle w:val="TableCellLeft"/>
              <w:spacing w:before="0" w:after="0" w:line="240" w:lineRule="auto"/>
              <w:rPr>
                <w:rFonts w:ascii="Times" w:hAnsi="Times" w:cs="Arial"/>
              </w:rPr>
            </w:pPr>
            <w:r w:rsidRPr="00215594">
              <w:rPr>
                <w:rFonts w:ascii="Times" w:hAnsi="Times" w:cs="Arial"/>
              </w:rPr>
              <w:t>Mediana (meses)</w:t>
            </w:r>
            <w:r w:rsidRPr="00215594">
              <w:rPr>
                <w:rFonts w:ascii="Times" w:hAnsi="Times" w:cs="Arial"/>
                <w:vertAlign w:val="superscript"/>
              </w:rPr>
              <w:t>1</w:t>
            </w:r>
          </w:p>
        </w:tc>
        <w:tc>
          <w:tcPr>
            <w:tcW w:w="1279" w:type="pct"/>
          </w:tcPr>
          <w:p w14:paraId="2FA29B99" w14:textId="77777777" w:rsidR="00400398" w:rsidRPr="00215594" w:rsidRDefault="00400398" w:rsidP="00C82494">
            <w:pPr>
              <w:pStyle w:val="TableCellCenter"/>
              <w:spacing w:before="0" w:after="0" w:line="240" w:lineRule="auto"/>
              <w:rPr>
                <w:rFonts w:ascii="Times" w:hAnsi="Times" w:cs="Arial"/>
              </w:rPr>
            </w:pPr>
            <w:r w:rsidRPr="00215594">
              <w:rPr>
                <w:rFonts w:ascii="Times" w:hAnsi="Times" w:cs="Arial"/>
              </w:rPr>
              <w:t xml:space="preserve">13,3                            </w:t>
            </w:r>
          </w:p>
        </w:tc>
        <w:tc>
          <w:tcPr>
            <w:tcW w:w="1414" w:type="pct"/>
          </w:tcPr>
          <w:p w14:paraId="0C37FB14" w14:textId="77777777" w:rsidR="00400398" w:rsidRPr="00215594" w:rsidRDefault="00400398">
            <w:pPr>
              <w:pStyle w:val="TableCellCenter"/>
              <w:spacing w:before="0" w:after="0" w:line="240" w:lineRule="auto"/>
              <w:rPr>
                <w:rFonts w:ascii="Times" w:hAnsi="Times" w:cs="Arial"/>
              </w:rPr>
            </w:pPr>
            <w:r w:rsidRPr="00215594">
              <w:rPr>
                <w:rFonts w:ascii="Times" w:hAnsi="Times" w:cs="Arial"/>
              </w:rPr>
              <w:t>16,8</w:t>
            </w:r>
          </w:p>
        </w:tc>
      </w:tr>
      <w:tr w:rsidR="00400398" w:rsidRPr="00215594" w14:paraId="4042A83D" w14:textId="77777777" w:rsidTr="00D91337">
        <w:trPr>
          <w:jc w:val="center"/>
        </w:trPr>
        <w:tc>
          <w:tcPr>
            <w:tcW w:w="2307" w:type="pct"/>
          </w:tcPr>
          <w:p w14:paraId="760D61DF" w14:textId="77777777" w:rsidR="00400398" w:rsidRPr="00215594" w:rsidRDefault="00400398" w:rsidP="00C82494">
            <w:pPr>
              <w:pStyle w:val="TableCellLeft"/>
              <w:spacing w:before="0" w:after="0" w:line="240" w:lineRule="auto"/>
              <w:rPr>
                <w:rFonts w:ascii="Times" w:hAnsi="Times" w:cs="Arial"/>
              </w:rPr>
            </w:pPr>
            <w:r w:rsidRPr="00215594">
              <w:rPr>
                <w:rFonts w:ascii="Times" w:hAnsi="Times" w:cs="Arial"/>
                <w:i/>
                <w:lang w:eastAsia="ja-JP"/>
              </w:rPr>
              <w:t>Hazard ratio</w:t>
            </w:r>
            <w:r w:rsidRPr="00215594">
              <w:rPr>
                <w:rFonts w:ascii="Times" w:hAnsi="Times" w:cs="Arial"/>
                <w:lang w:eastAsia="ja-JP"/>
              </w:rPr>
              <w:t xml:space="preserve"> </w:t>
            </w:r>
            <w:r w:rsidRPr="00B56630">
              <w:rPr>
                <w:rFonts w:ascii="Times" w:eastAsia="SimSun" w:hAnsi="Times" w:cs="Arial"/>
              </w:rPr>
              <w:t xml:space="preserve">(taxa de risco) </w:t>
            </w:r>
            <w:r w:rsidRPr="00215594">
              <w:rPr>
                <w:rFonts w:ascii="Times" w:hAnsi="Times" w:cs="Arial"/>
                <w:lang w:eastAsia="ja-JP"/>
              </w:rPr>
              <w:t>[IC 95%]</w:t>
            </w:r>
          </w:p>
        </w:tc>
        <w:tc>
          <w:tcPr>
            <w:tcW w:w="2693" w:type="pct"/>
            <w:gridSpan w:val="2"/>
          </w:tcPr>
          <w:p w14:paraId="7A70AE21" w14:textId="77777777" w:rsidR="00400398" w:rsidRPr="00215594" w:rsidRDefault="00400398" w:rsidP="00C82494">
            <w:pPr>
              <w:pStyle w:val="TableCellCenter"/>
              <w:spacing w:before="0" w:after="0" w:line="240" w:lineRule="auto"/>
              <w:rPr>
                <w:rFonts w:ascii="Times" w:hAnsi="Times" w:cs="Arial"/>
              </w:rPr>
            </w:pPr>
            <w:r w:rsidRPr="00215594">
              <w:rPr>
                <w:rFonts w:ascii="Times" w:hAnsi="Times" w:cs="Arial"/>
              </w:rPr>
              <w:t>0,76 [0,62; 0,94]</w:t>
            </w:r>
          </w:p>
          <w:p w14:paraId="4FD52D96" w14:textId="77777777" w:rsidR="00400398" w:rsidRPr="00215594" w:rsidRDefault="00400398">
            <w:pPr>
              <w:pStyle w:val="TableCellCenter"/>
              <w:spacing w:before="0" w:after="0" w:line="240" w:lineRule="auto"/>
              <w:rPr>
                <w:rFonts w:ascii="Times" w:hAnsi="Times" w:cs="Arial"/>
              </w:rPr>
            </w:pPr>
            <w:r w:rsidRPr="00215594">
              <w:rPr>
                <w:rFonts w:ascii="Times" w:hAnsi="Times" w:cs="Arial"/>
              </w:rPr>
              <w:t>(valor de p</w:t>
            </w:r>
            <w:r w:rsidRPr="00215594">
              <w:rPr>
                <w:rFonts w:ascii="Times" w:hAnsi="Times" w:cs="Arial"/>
                <w:vertAlign w:val="superscript"/>
              </w:rPr>
              <w:t>5,8</w:t>
            </w:r>
            <w:r w:rsidRPr="00215594">
              <w:rPr>
                <w:rFonts w:ascii="Times" w:hAnsi="Times" w:cs="Arial"/>
              </w:rPr>
              <w:t xml:space="preserve"> = 0,0126)</w:t>
            </w:r>
          </w:p>
        </w:tc>
      </w:tr>
      <w:tr w:rsidR="00400398" w:rsidRPr="00215594" w14:paraId="34DD450C" w14:textId="77777777" w:rsidTr="00D91337">
        <w:trPr>
          <w:jc w:val="center"/>
        </w:trPr>
        <w:tc>
          <w:tcPr>
            <w:tcW w:w="5000" w:type="pct"/>
            <w:gridSpan w:val="3"/>
          </w:tcPr>
          <w:p w14:paraId="583CF058" w14:textId="77777777" w:rsidR="00400398" w:rsidRPr="001E05C2" w:rsidRDefault="00400398" w:rsidP="00C82494">
            <w:pPr>
              <w:pStyle w:val="TextTi12"/>
              <w:keepNext/>
              <w:keepLines/>
              <w:spacing w:before="120" w:after="120"/>
              <w:jc w:val="center"/>
              <w:rPr>
                <w:rFonts w:ascii="Times" w:eastAsia="SimSun" w:hAnsi="Times" w:cs="Arial"/>
                <w:sz w:val="20"/>
                <w:lang w:eastAsia="zh-CN"/>
              </w:rPr>
            </w:pPr>
            <w:r w:rsidRPr="001E05C2">
              <w:rPr>
                <w:rFonts w:ascii="Times" w:eastAsia="SimSun" w:hAnsi="Times" w:cs="Arial"/>
                <w:sz w:val="20"/>
                <w:lang w:eastAsia="zh-CN"/>
              </w:rPr>
              <w:t xml:space="preserve">Objetivos </w:t>
            </w:r>
            <w:r w:rsidR="00AE4169">
              <w:rPr>
                <w:rFonts w:ascii="Times" w:eastAsia="SimSun" w:hAnsi="Times" w:cs="Arial"/>
                <w:sz w:val="20"/>
                <w:lang w:eastAsia="zh-CN"/>
              </w:rPr>
              <w:t>s</w:t>
            </w:r>
            <w:r w:rsidRPr="001E05C2">
              <w:rPr>
                <w:rFonts w:ascii="Times" w:eastAsia="SimSun" w:hAnsi="Times" w:cs="Arial"/>
                <w:sz w:val="20"/>
                <w:lang w:eastAsia="zh-CN"/>
              </w:rPr>
              <w:t>ecundários</w:t>
            </w:r>
          </w:p>
        </w:tc>
      </w:tr>
      <w:tr w:rsidR="00400398" w:rsidRPr="00215594" w14:paraId="74E7CEFF" w14:textId="77777777" w:rsidTr="00D91337">
        <w:trPr>
          <w:jc w:val="center"/>
        </w:trPr>
        <w:tc>
          <w:tcPr>
            <w:tcW w:w="5000" w:type="pct"/>
            <w:gridSpan w:val="3"/>
          </w:tcPr>
          <w:p w14:paraId="27AEB879" w14:textId="77777777" w:rsidR="00400398" w:rsidRPr="001E05C2" w:rsidRDefault="00400398">
            <w:pPr>
              <w:pStyle w:val="TextTi12"/>
              <w:keepNext/>
              <w:keepLines/>
              <w:spacing w:before="120" w:after="120"/>
              <w:rPr>
                <w:rFonts w:ascii="Times" w:eastAsia="SimSun" w:hAnsi="Times" w:cs="Arial"/>
                <w:sz w:val="20"/>
                <w:lang w:eastAsia="zh-CN"/>
              </w:rPr>
            </w:pPr>
            <w:r w:rsidRPr="001E05C2">
              <w:rPr>
                <w:rFonts w:ascii="Times" w:eastAsia="SimSun" w:hAnsi="Times" w:cs="Arial"/>
                <w:sz w:val="20"/>
                <w:lang w:eastAsia="zh-CN"/>
              </w:rPr>
              <w:t xml:space="preserve">Sobrevivência livre de progressão - </w:t>
            </w:r>
            <w:r w:rsidR="00AE4169">
              <w:rPr>
                <w:rFonts w:ascii="Times" w:eastAsia="SimSun" w:hAnsi="Times" w:cs="Arial"/>
                <w:sz w:val="20"/>
                <w:lang w:eastAsia="zh-CN"/>
              </w:rPr>
              <w:t>a</w:t>
            </w:r>
            <w:r w:rsidRPr="001E05C2">
              <w:rPr>
                <w:rFonts w:ascii="Times" w:eastAsia="SimSun" w:hAnsi="Times" w:cs="Arial"/>
                <w:sz w:val="20"/>
                <w:lang w:eastAsia="zh-CN"/>
              </w:rPr>
              <w:t>nálise primária</w:t>
            </w:r>
            <w:r w:rsidRPr="001E05C2">
              <w:rPr>
                <w:rFonts w:ascii="Times" w:eastAsia="SimSun" w:hAnsi="Times" w:cs="Arial"/>
                <w:sz w:val="20"/>
                <w:vertAlign w:val="superscript"/>
                <w:lang w:eastAsia="zh-CN"/>
              </w:rPr>
              <w:t>6</w:t>
            </w:r>
          </w:p>
        </w:tc>
      </w:tr>
      <w:tr w:rsidR="00400398" w:rsidRPr="00215594" w14:paraId="0BA92849" w14:textId="77777777" w:rsidTr="00D91337">
        <w:trPr>
          <w:jc w:val="center"/>
        </w:trPr>
        <w:tc>
          <w:tcPr>
            <w:tcW w:w="2307" w:type="pct"/>
          </w:tcPr>
          <w:p w14:paraId="7BFD130E" w14:textId="77777777" w:rsidR="00400398" w:rsidRDefault="00400398">
            <w:pPr>
              <w:pStyle w:val="TextTi12"/>
              <w:keepNext/>
              <w:keepLines/>
              <w:spacing w:after="0"/>
              <w:jc w:val="left"/>
              <w:rPr>
                <w:rFonts w:ascii="Times" w:eastAsia="SimSun" w:hAnsi="Times" w:cs="Arial"/>
                <w:sz w:val="20"/>
              </w:rPr>
            </w:pPr>
            <w:r w:rsidRPr="00652DA5">
              <w:rPr>
                <w:rFonts w:ascii="Times" w:eastAsia="SimSun" w:hAnsi="Times" w:cs="Arial"/>
                <w:sz w:val="20"/>
              </w:rPr>
              <w:t>PFS</w:t>
            </w:r>
            <w:r w:rsidR="00AE4169">
              <w:rPr>
                <w:rFonts w:ascii="Times" w:eastAsia="SimSun" w:hAnsi="Times" w:cs="Arial"/>
                <w:sz w:val="20"/>
              </w:rPr>
              <w:t xml:space="preserve"> mediana</w:t>
            </w:r>
            <w:r w:rsidRPr="00652DA5">
              <w:rPr>
                <w:rFonts w:ascii="Times" w:eastAsia="SimSun" w:hAnsi="Times" w:cs="Arial"/>
                <w:sz w:val="20"/>
              </w:rPr>
              <w:t xml:space="preserve"> (</w:t>
            </w:r>
            <w:r>
              <w:rPr>
                <w:rFonts w:ascii="Times" w:eastAsia="SimSun" w:hAnsi="Times" w:cs="Arial"/>
                <w:sz w:val="20"/>
              </w:rPr>
              <w:t>meses</w:t>
            </w:r>
            <w:r w:rsidRPr="00652DA5">
              <w:rPr>
                <w:rFonts w:ascii="Times" w:eastAsia="SimSun" w:hAnsi="Times" w:cs="Arial"/>
                <w:sz w:val="20"/>
              </w:rPr>
              <w:t>)</w:t>
            </w:r>
            <w:r w:rsidRPr="00652DA5">
              <w:rPr>
                <w:rFonts w:ascii="Times" w:eastAsia="SimSun" w:hAnsi="Times" w:cs="Arial"/>
                <w:sz w:val="20"/>
                <w:vertAlign w:val="superscript"/>
              </w:rPr>
              <w:t>1</w:t>
            </w:r>
          </w:p>
        </w:tc>
        <w:tc>
          <w:tcPr>
            <w:tcW w:w="1279" w:type="pct"/>
          </w:tcPr>
          <w:p w14:paraId="36D0FB32" w14:textId="77777777" w:rsidR="00400398" w:rsidRDefault="00400398">
            <w:pPr>
              <w:pStyle w:val="TextTi12"/>
              <w:keepNext/>
              <w:keepLines/>
              <w:spacing w:after="0"/>
              <w:jc w:val="center"/>
              <w:rPr>
                <w:rFonts w:ascii="Times" w:eastAsia="SimSun" w:hAnsi="Times" w:cs="Arial"/>
                <w:sz w:val="20"/>
              </w:rPr>
            </w:pPr>
            <w:r>
              <w:rPr>
                <w:rFonts w:ascii="Times" w:eastAsia="SimSun" w:hAnsi="Times" w:cs="Arial"/>
                <w:sz w:val="20"/>
              </w:rPr>
              <w:t>6,</w:t>
            </w:r>
            <w:r w:rsidRPr="00652DA5">
              <w:rPr>
                <w:rFonts w:ascii="Times" w:eastAsia="SimSun" w:hAnsi="Times" w:cs="Arial"/>
                <w:sz w:val="20"/>
              </w:rPr>
              <w:t>0</w:t>
            </w:r>
          </w:p>
        </w:tc>
        <w:tc>
          <w:tcPr>
            <w:tcW w:w="1414" w:type="pct"/>
          </w:tcPr>
          <w:p w14:paraId="0A41716D" w14:textId="77777777" w:rsidR="00400398" w:rsidRDefault="00400398">
            <w:pPr>
              <w:pStyle w:val="TextTi12"/>
              <w:keepNext/>
              <w:keepLines/>
              <w:spacing w:after="0"/>
              <w:jc w:val="center"/>
              <w:rPr>
                <w:rFonts w:ascii="Times" w:eastAsia="SimSun" w:hAnsi="Times" w:cs="Arial"/>
                <w:sz w:val="20"/>
              </w:rPr>
            </w:pPr>
            <w:r>
              <w:rPr>
                <w:rFonts w:ascii="Times" w:eastAsia="SimSun" w:hAnsi="Times" w:cs="Arial"/>
                <w:sz w:val="20"/>
              </w:rPr>
              <w:t>8,</w:t>
            </w:r>
            <w:r w:rsidRPr="00652DA5">
              <w:rPr>
                <w:rFonts w:ascii="Times" w:eastAsia="SimSun" w:hAnsi="Times" w:cs="Arial"/>
                <w:sz w:val="20"/>
              </w:rPr>
              <w:t>3</w:t>
            </w:r>
          </w:p>
        </w:tc>
      </w:tr>
      <w:tr w:rsidR="00400398" w:rsidRPr="00215594" w14:paraId="0BCD67E1" w14:textId="77777777" w:rsidTr="00D91337">
        <w:trPr>
          <w:jc w:val="center"/>
        </w:trPr>
        <w:tc>
          <w:tcPr>
            <w:tcW w:w="2307" w:type="pct"/>
          </w:tcPr>
          <w:p w14:paraId="737B2925" w14:textId="77777777" w:rsidR="00400398" w:rsidRDefault="00400398">
            <w:pPr>
              <w:pStyle w:val="TextTi12"/>
              <w:keepNext/>
              <w:keepLines/>
              <w:spacing w:after="0"/>
              <w:jc w:val="left"/>
              <w:rPr>
                <w:rFonts w:ascii="Times" w:eastAsia="SimSun" w:hAnsi="Times" w:cs="Arial"/>
                <w:b/>
                <w:sz w:val="20"/>
              </w:rPr>
            </w:pPr>
            <w:r w:rsidRPr="00B56630">
              <w:rPr>
                <w:rFonts w:ascii="Times" w:eastAsia="SimSun" w:hAnsi="Times" w:cs="Arial"/>
                <w:i/>
                <w:sz w:val="20"/>
              </w:rPr>
              <w:t>Hazard ratio</w:t>
            </w:r>
            <w:r w:rsidRPr="00B56630">
              <w:rPr>
                <w:rFonts w:ascii="Times" w:eastAsia="SimSun" w:hAnsi="Times" w:cs="Arial"/>
                <w:sz w:val="20"/>
              </w:rPr>
              <w:t xml:space="preserve"> (taxa de risco) [IC 95%]</w:t>
            </w:r>
          </w:p>
        </w:tc>
        <w:tc>
          <w:tcPr>
            <w:tcW w:w="2693" w:type="pct"/>
            <w:gridSpan w:val="2"/>
          </w:tcPr>
          <w:p w14:paraId="56E66C39" w14:textId="77777777" w:rsidR="00400398" w:rsidRPr="00215594" w:rsidRDefault="00400398" w:rsidP="00C82494">
            <w:pPr>
              <w:pStyle w:val="TableCellCenter"/>
              <w:spacing w:before="0" w:after="0" w:line="240" w:lineRule="auto"/>
              <w:rPr>
                <w:rFonts w:ascii="Times" w:hAnsi="Times" w:cs="Arial"/>
              </w:rPr>
            </w:pPr>
            <w:r w:rsidRPr="00215594">
              <w:rPr>
                <w:rFonts w:ascii="Times" w:hAnsi="Times" w:cs="Arial"/>
              </w:rPr>
              <w:t>0,66 [0,54; 0,81]</w:t>
            </w:r>
          </w:p>
          <w:p w14:paraId="60D2A33E" w14:textId="77777777" w:rsidR="00400398" w:rsidRDefault="00400398" w:rsidP="00C82494">
            <w:pPr>
              <w:pStyle w:val="TextTi12"/>
              <w:keepNext/>
              <w:keepLines/>
              <w:spacing w:after="0"/>
              <w:jc w:val="center"/>
              <w:rPr>
                <w:rFonts w:ascii="Times" w:eastAsia="SimSun" w:hAnsi="Times" w:cs="Arial"/>
                <w:sz w:val="20"/>
              </w:rPr>
            </w:pPr>
            <w:r w:rsidRPr="00652DA5">
              <w:rPr>
                <w:rFonts w:ascii="Times" w:eastAsia="SimSun" w:hAnsi="Times" w:cs="Arial"/>
                <w:sz w:val="20"/>
                <w:lang w:eastAsia="zh-CN"/>
              </w:rPr>
              <w:t>(</w:t>
            </w:r>
            <w:r>
              <w:rPr>
                <w:rFonts w:ascii="Times" w:eastAsia="SimSun" w:hAnsi="Times" w:cs="Arial"/>
                <w:sz w:val="20"/>
                <w:lang w:eastAsia="zh-CN"/>
              </w:rPr>
              <w:t>valor de p</w:t>
            </w:r>
            <w:r w:rsidRPr="00215594">
              <w:rPr>
                <w:rFonts w:ascii="Times" w:hAnsi="Times" w:cs="Arial"/>
                <w:vertAlign w:val="superscript"/>
              </w:rPr>
              <w:t>5</w:t>
            </w:r>
            <w:r w:rsidRPr="00652DA5">
              <w:rPr>
                <w:rFonts w:ascii="Times" w:eastAsia="SimSun" w:hAnsi="Times" w:cs="Arial"/>
                <w:sz w:val="20"/>
                <w:lang w:eastAsia="zh-CN"/>
              </w:rPr>
              <w:t> &lt;0</w:t>
            </w:r>
            <w:r>
              <w:rPr>
                <w:rFonts w:ascii="Times" w:eastAsia="SimSun" w:hAnsi="Times" w:cs="Arial"/>
                <w:sz w:val="20"/>
                <w:lang w:eastAsia="zh-CN"/>
              </w:rPr>
              <w:t>,</w:t>
            </w:r>
            <w:r w:rsidRPr="00652DA5">
              <w:rPr>
                <w:rFonts w:ascii="Times" w:eastAsia="SimSun" w:hAnsi="Times" w:cs="Arial"/>
                <w:sz w:val="20"/>
                <w:lang w:eastAsia="zh-CN"/>
              </w:rPr>
              <w:t>0001)</w:t>
            </w:r>
          </w:p>
        </w:tc>
      </w:tr>
      <w:tr w:rsidR="009268BE" w:rsidRPr="00215594" w14:paraId="21D705A3" w14:textId="77777777" w:rsidTr="00D91337">
        <w:trPr>
          <w:jc w:val="center"/>
        </w:trPr>
        <w:tc>
          <w:tcPr>
            <w:tcW w:w="5000" w:type="pct"/>
            <w:gridSpan w:val="3"/>
          </w:tcPr>
          <w:p w14:paraId="6216DADC" w14:textId="77777777" w:rsidR="009268BE" w:rsidRPr="00215594" w:rsidRDefault="009268BE" w:rsidP="009268BE">
            <w:pPr>
              <w:pStyle w:val="TextTi12"/>
              <w:keepNext/>
              <w:keepLines/>
              <w:spacing w:before="120" w:after="120"/>
              <w:rPr>
                <w:rFonts w:ascii="Times" w:hAnsi="Times" w:cs="Arial"/>
                <w:bCs/>
              </w:rPr>
            </w:pPr>
            <w:r w:rsidRPr="001E05C2">
              <w:rPr>
                <w:rFonts w:ascii="Times" w:eastAsia="SimSun" w:hAnsi="Times" w:cs="Arial"/>
                <w:sz w:val="20"/>
                <w:lang w:eastAsia="zh-CN"/>
              </w:rPr>
              <w:t xml:space="preserve">Melhor </w:t>
            </w:r>
            <w:r w:rsidR="00AE4169">
              <w:rPr>
                <w:rFonts w:ascii="Times" w:eastAsia="SimSun" w:hAnsi="Times" w:cs="Arial"/>
                <w:sz w:val="20"/>
                <w:lang w:eastAsia="zh-CN"/>
              </w:rPr>
              <w:t>r</w:t>
            </w:r>
            <w:r w:rsidRPr="001E05C2">
              <w:rPr>
                <w:rFonts w:ascii="Times" w:eastAsia="SimSun" w:hAnsi="Times" w:cs="Arial"/>
                <w:sz w:val="20"/>
                <w:lang w:eastAsia="zh-CN"/>
              </w:rPr>
              <w:t xml:space="preserve">esposta </w:t>
            </w:r>
            <w:r w:rsidR="00AE4169">
              <w:rPr>
                <w:rFonts w:ascii="Times" w:eastAsia="SimSun" w:hAnsi="Times" w:cs="Arial"/>
                <w:sz w:val="20"/>
                <w:lang w:eastAsia="zh-CN"/>
              </w:rPr>
              <w:t>g</w:t>
            </w:r>
            <w:r w:rsidRPr="001E05C2">
              <w:rPr>
                <w:rFonts w:ascii="Times" w:eastAsia="SimSun" w:hAnsi="Times" w:cs="Arial"/>
                <w:sz w:val="20"/>
                <w:lang w:eastAsia="zh-CN"/>
              </w:rPr>
              <w:t xml:space="preserve">lobal - </w:t>
            </w:r>
            <w:r w:rsidR="00AE4169">
              <w:rPr>
                <w:rFonts w:ascii="Times" w:eastAsia="SimSun" w:hAnsi="Times" w:cs="Arial"/>
                <w:sz w:val="20"/>
                <w:lang w:eastAsia="zh-CN"/>
              </w:rPr>
              <w:t>a</w:t>
            </w:r>
            <w:r w:rsidRPr="001E05C2">
              <w:rPr>
                <w:rFonts w:ascii="Times" w:eastAsia="SimSun" w:hAnsi="Times" w:cs="Arial"/>
                <w:sz w:val="20"/>
                <w:lang w:eastAsia="zh-CN"/>
              </w:rPr>
              <w:t>nálise primária6</w:t>
            </w:r>
          </w:p>
        </w:tc>
      </w:tr>
      <w:tr w:rsidR="00400398" w:rsidRPr="00215594" w14:paraId="0AF6DE20" w14:textId="77777777" w:rsidTr="00D91337">
        <w:trPr>
          <w:jc w:val="center"/>
        </w:trPr>
        <w:tc>
          <w:tcPr>
            <w:tcW w:w="2307" w:type="pct"/>
          </w:tcPr>
          <w:p w14:paraId="50FFFE47" w14:textId="77777777" w:rsidR="00400398" w:rsidRPr="00215594" w:rsidRDefault="00400398" w:rsidP="00C82494">
            <w:pPr>
              <w:pStyle w:val="TableCellLeft"/>
              <w:spacing w:before="0" w:after="0" w:line="240" w:lineRule="auto"/>
              <w:rPr>
                <w:rFonts w:ascii="Times" w:hAnsi="Times" w:cs="Arial"/>
              </w:rPr>
            </w:pPr>
            <w:r w:rsidRPr="00215594">
              <w:rPr>
                <w:rFonts w:ascii="Times" w:hAnsi="Times" w:cs="Arial"/>
              </w:rPr>
              <w:t>Respondedores (</w:t>
            </w:r>
            <w:r w:rsidR="00AE4169">
              <w:rPr>
                <w:rFonts w:ascii="Times" w:hAnsi="Times" w:cs="Arial"/>
              </w:rPr>
              <w:t>t</w:t>
            </w:r>
            <w:r w:rsidRPr="00215594">
              <w:rPr>
                <w:rFonts w:ascii="Times" w:hAnsi="Times" w:cs="Arial"/>
              </w:rPr>
              <w:t>axa de resposta</w:t>
            </w:r>
            <w:r w:rsidRPr="00215594">
              <w:rPr>
                <w:rFonts w:ascii="Times" w:hAnsi="Times" w:cs="Arial"/>
                <w:vertAlign w:val="superscript"/>
              </w:rPr>
              <w:t>2</w:t>
            </w:r>
            <w:r w:rsidRPr="00215594">
              <w:rPr>
                <w:rFonts w:ascii="Times" w:hAnsi="Times" w:cs="Arial"/>
              </w:rPr>
              <w:t>)</w:t>
            </w:r>
          </w:p>
        </w:tc>
        <w:tc>
          <w:tcPr>
            <w:tcW w:w="1279" w:type="pct"/>
          </w:tcPr>
          <w:p w14:paraId="07CACF40" w14:textId="77777777" w:rsidR="00400398" w:rsidRPr="00215594" w:rsidRDefault="00400398" w:rsidP="00C82494">
            <w:pPr>
              <w:pStyle w:val="TableCellCenter"/>
              <w:spacing w:before="0" w:after="0" w:line="240" w:lineRule="auto"/>
              <w:rPr>
                <w:rFonts w:ascii="Times" w:hAnsi="Times" w:cs="Arial"/>
              </w:rPr>
            </w:pPr>
            <w:r w:rsidRPr="00215594">
              <w:rPr>
                <w:rFonts w:ascii="Times" w:hAnsi="Times" w:cs="Arial"/>
              </w:rPr>
              <w:t xml:space="preserve">76 (33,8 %)                   </w:t>
            </w:r>
          </w:p>
        </w:tc>
        <w:tc>
          <w:tcPr>
            <w:tcW w:w="1414" w:type="pct"/>
          </w:tcPr>
          <w:p w14:paraId="0A7D7B7B" w14:textId="77777777" w:rsidR="00400398" w:rsidRPr="00215594" w:rsidRDefault="00400398">
            <w:pPr>
              <w:pStyle w:val="TableCellCenter"/>
              <w:spacing w:before="0" w:after="0" w:line="240" w:lineRule="auto"/>
              <w:rPr>
                <w:rFonts w:ascii="Times" w:hAnsi="Times" w:cs="Arial"/>
              </w:rPr>
            </w:pPr>
            <w:r w:rsidRPr="00215594">
              <w:rPr>
                <w:rFonts w:ascii="Times" w:hAnsi="Times" w:cs="Arial"/>
              </w:rPr>
              <w:t>103 (45,4 %)</w:t>
            </w:r>
          </w:p>
        </w:tc>
      </w:tr>
      <w:tr w:rsidR="00400398" w:rsidRPr="00215594" w14:paraId="6E4E1B01" w14:textId="77777777" w:rsidTr="00D91337">
        <w:trPr>
          <w:jc w:val="center"/>
        </w:trPr>
        <w:tc>
          <w:tcPr>
            <w:tcW w:w="2307" w:type="pct"/>
          </w:tcPr>
          <w:p w14:paraId="3BB42D32" w14:textId="77777777" w:rsidR="00400398" w:rsidRDefault="00400398" w:rsidP="00C82494">
            <w:pPr>
              <w:pStyle w:val="TextTi12"/>
              <w:keepNext/>
              <w:keepLines/>
              <w:spacing w:after="0"/>
              <w:jc w:val="left"/>
              <w:rPr>
                <w:rFonts w:ascii="Times" w:eastAsia="SimSun" w:hAnsi="Times" w:cs="Arial"/>
                <w:sz w:val="20"/>
                <w:lang w:eastAsia="zh-CN"/>
              </w:rPr>
            </w:pPr>
            <w:r w:rsidRPr="00B56630">
              <w:rPr>
                <w:rFonts w:ascii="Times" w:eastAsia="SimSun" w:hAnsi="Times" w:cs="Arial"/>
                <w:sz w:val="20"/>
                <w:lang w:eastAsia="zh-CN"/>
              </w:rPr>
              <w:t xml:space="preserve">IC 95% para </w:t>
            </w:r>
            <w:r w:rsidR="00AE4169">
              <w:rPr>
                <w:rFonts w:ascii="Times" w:eastAsia="SimSun" w:hAnsi="Times" w:cs="Arial"/>
                <w:sz w:val="20"/>
                <w:lang w:eastAsia="zh-CN"/>
              </w:rPr>
              <w:t>t</w:t>
            </w:r>
            <w:r w:rsidRPr="00B56630">
              <w:rPr>
                <w:rFonts w:ascii="Times" w:eastAsia="SimSun" w:hAnsi="Times" w:cs="Arial"/>
                <w:sz w:val="20"/>
                <w:lang w:eastAsia="zh-CN"/>
              </w:rPr>
              <w:t xml:space="preserve">axas de </w:t>
            </w:r>
            <w:r w:rsidR="00AE4169">
              <w:rPr>
                <w:rFonts w:ascii="Times" w:eastAsia="SimSun" w:hAnsi="Times" w:cs="Arial"/>
                <w:sz w:val="20"/>
                <w:lang w:eastAsia="zh-CN"/>
              </w:rPr>
              <w:t>r</w:t>
            </w:r>
            <w:r w:rsidRPr="00B56630">
              <w:rPr>
                <w:rFonts w:ascii="Times" w:eastAsia="SimSun" w:hAnsi="Times" w:cs="Arial"/>
                <w:sz w:val="20"/>
                <w:lang w:eastAsia="zh-CN"/>
              </w:rPr>
              <w:t>esposta</w:t>
            </w:r>
            <w:r w:rsidRPr="00B56630">
              <w:rPr>
                <w:rFonts w:ascii="Times" w:eastAsia="SimSun" w:hAnsi="Times" w:cs="Arial"/>
                <w:sz w:val="20"/>
                <w:vertAlign w:val="superscript"/>
                <w:lang w:eastAsia="zh-CN"/>
              </w:rPr>
              <w:t>3</w:t>
            </w:r>
            <w:r w:rsidRPr="00B56630">
              <w:rPr>
                <w:rFonts w:ascii="Times" w:eastAsia="SimSun" w:hAnsi="Times" w:cs="Arial"/>
                <w:sz w:val="20"/>
                <w:lang w:eastAsia="zh-CN"/>
              </w:rPr>
              <w:t xml:space="preserve">                </w:t>
            </w:r>
          </w:p>
        </w:tc>
        <w:tc>
          <w:tcPr>
            <w:tcW w:w="1279" w:type="pct"/>
          </w:tcPr>
          <w:p w14:paraId="0A369A27" w14:textId="77777777" w:rsidR="00400398" w:rsidRPr="00215594" w:rsidRDefault="00400398" w:rsidP="00C82494">
            <w:pPr>
              <w:pStyle w:val="TableCellCenter"/>
              <w:spacing w:before="0" w:after="0" w:line="240" w:lineRule="auto"/>
              <w:rPr>
                <w:rFonts w:ascii="Times" w:hAnsi="Times" w:cs="Arial"/>
              </w:rPr>
            </w:pPr>
            <w:r w:rsidRPr="00215594">
              <w:rPr>
                <w:rFonts w:ascii="Times" w:hAnsi="Times" w:cs="Arial"/>
              </w:rPr>
              <w:t xml:space="preserve">[27,6%; 40,4%]                   </w:t>
            </w:r>
          </w:p>
        </w:tc>
        <w:tc>
          <w:tcPr>
            <w:tcW w:w="1414" w:type="pct"/>
          </w:tcPr>
          <w:p w14:paraId="6BC48C7A" w14:textId="77777777" w:rsidR="00400398" w:rsidRPr="00215594" w:rsidRDefault="00400398">
            <w:pPr>
              <w:pStyle w:val="TableCellCenter"/>
              <w:spacing w:before="0" w:after="0" w:line="240" w:lineRule="auto"/>
              <w:rPr>
                <w:rFonts w:ascii="Times" w:hAnsi="Times" w:cs="Arial"/>
              </w:rPr>
            </w:pPr>
            <w:r w:rsidRPr="00215594">
              <w:rPr>
                <w:rFonts w:ascii="Times" w:hAnsi="Times" w:cs="Arial"/>
              </w:rPr>
              <w:t>[38,8%; 52,1%]</w:t>
            </w:r>
          </w:p>
        </w:tc>
      </w:tr>
      <w:tr w:rsidR="00400398" w:rsidRPr="00215594" w14:paraId="49D5B856" w14:textId="77777777" w:rsidTr="00D91337">
        <w:trPr>
          <w:jc w:val="center"/>
        </w:trPr>
        <w:tc>
          <w:tcPr>
            <w:tcW w:w="2307" w:type="pct"/>
          </w:tcPr>
          <w:p w14:paraId="456EEAC7" w14:textId="77777777" w:rsidR="00400398" w:rsidRDefault="00400398" w:rsidP="00C82494">
            <w:pPr>
              <w:pStyle w:val="TextTi12"/>
              <w:keepNext/>
              <w:keepLines/>
              <w:spacing w:after="0"/>
              <w:jc w:val="left"/>
              <w:rPr>
                <w:rFonts w:ascii="Times" w:eastAsia="SimSun" w:hAnsi="Times" w:cs="Arial"/>
                <w:sz w:val="20"/>
                <w:lang w:eastAsia="zh-CN"/>
              </w:rPr>
            </w:pPr>
            <w:r w:rsidRPr="00B56630">
              <w:rPr>
                <w:rFonts w:ascii="Times" w:eastAsia="SimSun" w:hAnsi="Times" w:cs="Arial"/>
                <w:sz w:val="20"/>
                <w:lang w:eastAsia="zh-CN"/>
              </w:rPr>
              <w:t xml:space="preserve">Diferença nas </w:t>
            </w:r>
            <w:r w:rsidR="00AE4169">
              <w:rPr>
                <w:rFonts w:ascii="Times" w:eastAsia="SimSun" w:hAnsi="Times" w:cs="Arial"/>
                <w:sz w:val="20"/>
                <w:lang w:eastAsia="zh-CN"/>
              </w:rPr>
              <w:t>t</w:t>
            </w:r>
            <w:r w:rsidRPr="00B56630">
              <w:rPr>
                <w:rFonts w:ascii="Times" w:eastAsia="SimSun" w:hAnsi="Times" w:cs="Arial"/>
                <w:sz w:val="20"/>
                <w:lang w:eastAsia="zh-CN"/>
              </w:rPr>
              <w:t xml:space="preserve">axas de </w:t>
            </w:r>
            <w:r w:rsidR="00AE4169">
              <w:rPr>
                <w:rFonts w:ascii="Times" w:eastAsia="SimSun" w:hAnsi="Times" w:cs="Arial"/>
                <w:sz w:val="20"/>
                <w:lang w:eastAsia="zh-CN"/>
              </w:rPr>
              <w:t>r</w:t>
            </w:r>
            <w:r w:rsidRPr="00B56630">
              <w:rPr>
                <w:rFonts w:ascii="Times" w:eastAsia="SimSun" w:hAnsi="Times" w:cs="Arial"/>
                <w:sz w:val="20"/>
                <w:lang w:eastAsia="zh-CN"/>
              </w:rPr>
              <w:t xml:space="preserve">esposta                                  </w:t>
            </w:r>
          </w:p>
        </w:tc>
        <w:tc>
          <w:tcPr>
            <w:tcW w:w="2693" w:type="pct"/>
            <w:gridSpan w:val="2"/>
          </w:tcPr>
          <w:p w14:paraId="4B31A00C" w14:textId="77777777" w:rsidR="00400398" w:rsidRPr="00215594" w:rsidRDefault="00400398" w:rsidP="00C82494">
            <w:pPr>
              <w:pStyle w:val="TableCellCenter"/>
              <w:spacing w:before="0" w:after="0" w:line="240" w:lineRule="auto"/>
              <w:rPr>
                <w:rFonts w:ascii="Times" w:hAnsi="Times" w:cs="Arial"/>
              </w:rPr>
            </w:pPr>
            <w:r w:rsidRPr="00215594">
              <w:rPr>
                <w:rFonts w:ascii="Times" w:hAnsi="Times" w:cs="Arial"/>
              </w:rPr>
              <w:t>11,60%</w:t>
            </w:r>
          </w:p>
        </w:tc>
      </w:tr>
      <w:tr w:rsidR="00400398" w:rsidRPr="00215594" w14:paraId="2814FD16" w14:textId="77777777" w:rsidTr="00D91337">
        <w:trPr>
          <w:jc w:val="center"/>
        </w:trPr>
        <w:tc>
          <w:tcPr>
            <w:tcW w:w="2307" w:type="pct"/>
          </w:tcPr>
          <w:p w14:paraId="270D9C20" w14:textId="77777777" w:rsidR="00400398" w:rsidRDefault="00400398" w:rsidP="00C82494">
            <w:pPr>
              <w:pStyle w:val="TextTi12"/>
              <w:keepNext/>
              <w:keepLines/>
              <w:spacing w:after="0"/>
              <w:jc w:val="left"/>
              <w:rPr>
                <w:rFonts w:ascii="Times" w:eastAsia="SimSun" w:hAnsi="Times" w:cs="Arial"/>
                <w:sz w:val="20"/>
                <w:lang w:eastAsia="zh-CN"/>
              </w:rPr>
            </w:pPr>
            <w:r w:rsidRPr="00B56630">
              <w:rPr>
                <w:rFonts w:ascii="Times" w:eastAsia="SimSun" w:hAnsi="Times" w:cs="Arial"/>
                <w:sz w:val="20"/>
                <w:lang w:eastAsia="zh-CN"/>
              </w:rPr>
              <w:t xml:space="preserve">IC 95% para </w:t>
            </w:r>
            <w:r w:rsidR="00AE4169">
              <w:rPr>
                <w:rFonts w:ascii="Times" w:eastAsia="SimSun" w:hAnsi="Times" w:cs="Arial"/>
                <w:sz w:val="20"/>
                <w:lang w:eastAsia="zh-CN"/>
              </w:rPr>
              <w:t>d</w:t>
            </w:r>
            <w:r w:rsidRPr="00B56630">
              <w:rPr>
                <w:rFonts w:ascii="Times" w:eastAsia="SimSun" w:hAnsi="Times" w:cs="Arial"/>
                <w:sz w:val="20"/>
                <w:lang w:eastAsia="zh-CN"/>
              </w:rPr>
              <w:t xml:space="preserve">iferença nas </w:t>
            </w:r>
            <w:r w:rsidR="00AE4169">
              <w:rPr>
                <w:rFonts w:ascii="Times" w:eastAsia="SimSun" w:hAnsi="Times" w:cs="Arial"/>
                <w:sz w:val="20"/>
                <w:lang w:eastAsia="zh-CN"/>
              </w:rPr>
              <w:t>t</w:t>
            </w:r>
            <w:r w:rsidRPr="00B56630">
              <w:rPr>
                <w:rFonts w:ascii="Times" w:eastAsia="SimSun" w:hAnsi="Times" w:cs="Arial"/>
                <w:sz w:val="20"/>
                <w:lang w:eastAsia="zh-CN"/>
              </w:rPr>
              <w:t xml:space="preserve">axas de </w:t>
            </w:r>
            <w:r w:rsidR="00AE4169">
              <w:rPr>
                <w:rFonts w:ascii="Times" w:eastAsia="SimSun" w:hAnsi="Times" w:cs="Arial"/>
                <w:sz w:val="20"/>
                <w:lang w:eastAsia="zh-CN"/>
              </w:rPr>
              <w:t>r</w:t>
            </w:r>
            <w:r w:rsidRPr="00B56630">
              <w:rPr>
                <w:rFonts w:ascii="Times" w:eastAsia="SimSun" w:hAnsi="Times" w:cs="Arial"/>
                <w:sz w:val="20"/>
                <w:lang w:eastAsia="zh-CN"/>
              </w:rPr>
              <w:t>esposta</w:t>
            </w:r>
            <w:r w:rsidRPr="00B56630">
              <w:rPr>
                <w:rFonts w:ascii="Times" w:eastAsia="SimSun" w:hAnsi="Times" w:cs="Arial"/>
                <w:sz w:val="20"/>
                <w:vertAlign w:val="superscript"/>
                <w:lang w:eastAsia="zh-CN"/>
              </w:rPr>
              <w:t>4</w:t>
            </w:r>
          </w:p>
        </w:tc>
        <w:tc>
          <w:tcPr>
            <w:tcW w:w="2693" w:type="pct"/>
            <w:gridSpan w:val="2"/>
          </w:tcPr>
          <w:p w14:paraId="502B4C25" w14:textId="77777777" w:rsidR="00400398" w:rsidRPr="00215594" w:rsidRDefault="00400398" w:rsidP="00C82494">
            <w:pPr>
              <w:pStyle w:val="TableCellCenter"/>
              <w:spacing w:before="0" w:after="0" w:line="240" w:lineRule="auto"/>
              <w:rPr>
                <w:rFonts w:ascii="Times" w:hAnsi="Times" w:cs="Arial"/>
              </w:rPr>
            </w:pPr>
            <w:r w:rsidRPr="00215594">
              <w:rPr>
                <w:rFonts w:ascii="Times" w:hAnsi="Times" w:cs="Arial"/>
              </w:rPr>
              <w:t>[2,4%; 20,8%]</w:t>
            </w:r>
          </w:p>
        </w:tc>
      </w:tr>
      <w:tr w:rsidR="00400398" w:rsidRPr="00215594" w14:paraId="3D3CF6A7" w14:textId="77777777" w:rsidTr="00D91337">
        <w:trPr>
          <w:jc w:val="center"/>
        </w:trPr>
        <w:tc>
          <w:tcPr>
            <w:tcW w:w="2307" w:type="pct"/>
          </w:tcPr>
          <w:p w14:paraId="483E0012" w14:textId="3674D149" w:rsidR="00400398" w:rsidRDefault="00400398" w:rsidP="00C82494">
            <w:pPr>
              <w:pStyle w:val="TextTi12"/>
              <w:keepNext/>
              <w:keepLines/>
              <w:spacing w:after="0"/>
              <w:jc w:val="left"/>
              <w:rPr>
                <w:rFonts w:ascii="Times" w:eastAsia="SimSun" w:hAnsi="Times" w:cs="Arial"/>
                <w:sz w:val="20"/>
                <w:lang w:eastAsia="zh-CN"/>
              </w:rPr>
            </w:pPr>
            <w:r w:rsidRPr="00B56630">
              <w:rPr>
                <w:rFonts w:ascii="Times" w:eastAsia="SimSun" w:hAnsi="Times" w:cs="Arial"/>
                <w:sz w:val="20"/>
                <w:lang w:eastAsia="zh-CN"/>
              </w:rPr>
              <w:t>Valor de p (</w:t>
            </w:r>
            <w:r w:rsidR="00AE4169">
              <w:rPr>
                <w:rFonts w:ascii="Times" w:eastAsia="SimSun" w:hAnsi="Times" w:cs="Arial"/>
                <w:sz w:val="20"/>
                <w:lang w:eastAsia="zh-CN"/>
              </w:rPr>
              <w:t>t</w:t>
            </w:r>
            <w:r w:rsidRPr="00B56630">
              <w:rPr>
                <w:rFonts w:ascii="Times" w:eastAsia="SimSun" w:hAnsi="Times" w:cs="Arial"/>
                <w:sz w:val="20"/>
                <w:lang w:eastAsia="zh-CN"/>
              </w:rPr>
              <w:t xml:space="preserve">este </w:t>
            </w:r>
            <w:r w:rsidR="00F36D72">
              <w:rPr>
                <w:rFonts w:ascii="Times" w:eastAsia="SimSun" w:hAnsi="Times" w:cs="Arial"/>
                <w:sz w:val="20"/>
                <w:lang w:eastAsia="zh-CN"/>
              </w:rPr>
              <w:t>q</w:t>
            </w:r>
            <w:r w:rsidRPr="00B56630">
              <w:rPr>
                <w:rFonts w:ascii="Times" w:eastAsia="SimSun" w:hAnsi="Times" w:cs="Arial"/>
                <w:sz w:val="20"/>
                <w:lang w:eastAsia="zh-CN"/>
              </w:rPr>
              <w:t>ui-quadrado)</w:t>
            </w:r>
          </w:p>
        </w:tc>
        <w:tc>
          <w:tcPr>
            <w:tcW w:w="2693" w:type="pct"/>
            <w:gridSpan w:val="2"/>
          </w:tcPr>
          <w:p w14:paraId="0D958C88" w14:textId="77777777" w:rsidR="00400398" w:rsidRPr="00215594" w:rsidRDefault="00400398" w:rsidP="00C82494">
            <w:pPr>
              <w:pStyle w:val="TableCellCenter"/>
              <w:spacing w:before="0" w:after="0" w:line="240" w:lineRule="auto"/>
              <w:rPr>
                <w:rFonts w:ascii="Times" w:hAnsi="Times" w:cs="Arial"/>
              </w:rPr>
            </w:pPr>
            <w:r w:rsidRPr="00215594">
              <w:rPr>
                <w:rFonts w:ascii="Times" w:hAnsi="Times"/>
              </w:rPr>
              <w:t>0,0117</w:t>
            </w:r>
          </w:p>
        </w:tc>
      </w:tr>
    </w:tbl>
    <w:p w14:paraId="66CF35D0" w14:textId="77777777" w:rsidR="00400398" w:rsidRPr="00C82494" w:rsidRDefault="00400398" w:rsidP="00C82494">
      <w:pPr>
        <w:keepNext/>
        <w:keepLines/>
        <w:rPr>
          <w:sz w:val="20"/>
        </w:rPr>
      </w:pPr>
      <w:r w:rsidRPr="00C82494">
        <w:rPr>
          <w:sz w:val="20"/>
          <w:vertAlign w:val="superscript"/>
        </w:rPr>
        <w:t>1</w:t>
      </w:r>
      <w:r w:rsidRPr="00C82494">
        <w:rPr>
          <w:sz w:val="20"/>
        </w:rPr>
        <w:t xml:space="preserve"> Estimativas Kaplan-Meier</w:t>
      </w:r>
    </w:p>
    <w:p w14:paraId="365061E7" w14:textId="77777777" w:rsidR="00400398" w:rsidRPr="00C82494" w:rsidRDefault="00400398" w:rsidP="009268BE">
      <w:pPr>
        <w:keepNext/>
        <w:keepLines/>
        <w:ind w:left="142" w:hanging="142"/>
        <w:rPr>
          <w:sz w:val="20"/>
        </w:rPr>
      </w:pPr>
      <w:r w:rsidRPr="00C82494">
        <w:rPr>
          <w:sz w:val="20"/>
          <w:vertAlign w:val="superscript"/>
        </w:rPr>
        <w:t>2</w:t>
      </w:r>
      <w:r w:rsidRPr="00C82494">
        <w:rPr>
          <w:sz w:val="20"/>
        </w:rPr>
        <w:t xml:space="preserve"> Doentes e percentagem de doentes com melhor resposta global das respostas completa ou parcial confirmadas; percentagem calculada em doentes com doença mensurável na linha de base </w:t>
      </w:r>
    </w:p>
    <w:p w14:paraId="44C89FA1" w14:textId="77777777" w:rsidR="00400398" w:rsidRPr="00C82494" w:rsidRDefault="00400398" w:rsidP="00C82494">
      <w:pPr>
        <w:keepNext/>
        <w:keepLines/>
        <w:rPr>
          <w:sz w:val="20"/>
        </w:rPr>
      </w:pPr>
      <w:r w:rsidRPr="00C82494">
        <w:rPr>
          <w:sz w:val="20"/>
          <w:vertAlign w:val="superscript"/>
        </w:rPr>
        <w:t>3</w:t>
      </w:r>
      <w:r w:rsidRPr="00C82494">
        <w:rPr>
          <w:sz w:val="20"/>
        </w:rPr>
        <w:t xml:space="preserve"> IC 95% para uma amostra binomial utilizando o método de Pearson-Clopper</w:t>
      </w:r>
    </w:p>
    <w:p w14:paraId="5FA0AC9E" w14:textId="77777777" w:rsidR="00400398" w:rsidRPr="00C82494" w:rsidRDefault="00400398" w:rsidP="00C82494">
      <w:pPr>
        <w:keepNext/>
        <w:keepLines/>
        <w:rPr>
          <w:sz w:val="20"/>
        </w:rPr>
      </w:pPr>
      <w:r w:rsidRPr="00C82494">
        <w:rPr>
          <w:sz w:val="20"/>
          <w:vertAlign w:val="superscript"/>
        </w:rPr>
        <w:t>4</w:t>
      </w:r>
      <w:r w:rsidRPr="00C82494">
        <w:rPr>
          <w:sz w:val="20"/>
        </w:rPr>
        <w:t xml:space="preserve"> IC de aproximadamente 95% para a diferença entre as duas taxas utilizando o método de Hauck-Anderson </w:t>
      </w:r>
    </w:p>
    <w:p w14:paraId="320B0E07" w14:textId="77777777" w:rsidR="00400398" w:rsidRPr="00C82494" w:rsidRDefault="00400398" w:rsidP="00C82494">
      <w:pPr>
        <w:keepNext/>
        <w:keepLines/>
        <w:rPr>
          <w:sz w:val="20"/>
        </w:rPr>
      </w:pPr>
      <w:r w:rsidRPr="00C82494">
        <w:rPr>
          <w:sz w:val="20"/>
          <w:vertAlign w:val="superscript"/>
        </w:rPr>
        <w:t>5</w:t>
      </w:r>
      <w:r w:rsidRPr="00C82494">
        <w:rPr>
          <w:sz w:val="20"/>
        </w:rPr>
        <w:t xml:space="preserve"> teste log-rank (estratificado)</w:t>
      </w:r>
    </w:p>
    <w:p w14:paraId="6D25FA35" w14:textId="77777777" w:rsidR="00400398" w:rsidRPr="00C82494" w:rsidRDefault="00400398" w:rsidP="009268BE">
      <w:pPr>
        <w:keepNext/>
        <w:keepLines/>
        <w:ind w:left="142" w:hanging="142"/>
        <w:rPr>
          <w:sz w:val="20"/>
        </w:rPr>
      </w:pPr>
      <w:r w:rsidRPr="00C82494">
        <w:rPr>
          <w:sz w:val="20"/>
          <w:vertAlign w:val="superscript"/>
        </w:rPr>
        <w:t>6</w:t>
      </w:r>
      <w:r w:rsidRPr="00C82494">
        <w:rPr>
          <w:sz w:val="20"/>
        </w:rPr>
        <w:t xml:space="preserve"> A análise primária foi efetuada com uma data de </w:t>
      </w:r>
      <w:r w:rsidRPr="00C82494">
        <w:rPr>
          <w:i/>
          <w:sz w:val="20"/>
        </w:rPr>
        <w:t>cut-off</w:t>
      </w:r>
      <w:r w:rsidRPr="00C82494">
        <w:rPr>
          <w:sz w:val="20"/>
        </w:rPr>
        <w:t xml:space="preserve"> de 12 de dezembro de 2012 e é considerada a análise final</w:t>
      </w:r>
    </w:p>
    <w:p w14:paraId="64FCB106" w14:textId="77777777" w:rsidR="009268BE" w:rsidRDefault="00400398" w:rsidP="009268BE">
      <w:pPr>
        <w:keepNext/>
        <w:keepLines/>
        <w:ind w:left="142" w:hanging="142"/>
        <w:outlineLvl w:val="0"/>
        <w:rPr>
          <w:rFonts w:ascii="Times" w:eastAsia="MS Mincho" w:hAnsi="Times" w:cs="Arial"/>
          <w:bCs/>
          <w:sz w:val="20"/>
        </w:rPr>
      </w:pPr>
      <w:r w:rsidRPr="00C82494">
        <w:rPr>
          <w:rFonts w:ascii="Times" w:eastAsia="MS Mincho" w:hAnsi="Times" w:cs="Arial"/>
          <w:bCs/>
          <w:sz w:val="20"/>
          <w:vertAlign w:val="superscript"/>
        </w:rPr>
        <w:t>7</w:t>
      </w:r>
      <w:r w:rsidRPr="00C82494">
        <w:rPr>
          <w:rFonts w:ascii="Times" w:eastAsia="MS Mincho" w:hAnsi="Times" w:cs="Arial"/>
          <w:bCs/>
          <w:sz w:val="20"/>
        </w:rPr>
        <w:t xml:space="preserve"> A análise de </w:t>
      </w:r>
      <w:r w:rsidRPr="00C82494">
        <w:rPr>
          <w:rFonts w:ascii="Times" w:eastAsia="MS Mincho" w:hAnsi="Times" w:cs="Arial"/>
          <w:bCs/>
          <w:i/>
          <w:sz w:val="20"/>
        </w:rPr>
        <w:t>follow-up</w:t>
      </w:r>
      <w:r w:rsidRPr="00C82494">
        <w:rPr>
          <w:rFonts w:ascii="Times" w:eastAsia="MS Mincho" w:hAnsi="Times" w:cs="Arial"/>
          <w:bCs/>
          <w:sz w:val="20"/>
        </w:rPr>
        <w:t xml:space="preserve"> foi efetuada com uma data de </w:t>
      </w:r>
      <w:r w:rsidRPr="00C82494">
        <w:rPr>
          <w:rFonts w:ascii="Times" w:eastAsia="MS Mincho" w:hAnsi="Times" w:cs="Arial"/>
          <w:bCs/>
          <w:i/>
          <w:sz w:val="20"/>
        </w:rPr>
        <w:t xml:space="preserve">cut-off </w:t>
      </w:r>
      <w:r w:rsidRPr="00C82494">
        <w:rPr>
          <w:rFonts w:ascii="Times" w:eastAsia="MS Mincho" w:hAnsi="Times" w:cs="Arial"/>
          <w:bCs/>
          <w:sz w:val="20"/>
        </w:rPr>
        <w:t>de 07 de março de 2014</w:t>
      </w:r>
    </w:p>
    <w:p w14:paraId="4D201110" w14:textId="77777777" w:rsidR="00400398" w:rsidRPr="00C82494" w:rsidRDefault="00400398" w:rsidP="009268BE">
      <w:pPr>
        <w:keepNext/>
        <w:keepLines/>
        <w:ind w:left="142" w:hanging="142"/>
        <w:outlineLvl w:val="0"/>
        <w:rPr>
          <w:rFonts w:ascii="Times" w:eastAsia="MS Mincho" w:hAnsi="Times" w:cs="Arial"/>
          <w:bCs/>
          <w:sz w:val="20"/>
        </w:rPr>
      </w:pPr>
      <w:r>
        <w:rPr>
          <w:rFonts w:ascii="Times" w:eastAsia="MS Mincho" w:hAnsi="Times" w:cs="Arial"/>
          <w:bCs/>
          <w:sz w:val="20"/>
          <w:vertAlign w:val="superscript"/>
        </w:rPr>
        <w:t>8</w:t>
      </w:r>
      <w:r>
        <w:rPr>
          <w:rFonts w:ascii="Times" w:eastAsia="MS Mincho" w:hAnsi="Times" w:cs="Arial"/>
          <w:bCs/>
          <w:sz w:val="20"/>
        </w:rPr>
        <w:t xml:space="preserve"> </w:t>
      </w:r>
      <w:r w:rsidR="009268BE">
        <w:rPr>
          <w:rFonts w:ascii="Times" w:eastAsia="MS Mincho" w:hAnsi="Times" w:cs="Arial"/>
          <w:bCs/>
          <w:sz w:val="20"/>
        </w:rPr>
        <w:t>V</w:t>
      </w:r>
      <w:r>
        <w:rPr>
          <w:rFonts w:ascii="Times" w:eastAsia="MS Mincho" w:hAnsi="Times" w:cs="Arial"/>
          <w:bCs/>
          <w:sz w:val="20"/>
        </w:rPr>
        <w:t>alor de p exibido apenas para fins descritivos</w:t>
      </w:r>
    </w:p>
    <w:p w14:paraId="623B8381" w14:textId="77777777" w:rsidR="00400398" w:rsidRDefault="00400398" w:rsidP="00460B4F">
      <w:pPr>
        <w:outlineLvl w:val="0"/>
        <w:rPr>
          <w:b/>
        </w:rPr>
      </w:pPr>
    </w:p>
    <w:p w14:paraId="2030CCE6" w14:textId="77777777" w:rsidR="00400398" w:rsidRDefault="00400398" w:rsidP="001E05C2">
      <w:pPr>
        <w:keepNext/>
        <w:keepLines/>
        <w:outlineLvl w:val="0"/>
        <w:rPr>
          <w:rFonts w:eastAsia="SimSun"/>
          <w:i/>
          <w:szCs w:val="22"/>
          <w:u w:val="single"/>
          <w:lang w:eastAsia="zh-CN"/>
        </w:rPr>
      </w:pPr>
      <w:r w:rsidRPr="00B56630">
        <w:rPr>
          <w:b/>
        </w:rPr>
        <w:lastRenderedPageBreak/>
        <w:t xml:space="preserve">Tabela </w:t>
      </w:r>
      <w:r w:rsidR="00405C75" w:rsidRPr="00B56630">
        <w:rPr>
          <w:b/>
        </w:rPr>
        <w:t>2</w:t>
      </w:r>
      <w:r w:rsidR="00405C75">
        <w:rPr>
          <w:b/>
        </w:rPr>
        <w:t>6</w:t>
      </w:r>
      <w:r w:rsidRPr="00B56630">
        <w:rPr>
          <w:b/>
        </w:rPr>
        <w:tab/>
        <w:t xml:space="preserve">Resultados de sobrevivência global no estudo </w:t>
      </w:r>
      <w:r w:rsidRPr="00B56630">
        <w:rPr>
          <w:rFonts w:cs="Arial"/>
          <w:b/>
          <w:bCs/>
        </w:rPr>
        <w:t xml:space="preserve">GOG-0240 por </w:t>
      </w:r>
      <w:r w:rsidR="00812456">
        <w:rPr>
          <w:rFonts w:cs="Arial"/>
          <w:b/>
          <w:bCs/>
        </w:rPr>
        <w:t>t</w:t>
      </w:r>
      <w:r w:rsidRPr="00B56630">
        <w:rPr>
          <w:rFonts w:cs="Arial"/>
          <w:b/>
          <w:bCs/>
        </w:rPr>
        <w:t xml:space="preserve">ratamento do </w:t>
      </w:r>
      <w:r w:rsidR="00812456">
        <w:rPr>
          <w:rFonts w:cs="Arial"/>
          <w:b/>
          <w:bCs/>
        </w:rPr>
        <w:t>e</w:t>
      </w:r>
      <w:r w:rsidRPr="00B56630">
        <w:rPr>
          <w:rFonts w:cs="Arial"/>
          <w:b/>
          <w:bCs/>
        </w:rPr>
        <w:t xml:space="preserve">nsaio </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1668"/>
        <w:gridCol w:w="2986"/>
        <w:gridCol w:w="2814"/>
      </w:tblGrid>
      <w:tr w:rsidR="00400398" w:rsidRPr="00215594" w14:paraId="5ED98987" w14:textId="77777777" w:rsidTr="001E05C2">
        <w:tc>
          <w:tcPr>
            <w:tcW w:w="841" w:type="pct"/>
          </w:tcPr>
          <w:p w14:paraId="0B314FA7" w14:textId="77777777" w:rsidR="00400398" w:rsidRPr="001E05C2" w:rsidRDefault="00400398" w:rsidP="00C82494">
            <w:pPr>
              <w:pStyle w:val="TableCell10Left"/>
              <w:jc w:val="center"/>
              <w:rPr>
                <w:rFonts w:ascii="Times" w:hAnsi="Times"/>
                <w:b/>
                <w:highlight w:val="yellow"/>
              </w:rPr>
            </w:pPr>
            <w:r w:rsidRPr="001E05C2">
              <w:rPr>
                <w:rFonts w:ascii="Times New Roman" w:hAnsi="Times New Roman"/>
                <w:b/>
              </w:rPr>
              <w:t>Tratamento comparação</w:t>
            </w:r>
          </w:p>
        </w:tc>
        <w:tc>
          <w:tcPr>
            <w:tcW w:w="929" w:type="pct"/>
          </w:tcPr>
          <w:p w14:paraId="7DC960B4" w14:textId="77777777" w:rsidR="00400398" w:rsidRPr="001E05C2" w:rsidRDefault="00400398">
            <w:pPr>
              <w:pStyle w:val="TableCell10Center"/>
              <w:rPr>
                <w:rFonts w:ascii="Times" w:hAnsi="Times"/>
                <w:b/>
                <w:highlight w:val="yellow"/>
              </w:rPr>
            </w:pPr>
            <w:r w:rsidRPr="001E05C2">
              <w:rPr>
                <w:rFonts w:ascii="Times New Roman" w:hAnsi="Times New Roman"/>
                <w:b/>
              </w:rPr>
              <w:t>Outro fator</w:t>
            </w:r>
          </w:p>
        </w:tc>
        <w:tc>
          <w:tcPr>
            <w:tcW w:w="1663" w:type="pct"/>
          </w:tcPr>
          <w:p w14:paraId="318FCB95" w14:textId="77777777" w:rsidR="00400398" w:rsidRPr="001E05C2" w:rsidRDefault="00400398">
            <w:pPr>
              <w:pStyle w:val="TableCell10Center"/>
              <w:rPr>
                <w:rFonts w:ascii="Times New Roman" w:hAnsi="Times New Roman"/>
                <w:b/>
                <w:vertAlign w:val="superscript"/>
              </w:rPr>
            </w:pPr>
            <w:r w:rsidRPr="001E05C2">
              <w:rPr>
                <w:rFonts w:ascii="Times New Roman" w:hAnsi="Times New Roman"/>
                <w:b/>
              </w:rPr>
              <w:t xml:space="preserve">Sobrevivência </w:t>
            </w:r>
            <w:r w:rsidR="00CC5AE2">
              <w:rPr>
                <w:rFonts w:ascii="Times New Roman" w:hAnsi="Times New Roman"/>
                <w:b/>
              </w:rPr>
              <w:t>g</w:t>
            </w:r>
            <w:r w:rsidRPr="001E05C2">
              <w:rPr>
                <w:rFonts w:ascii="Times New Roman" w:hAnsi="Times New Roman"/>
                <w:b/>
              </w:rPr>
              <w:t>lobal – Análise primária</w:t>
            </w:r>
            <w:r w:rsidRPr="001E05C2">
              <w:rPr>
                <w:rFonts w:ascii="Times New Roman" w:hAnsi="Times New Roman"/>
                <w:b/>
                <w:vertAlign w:val="superscript"/>
              </w:rPr>
              <w:t>1</w:t>
            </w:r>
          </w:p>
          <w:p w14:paraId="7481E612" w14:textId="77777777" w:rsidR="00400398" w:rsidRPr="001E05C2" w:rsidRDefault="00400398">
            <w:pPr>
              <w:pStyle w:val="TableCell10Center"/>
              <w:rPr>
                <w:rFonts w:ascii="Times" w:hAnsi="Times"/>
                <w:b/>
                <w:highlight w:val="yellow"/>
              </w:rPr>
            </w:pPr>
            <w:r w:rsidRPr="001E05C2">
              <w:rPr>
                <w:rFonts w:ascii="Times New Roman" w:hAnsi="Times New Roman"/>
                <w:b/>
                <w:i/>
              </w:rPr>
              <w:t xml:space="preserve">Hazard </w:t>
            </w:r>
            <w:r w:rsidR="00CC5AE2">
              <w:rPr>
                <w:rFonts w:ascii="Times New Roman" w:hAnsi="Times New Roman"/>
                <w:b/>
                <w:i/>
              </w:rPr>
              <w:t>r</w:t>
            </w:r>
            <w:r w:rsidRPr="001E05C2">
              <w:rPr>
                <w:rFonts w:ascii="Times New Roman" w:hAnsi="Times New Roman"/>
                <w:b/>
                <w:i/>
              </w:rPr>
              <w:t>atio</w:t>
            </w:r>
            <w:r w:rsidRPr="001E05C2">
              <w:rPr>
                <w:rFonts w:ascii="Times New Roman" w:hAnsi="Times New Roman"/>
                <w:b/>
              </w:rPr>
              <w:t xml:space="preserve"> (taxa de risco) (IC 95%)</w:t>
            </w:r>
          </w:p>
        </w:tc>
        <w:tc>
          <w:tcPr>
            <w:tcW w:w="1567" w:type="pct"/>
          </w:tcPr>
          <w:p w14:paraId="366443AA" w14:textId="77777777" w:rsidR="00400398" w:rsidRPr="001E05C2" w:rsidRDefault="00400398">
            <w:pPr>
              <w:pStyle w:val="TableCell10Center"/>
              <w:rPr>
                <w:rFonts w:ascii="Times New Roman" w:hAnsi="Times New Roman"/>
                <w:b/>
                <w:i/>
                <w:vertAlign w:val="superscript"/>
              </w:rPr>
            </w:pPr>
            <w:r w:rsidRPr="001E05C2">
              <w:rPr>
                <w:rFonts w:ascii="Times New Roman" w:hAnsi="Times New Roman"/>
                <w:b/>
              </w:rPr>
              <w:t xml:space="preserve">Sobrevivência </w:t>
            </w:r>
            <w:r w:rsidR="00CC5AE2">
              <w:rPr>
                <w:rFonts w:ascii="Times New Roman" w:hAnsi="Times New Roman"/>
                <w:b/>
              </w:rPr>
              <w:t>g</w:t>
            </w:r>
            <w:r w:rsidRPr="001E05C2">
              <w:rPr>
                <w:rFonts w:ascii="Times New Roman" w:hAnsi="Times New Roman"/>
                <w:b/>
              </w:rPr>
              <w:t xml:space="preserve">lobal – Análise de </w:t>
            </w:r>
            <w:r w:rsidRPr="001E05C2">
              <w:rPr>
                <w:rFonts w:ascii="Times New Roman" w:hAnsi="Times New Roman"/>
                <w:b/>
                <w:i/>
              </w:rPr>
              <w:t>follow-up</w:t>
            </w:r>
            <w:r w:rsidRPr="001E05C2">
              <w:rPr>
                <w:rFonts w:ascii="Times New Roman" w:hAnsi="Times New Roman"/>
                <w:b/>
                <w:i/>
                <w:vertAlign w:val="superscript"/>
              </w:rPr>
              <w:t>2</w:t>
            </w:r>
          </w:p>
          <w:p w14:paraId="3F84A5CD" w14:textId="77777777" w:rsidR="00400398" w:rsidRPr="001E05C2" w:rsidRDefault="00400398">
            <w:pPr>
              <w:pStyle w:val="TableCell10Center"/>
              <w:rPr>
                <w:rFonts w:ascii="Times" w:hAnsi="Times"/>
                <w:b/>
              </w:rPr>
            </w:pPr>
            <w:r w:rsidRPr="001E05C2">
              <w:rPr>
                <w:rFonts w:ascii="Times New Roman" w:hAnsi="Times New Roman"/>
                <w:b/>
                <w:i/>
              </w:rPr>
              <w:t xml:space="preserve">Hazard </w:t>
            </w:r>
            <w:r w:rsidR="00CC5AE2">
              <w:rPr>
                <w:rFonts w:ascii="Times New Roman" w:hAnsi="Times New Roman"/>
                <w:b/>
                <w:i/>
              </w:rPr>
              <w:t>r</w:t>
            </w:r>
            <w:r w:rsidRPr="001E05C2">
              <w:rPr>
                <w:rFonts w:ascii="Times New Roman" w:hAnsi="Times New Roman"/>
                <w:b/>
                <w:i/>
              </w:rPr>
              <w:t>atio</w:t>
            </w:r>
            <w:r w:rsidRPr="001E05C2">
              <w:rPr>
                <w:rFonts w:ascii="Times New Roman" w:hAnsi="Times New Roman"/>
                <w:b/>
              </w:rPr>
              <w:t xml:space="preserve"> (taxa de risco) (IC 95%)</w:t>
            </w:r>
          </w:p>
        </w:tc>
      </w:tr>
      <w:tr w:rsidR="00400398" w:rsidRPr="00215594" w14:paraId="0F62B397" w14:textId="77777777" w:rsidTr="001E05C2">
        <w:tc>
          <w:tcPr>
            <w:tcW w:w="841" w:type="pct"/>
            <w:vMerge w:val="restart"/>
          </w:tcPr>
          <w:p w14:paraId="5A7DFB00" w14:textId="77777777" w:rsidR="00400398" w:rsidRPr="00C82494" w:rsidRDefault="00216910" w:rsidP="00583284">
            <w:pPr>
              <w:pStyle w:val="TableCell10Left"/>
              <w:rPr>
                <w:rFonts w:ascii="Times" w:hAnsi="Times"/>
              </w:rPr>
            </w:pPr>
            <w:r>
              <w:rPr>
                <w:rFonts w:ascii="Times New Roman" w:hAnsi="Times New Roman"/>
              </w:rPr>
              <w:t>Bevacizumab</w:t>
            </w:r>
            <w:r w:rsidRPr="00C82494">
              <w:rPr>
                <w:rFonts w:ascii="Times New Roman" w:hAnsi="Times New Roman"/>
              </w:rPr>
              <w:t xml:space="preserve"> </w:t>
            </w:r>
            <w:r w:rsidR="00400398" w:rsidRPr="00C82494">
              <w:rPr>
                <w:rFonts w:ascii="Times New Roman" w:hAnsi="Times New Roman"/>
              </w:rPr>
              <w:t>vs. Sem</w:t>
            </w:r>
            <w:r w:rsidR="00400398" w:rsidRPr="00F452C9">
              <w:rPr>
                <w:rFonts w:ascii="Times New Roman" w:hAnsi="Times New Roman"/>
              </w:rPr>
              <w:t> </w:t>
            </w:r>
            <w:r w:rsidR="00B96995">
              <w:rPr>
                <w:rFonts w:ascii="Times New Roman" w:hAnsi="Times New Roman"/>
              </w:rPr>
              <w:br/>
            </w:r>
            <w:r>
              <w:rPr>
                <w:rFonts w:ascii="Times New Roman" w:hAnsi="Times New Roman"/>
              </w:rPr>
              <w:t>bevacizumab</w:t>
            </w:r>
          </w:p>
        </w:tc>
        <w:tc>
          <w:tcPr>
            <w:tcW w:w="929" w:type="pct"/>
          </w:tcPr>
          <w:p w14:paraId="2E130B9D" w14:textId="77777777" w:rsidR="00400398" w:rsidRPr="00C82494" w:rsidRDefault="00400398" w:rsidP="001E05C2">
            <w:pPr>
              <w:pStyle w:val="TableCell10Center"/>
              <w:jc w:val="left"/>
              <w:rPr>
                <w:rFonts w:ascii="Times" w:hAnsi="Times"/>
              </w:rPr>
            </w:pPr>
            <w:r w:rsidRPr="00C82494">
              <w:rPr>
                <w:rFonts w:ascii="Times New Roman" w:hAnsi="Times New Roman"/>
              </w:rPr>
              <w:t>Cisplatina+</w:t>
            </w:r>
            <w:r w:rsidR="00B96995">
              <w:rPr>
                <w:rFonts w:ascii="Times New Roman" w:hAnsi="Times New Roman"/>
              </w:rPr>
              <w:br/>
            </w:r>
            <w:r w:rsidRPr="00C82494">
              <w:rPr>
                <w:rFonts w:ascii="Times New Roman" w:hAnsi="Times New Roman"/>
              </w:rPr>
              <w:t xml:space="preserve">Paclitaxel </w:t>
            </w:r>
          </w:p>
        </w:tc>
        <w:tc>
          <w:tcPr>
            <w:tcW w:w="1663" w:type="pct"/>
          </w:tcPr>
          <w:p w14:paraId="2BB14CFE" w14:textId="77777777" w:rsidR="00400398" w:rsidRPr="00C82494" w:rsidRDefault="00400398" w:rsidP="00255CFB">
            <w:pPr>
              <w:pStyle w:val="TableCell10Center"/>
              <w:rPr>
                <w:rFonts w:ascii="Times New Roman" w:hAnsi="Times New Roman"/>
              </w:rPr>
            </w:pPr>
            <w:r w:rsidRPr="00C82494">
              <w:rPr>
                <w:rFonts w:ascii="Times New Roman" w:hAnsi="Times New Roman"/>
              </w:rPr>
              <w:t>0,72 (0,51; 1,02)</w:t>
            </w:r>
          </w:p>
          <w:p w14:paraId="4BE386A3" w14:textId="77777777" w:rsidR="00400398" w:rsidRPr="00C82494" w:rsidRDefault="00400398" w:rsidP="00255CFB">
            <w:pPr>
              <w:pStyle w:val="TableCell10Center"/>
              <w:rPr>
                <w:rFonts w:ascii="Times" w:hAnsi="Times"/>
              </w:rPr>
            </w:pPr>
            <w:r w:rsidRPr="00C82494">
              <w:rPr>
                <w:rFonts w:ascii="Times New Roman" w:hAnsi="Times New Roman"/>
              </w:rPr>
              <w:t>(17,5 vs.14,3 meses; p</w:t>
            </w:r>
            <w:r w:rsidRPr="00F452C9">
              <w:rPr>
                <w:rFonts w:ascii="Times New Roman" w:hAnsi="Times New Roman"/>
              </w:rPr>
              <w:t> </w:t>
            </w:r>
            <w:r w:rsidRPr="003E3026">
              <w:rPr>
                <w:rFonts w:ascii="Times New Roman" w:hAnsi="Times New Roman"/>
                <w:szCs w:val="20"/>
              </w:rPr>
              <w:sym w:font="Symbol" w:char="F03D"/>
            </w:r>
            <w:r w:rsidRPr="00F452C9">
              <w:rPr>
                <w:rFonts w:ascii="Times New Roman" w:hAnsi="Times New Roman"/>
              </w:rPr>
              <w:t> </w:t>
            </w:r>
            <w:r w:rsidRPr="00C82494">
              <w:rPr>
                <w:rFonts w:ascii="Times New Roman" w:hAnsi="Times New Roman"/>
              </w:rPr>
              <w:t>0,0609)</w:t>
            </w:r>
          </w:p>
        </w:tc>
        <w:tc>
          <w:tcPr>
            <w:tcW w:w="1567" w:type="pct"/>
          </w:tcPr>
          <w:p w14:paraId="72B0F74D" w14:textId="77777777" w:rsidR="00400398" w:rsidRPr="00C82494" w:rsidRDefault="00400398" w:rsidP="00E17AFA">
            <w:pPr>
              <w:pStyle w:val="TableCell10Center"/>
              <w:rPr>
                <w:rFonts w:ascii="Times" w:hAnsi="Times"/>
              </w:rPr>
            </w:pPr>
            <w:r w:rsidRPr="00C82494">
              <w:rPr>
                <w:rFonts w:ascii="Times" w:hAnsi="Times"/>
              </w:rPr>
              <w:t>0,75 (0,55, 1,01)</w:t>
            </w:r>
          </w:p>
          <w:p w14:paraId="0A0C27E2" w14:textId="77777777" w:rsidR="00400398" w:rsidRPr="00C82494" w:rsidRDefault="00400398" w:rsidP="00E17AFA">
            <w:pPr>
              <w:pStyle w:val="TableCell10Center"/>
              <w:rPr>
                <w:rFonts w:ascii="Times" w:hAnsi="Times"/>
              </w:rPr>
            </w:pPr>
            <w:r w:rsidRPr="00C82494">
              <w:rPr>
                <w:rFonts w:ascii="Times" w:hAnsi="Times"/>
              </w:rPr>
              <w:t>(17,5 vs.15,0 meses; p</w:t>
            </w:r>
            <w:r>
              <w:rPr>
                <w:rFonts w:ascii="Times" w:hAnsi="Times"/>
                <w:sz w:val="10"/>
              </w:rPr>
              <w:t> </w:t>
            </w:r>
            <w:r>
              <w:rPr>
                <w:rFonts w:ascii="Times" w:hAnsi="Times"/>
                <w:szCs w:val="20"/>
              </w:rPr>
              <w:sym w:font="Symbol" w:char="F03D"/>
            </w:r>
            <w:r>
              <w:rPr>
                <w:rFonts w:ascii="Times" w:hAnsi="Times"/>
                <w:sz w:val="10"/>
              </w:rPr>
              <w:t> </w:t>
            </w:r>
            <w:r w:rsidRPr="00C82494">
              <w:rPr>
                <w:rFonts w:ascii="Times" w:hAnsi="Times"/>
              </w:rPr>
              <w:t>0,0584)</w:t>
            </w:r>
          </w:p>
        </w:tc>
      </w:tr>
      <w:tr w:rsidR="00400398" w:rsidRPr="00215594" w14:paraId="7A2B65A1" w14:textId="77777777" w:rsidTr="001E05C2">
        <w:tc>
          <w:tcPr>
            <w:tcW w:w="841" w:type="pct"/>
            <w:vMerge/>
          </w:tcPr>
          <w:p w14:paraId="58905AF5" w14:textId="77777777" w:rsidR="00400398" w:rsidRPr="00C82494" w:rsidRDefault="00400398" w:rsidP="00FA0062">
            <w:pPr>
              <w:pStyle w:val="TableCell10Left"/>
              <w:rPr>
                <w:rFonts w:ascii="Times" w:hAnsi="Times"/>
              </w:rPr>
            </w:pPr>
          </w:p>
        </w:tc>
        <w:tc>
          <w:tcPr>
            <w:tcW w:w="929" w:type="pct"/>
          </w:tcPr>
          <w:p w14:paraId="34FE3E33" w14:textId="77777777" w:rsidR="00400398" w:rsidRPr="00C82494" w:rsidRDefault="00400398" w:rsidP="001E05C2">
            <w:pPr>
              <w:pStyle w:val="TableCell10Center"/>
              <w:jc w:val="left"/>
              <w:rPr>
                <w:rFonts w:ascii="Times" w:hAnsi="Times"/>
              </w:rPr>
            </w:pPr>
            <w:r w:rsidRPr="00C82494">
              <w:rPr>
                <w:rFonts w:ascii="Times New Roman" w:hAnsi="Times New Roman"/>
              </w:rPr>
              <w:t>Topotecano+</w:t>
            </w:r>
            <w:r w:rsidR="00B96995">
              <w:rPr>
                <w:rFonts w:ascii="Times New Roman" w:hAnsi="Times New Roman"/>
              </w:rPr>
              <w:br/>
            </w:r>
            <w:r w:rsidRPr="00C82494">
              <w:rPr>
                <w:rFonts w:ascii="Times New Roman" w:hAnsi="Times New Roman"/>
              </w:rPr>
              <w:t>Paclitaxel</w:t>
            </w:r>
          </w:p>
        </w:tc>
        <w:tc>
          <w:tcPr>
            <w:tcW w:w="1663" w:type="pct"/>
          </w:tcPr>
          <w:p w14:paraId="18A4F229" w14:textId="77777777" w:rsidR="00400398" w:rsidRPr="00C82494" w:rsidRDefault="00400398" w:rsidP="00255CFB">
            <w:pPr>
              <w:pStyle w:val="TableCell10Center"/>
              <w:rPr>
                <w:rFonts w:ascii="Times New Roman" w:hAnsi="Times New Roman"/>
              </w:rPr>
            </w:pPr>
            <w:r w:rsidRPr="00C82494">
              <w:rPr>
                <w:rFonts w:ascii="Times New Roman" w:hAnsi="Times New Roman"/>
              </w:rPr>
              <w:t>0,76 (0,55; 1,06)</w:t>
            </w:r>
          </w:p>
          <w:p w14:paraId="0AEADB40" w14:textId="77777777" w:rsidR="00400398" w:rsidRPr="00C82494" w:rsidRDefault="00400398" w:rsidP="00255CFB">
            <w:pPr>
              <w:pStyle w:val="TableCell10Center"/>
              <w:rPr>
                <w:rFonts w:ascii="Times New Roman" w:hAnsi="Times New Roman"/>
              </w:rPr>
            </w:pPr>
            <w:r w:rsidRPr="00C82494">
              <w:rPr>
                <w:rFonts w:ascii="Times New Roman" w:hAnsi="Times New Roman"/>
              </w:rPr>
              <w:t>(14,9 vs. 11,9 meses; p</w:t>
            </w:r>
            <w:r w:rsidRPr="00F452C9">
              <w:rPr>
                <w:rFonts w:ascii="Times New Roman" w:hAnsi="Times New Roman"/>
              </w:rPr>
              <w:t> </w:t>
            </w:r>
            <w:r w:rsidRPr="003E3026">
              <w:rPr>
                <w:rFonts w:ascii="Times New Roman" w:hAnsi="Times New Roman"/>
                <w:szCs w:val="20"/>
              </w:rPr>
              <w:sym w:font="Symbol" w:char="F03D"/>
            </w:r>
            <w:r w:rsidRPr="00F452C9">
              <w:rPr>
                <w:rFonts w:ascii="Times New Roman" w:hAnsi="Times New Roman"/>
              </w:rPr>
              <w:t> </w:t>
            </w:r>
            <w:r w:rsidRPr="00C82494">
              <w:rPr>
                <w:rFonts w:ascii="Times New Roman" w:hAnsi="Times New Roman"/>
              </w:rPr>
              <w:t>0,1061)</w:t>
            </w:r>
          </w:p>
          <w:p w14:paraId="6EE9DD3F" w14:textId="77777777" w:rsidR="00400398" w:rsidRPr="00C82494" w:rsidRDefault="00400398" w:rsidP="00E17AFA">
            <w:pPr>
              <w:pStyle w:val="TableCell10Center"/>
              <w:rPr>
                <w:rFonts w:ascii="Times" w:hAnsi="Times"/>
              </w:rPr>
            </w:pPr>
          </w:p>
        </w:tc>
        <w:tc>
          <w:tcPr>
            <w:tcW w:w="1567" w:type="pct"/>
          </w:tcPr>
          <w:p w14:paraId="1CD9A02B" w14:textId="77777777" w:rsidR="00400398" w:rsidRPr="00C82494" w:rsidRDefault="00400398" w:rsidP="00E17AFA">
            <w:pPr>
              <w:pStyle w:val="TableCell10Center"/>
              <w:rPr>
                <w:rFonts w:ascii="Times" w:hAnsi="Times"/>
              </w:rPr>
            </w:pPr>
            <w:r w:rsidRPr="00C82494">
              <w:rPr>
                <w:rFonts w:ascii="Times" w:hAnsi="Times"/>
              </w:rPr>
              <w:t>0,79 (0,59, 1,07)</w:t>
            </w:r>
          </w:p>
          <w:p w14:paraId="63E242D9" w14:textId="77777777" w:rsidR="00400398" w:rsidRPr="00C82494" w:rsidRDefault="00400398" w:rsidP="00E17AFA">
            <w:pPr>
              <w:pStyle w:val="TableCell10Center"/>
              <w:rPr>
                <w:rFonts w:ascii="Times" w:hAnsi="Times"/>
              </w:rPr>
            </w:pPr>
            <w:r w:rsidRPr="00C82494">
              <w:rPr>
                <w:rFonts w:ascii="Times" w:hAnsi="Times"/>
              </w:rPr>
              <w:t>(16,2 vs. 12,0 meses; p</w:t>
            </w:r>
            <w:r>
              <w:rPr>
                <w:rFonts w:ascii="Times" w:hAnsi="Times"/>
                <w:sz w:val="10"/>
              </w:rPr>
              <w:t> </w:t>
            </w:r>
            <w:r>
              <w:rPr>
                <w:rFonts w:ascii="Times" w:hAnsi="Times"/>
                <w:szCs w:val="20"/>
              </w:rPr>
              <w:sym w:font="Symbol" w:char="F03D"/>
            </w:r>
            <w:r>
              <w:rPr>
                <w:rFonts w:ascii="Times" w:hAnsi="Times"/>
                <w:sz w:val="10"/>
              </w:rPr>
              <w:t> </w:t>
            </w:r>
            <w:r w:rsidRPr="00C82494">
              <w:rPr>
                <w:rFonts w:ascii="Times" w:hAnsi="Times"/>
              </w:rPr>
              <w:t>0,1342)</w:t>
            </w:r>
          </w:p>
        </w:tc>
      </w:tr>
      <w:tr w:rsidR="00400398" w:rsidRPr="00215594" w14:paraId="07075146" w14:textId="77777777" w:rsidTr="001E05C2">
        <w:tc>
          <w:tcPr>
            <w:tcW w:w="841" w:type="pct"/>
            <w:vMerge w:val="restart"/>
          </w:tcPr>
          <w:p w14:paraId="6DE6D9C8" w14:textId="77777777" w:rsidR="00400398" w:rsidRPr="00C82494" w:rsidRDefault="00400398" w:rsidP="00583284">
            <w:pPr>
              <w:pStyle w:val="TableCell10Left"/>
              <w:rPr>
                <w:rFonts w:ascii="Times" w:hAnsi="Times"/>
                <w:highlight w:val="yellow"/>
              </w:rPr>
            </w:pPr>
            <w:r w:rsidRPr="00C82494">
              <w:rPr>
                <w:rFonts w:ascii="Times New Roman" w:hAnsi="Times New Roman"/>
              </w:rPr>
              <w:t>Topotecano+</w:t>
            </w:r>
            <w:r w:rsidR="009268BE">
              <w:rPr>
                <w:rFonts w:ascii="Times New Roman" w:hAnsi="Times New Roman"/>
              </w:rPr>
              <w:t xml:space="preserve"> </w:t>
            </w:r>
            <w:r w:rsidRPr="00C82494">
              <w:rPr>
                <w:rFonts w:ascii="Times New Roman" w:hAnsi="Times New Roman"/>
              </w:rPr>
              <w:t>Paclitaxel vs. Cisplatina</w:t>
            </w:r>
            <w:r w:rsidR="009268BE">
              <w:rPr>
                <w:rFonts w:ascii="Times New Roman" w:hAnsi="Times New Roman"/>
              </w:rPr>
              <w:t xml:space="preserve"> </w:t>
            </w:r>
            <w:r w:rsidRPr="00C82494">
              <w:rPr>
                <w:rFonts w:ascii="Times New Roman" w:hAnsi="Times New Roman"/>
              </w:rPr>
              <w:t>+</w:t>
            </w:r>
            <w:r w:rsidR="009268BE">
              <w:rPr>
                <w:rFonts w:ascii="Times New Roman" w:hAnsi="Times New Roman"/>
              </w:rPr>
              <w:t xml:space="preserve"> </w:t>
            </w:r>
            <w:r w:rsidRPr="00C82494">
              <w:rPr>
                <w:rFonts w:ascii="Times New Roman" w:hAnsi="Times New Roman"/>
              </w:rPr>
              <w:t>Paclitaxel</w:t>
            </w:r>
          </w:p>
        </w:tc>
        <w:tc>
          <w:tcPr>
            <w:tcW w:w="929" w:type="pct"/>
          </w:tcPr>
          <w:p w14:paraId="4C3DB714" w14:textId="77777777" w:rsidR="00400398" w:rsidRPr="00840DD4" w:rsidRDefault="00FF0662" w:rsidP="001E05C2">
            <w:pPr>
              <w:pStyle w:val="TableCell10Center"/>
              <w:jc w:val="left"/>
              <w:rPr>
                <w:rFonts w:ascii="Times" w:hAnsi="Times"/>
                <w:highlight w:val="yellow"/>
              </w:rPr>
            </w:pPr>
            <w:r>
              <w:rPr>
                <w:rFonts w:ascii="Times New Roman" w:hAnsi="Times New Roman"/>
              </w:rPr>
              <w:t>Bevacizumab</w:t>
            </w:r>
            <w:r w:rsidRPr="00C82494">
              <w:rPr>
                <w:rFonts w:ascii="Times New Roman" w:hAnsi="Times New Roman"/>
              </w:rPr>
              <w:t xml:space="preserve"> </w:t>
            </w:r>
          </w:p>
        </w:tc>
        <w:tc>
          <w:tcPr>
            <w:tcW w:w="1663" w:type="pct"/>
          </w:tcPr>
          <w:p w14:paraId="76A569FB" w14:textId="77777777" w:rsidR="00400398" w:rsidRPr="00C82494" w:rsidRDefault="00400398" w:rsidP="00E17AFA">
            <w:pPr>
              <w:pStyle w:val="TableCell10Center"/>
              <w:rPr>
                <w:rFonts w:ascii="Times New Roman" w:hAnsi="Times New Roman"/>
              </w:rPr>
            </w:pPr>
            <w:r w:rsidRPr="00C82494">
              <w:rPr>
                <w:rFonts w:ascii="Times New Roman" w:hAnsi="Times New Roman"/>
              </w:rPr>
              <w:t>1,15 (0,82; 1,61)</w:t>
            </w:r>
          </w:p>
          <w:p w14:paraId="42DFBBB8" w14:textId="77777777" w:rsidR="00400398" w:rsidRPr="00840DD4" w:rsidRDefault="00400398" w:rsidP="00E17AFA">
            <w:pPr>
              <w:pStyle w:val="TableCell10Center"/>
              <w:rPr>
                <w:rFonts w:ascii="Times" w:hAnsi="Times"/>
                <w:highlight w:val="yellow"/>
              </w:rPr>
            </w:pPr>
            <w:r w:rsidRPr="00C82494">
              <w:rPr>
                <w:rFonts w:ascii="Times New Roman" w:hAnsi="Times New Roman"/>
              </w:rPr>
              <w:t>(14,9 vs. 17,5 meses; p</w:t>
            </w:r>
            <w:r>
              <w:rPr>
                <w:rFonts w:ascii="Times New Roman" w:hAnsi="Times New Roman"/>
              </w:rPr>
              <w:t> </w:t>
            </w:r>
            <w:r>
              <w:rPr>
                <w:rFonts w:ascii="Times New Roman" w:hAnsi="Times New Roman"/>
                <w:szCs w:val="20"/>
              </w:rPr>
              <w:sym w:font="Symbol" w:char="F03D"/>
            </w:r>
            <w:r>
              <w:rPr>
                <w:rFonts w:ascii="Times New Roman" w:hAnsi="Times New Roman"/>
              </w:rPr>
              <w:t> </w:t>
            </w:r>
            <w:r w:rsidRPr="00C82494">
              <w:rPr>
                <w:rFonts w:ascii="Times New Roman" w:hAnsi="Times New Roman"/>
              </w:rPr>
              <w:t>0,4146)</w:t>
            </w:r>
          </w:p>
        </w:tc>
        <w:tc>
          <w:tcPr>
            <w:tcW w:w="1567" w:type="pct"/>
          </w:tcPr>
          <w:p w14:paraId="1C314D4D" w14:textId="77777777" w:rsidR="00400398" w:rsidRPr="00C82494" w:rsidRDefault="00400398" w:rsidP="00E17AFA">
            <w:pPr>
              <w:pStyle w:val="TableCell10Center"/>
              <w:rPr>
                <w:rFonts w:ascii="Times" w:hAnsi="Times"/>
              </w:rPr>
            </w:pPr>
            <w:r w:rsidRPr="00C82494">
              <w:rPr>
                <w:rFonts w:ascii="Times" w:hAnsi="Times"/>
              </w:rPr>
              <w:t>1,15 (0,85, 1,56)</w:t>
            </w:r>
          </w:p>
          <w:p w14:paraId="2A6F3314" w14:textId="77777777" w:rsidR="00400398" w:rsidRPr="00C82494" w:rsidRDefault="00400398" w:rsidP="00E17AFA">
            <w:pPr>
              <w:pStyle w:val="TableCell10Center"/>
              <w:rPr>
                <w:rFonts w:ascii="Times" w:hAnsi="Times"/>
              </w:rPr>
            </w:pPr>
            <w:r w:rsidRPr="00C82494">
              <w:rPr>
                <w:rFonts w:ascii="Times" w:hAnsi="Times"/>
              </w:rPr>
              <w:t>(16,2 vs. 17,5 meses; p</w:t>
            </w:r>
            <w:r>
              <w:rPr>
                <w:rFonts w:ascii="Times" w:hAnsi="Times"/>
                <w:sz w:val="10"/>
              </w:rPr>
              <w:t> </w:t>
            </w:r>
            <w:r>
              <w:rPr>
                <w:rFonts w:ascii="Times" w:hAnsi="Times"/>
                <w:szCs w:val="20"/>
              </w:rPr>
              <w:sym w:font="Symbol" w:char="F03D"/>
            </w:r>
            <w:r>
              <w:rPr>
                <w:rFonts w:ascii="Times" w:hAnsi="Times"/>
              </w:rPr>
              <w:t> </w:t>
            </w:r>
            <w:r w:rsidRPr="00C82494">
              <w:rPr>
                <w:rFonts w:ascii="Times" w:hAnsi="Times"/>
              </w:rPr>
              <w:t>0,3769)</w:t>
            </w:r>
          </w:p>
        </w:tc>
      </w:tr>
      <w:tr w:rsidR="00400398" w:rsidRPr="00215594" w14:paraId="0693A5ED" w14:textId="77777777" w:rsidTr="001E05C2">
        <w:tc>
          <w:tcPr>
            <w:tcW w:w="841" w:type="pct"/>
            <w:vMerge/>
          </w:tcPr>
          <w:p w14:paraId="3EC59716" w14:textId="77777777" w:rsidR="00400398" w:rsidRPr="00C82494" w:rsidRDefault="00400398" w:rsidP="00FA0062">
            <w:pPr>
              <w:pStyle w:val="TableCell10Left"/>
              <w:rPr>
                <w:rFonts w:ascii="Times" w:hAnsi="Times"/>
                <w:highlight w:val="yellow"/>
              </w:rPr>
            </w:pPr>
          </w:p>
        </w:tc>
        <w:tc>
          <w:tcPr>
            <w:tcW w:w="929" w:type="pct"/>
          </w:tcPr>
          <w:p w14:paraId="3D420AB9" w14:textId="77777777" w:rsidR="00400398" w:rsidRPr="00C82494" w:rsidRDefault="00400398" w:rsidP="001E05C2">
            <w:pPr>
              <w:pStyle w:val="TableCell10Center"/>
              <w:jc w:val="left"/>
              <w:rPr>
                <w:rFonts w:ascii="Times" w:hAnsi="Times"/>
                <w:highlight w:val="yellow"/>
              </w:rPr>
            </w:pPr>
            <w:r w:rsidRPr="00C82494">
              <w:rPr>
                <w:rFonts w:ascii="Times New Roman" w:hAnsi="Times New Roman"/>
              </w:rPr>
              <w:t xml:space="preserve">Sem </w:t>
            </w:r>
            <w:r w:rsidR="00FF0662">
              <w:rPr>
                <w:rFonts w:ascii="Times New Roman" w:hAnsi="Times New Roman"/>
              </w:rPr>
              <w:t>bevacizumab</w:t>
            </w:r>
          </w:p>
        </w:tc>
        <w:tc>
          <w:tcPr>
            <w:tcW w:w="1663" w:type="pct"/>
          </w:tcPr>
          <w:p w14:paraId="29A22BFB" w14:textId="77777777" w:rsidR="00400398" w:rsidRPr="00C82494" w:rsidRDefault="00400398" w:rsidP="00E17AFA">
            <w:pPr>
              <w:pStyle w:val="TableCell10Center"/>
              <w:rPr>
                <w:rFonts w:ascii="Times New Roman" w:hAnsi="Times New Roman"/>
              </w:rPr>
            </w:pPr>
            <w:r w:rsidRPr="00C82494">
              <w:rPr>
                <w:rFonts w:ascii="Times New Roman" w:hAnsi="Times New Roman"/>
              </w:rPr>
              <w:t>1,13 (0,81; 1,57)</w:t>
            </w:r>
          </w:p>
          <w:p w14:paraId="4D7E0EAE" w14:textId="77777777" w:rsidR="00400398" w:rsidRPr="00C82494" w:rsidRDefault="00400398" w:rsidP="00E17AFA">
            <w:pPr>
              <w:pStyle w:val="TableCell10Center"/>
              <w:rPr>
                <w:rFonts w:ascii="Times" w:hAnsi="Times"/>
                <w:highlight w:val="yellow"/>
              </w:rPr>
            </w:pPr>
            <w:r w:rsidRPr="00C82494">
              <w:rPr>
                <w:rFonts w:ascii="Times New Roman" w:hAnsi="Times New Roman"/>
              </w:rPr>
              <w:t>(11,9 vs.14,3 meses; p</w:t>
            </w:r>
            <w:r>
              <w:rPr>
                <w:rFonts w:ascii="Times New Roman" w:hAnsi="Times New Roman"/>
              </w:rPr>
              <w:t> </w:t>
            </w:r>
            <w:r>
              <w:rPr>
                <w:rFonts w:ascii="Times New Roman" w:hAnsi="Times New Roman"/>
                <w:szCs w:val="20"/>
              </w:rPr>
              <w:sym w:font="Symbol" w:char="F03D"/>
            </w:r>
            <w:r>
              <w:rPr>
                <w:rFonts w:ascii="Times New Roman" w:hAnsi="Times New Roman"/>
              </w:rPr>
              <w:t> </w:t>
            </w:r>
            <w:r w:rsidRPr="00C82494">
              <w:rPr>
                <w:rFonts w:ascii="Times New Roman" w:hAnsi="Times New Roman"/>
              </w:rPr>
              <w:t>0,4825)</w:t>
            </w:r>
          </w:p>
        </w:tc>
        <w:tc>
          <w:tcPr>
            <w:tcW w:w="1567" w:type="pct"/>
          </w:tcPr>
          <w:p w14:paraId="78060286" w14:textId="77777777" w:rsidR="00400398" w:rsidRPr="00C82494" w:rsidRDefault="00400398" w:rsidP="00E17AFA">
            <w:pPr>
              <w:pStyle w:val="TableCell10Center"/>
              <w:rPr>
                <w:rFonts w:ascii="Times" w:hAnsi="Times"/>
              </w:rPr>
            </w:pPr>
            <w:r w:rsidRPr="00C82494">
              <w:rPr>
                <w:rFonts w:ascii="Times" w:hAnsi="Times"/>
              </w:rPr>
              <w:t>1,08 (0,80, 1,45)</w:t>
            </w:r>
          </w:p>
          <w:p w14:paraId="199BBC4D" w14:textId="77777777" w:rsidR="00400398" w:rsidRPr="00C82494" w:rsidRDefault="00400398" w:rsidP="00E17AFA">
            <w:pPr>
              <w:pStyle w:val="TableCell10Center"/>
              <w:rPr>
                <w:rFonts w:ascii="Times" w:hAnsi="Times"/>
              </w:rPr>
            </w:pPr>
            <w:r w:rsidRPr="00C82494">
              <w:rPr>
                <w:rFonts w:ascii="Times" w:hAnsi="Times"/>
              </w:rPr>
              <w:t>(12,0 vs. 15,0 meses; p</w:t>
            </w:r>
            <w:r>
              <w:rPr>
                <w:rFonts w:ascii="Times" w:hAnsi="Times"/>
                <w:sz w:val="10"/>
              </w:rPr>
              <w:t> </w:t>
            </w:r>
            <w:r>
              <w:rPr>
                <w:rFonts w:ascii="Times" w:hAnsi="Times"/>
                <w:szCs w:val="20"/>
              </w:rPr>
              <w:sym w:font="Symbol" w:char="F03D"/>
            </w:r>
            <w:r>
              <w:rPr>
                <w:rFonts w:ascii="Times" w:hAnsi="Times"/>
                <w:sz w:val="10"/>
              </w:rPr>
              <w:t> </w:t>
            </w:r>
            <w:r w:rsidRPr="00C82494">
              <w:rPr>
                <w:rFonts w:ascii="Times" w:hAnsi="Times"/>
              </w:rPr>
              <w:t>0,6267)</w:t>
            </w:r>
          </w:p>
        </w:tc>
      </w:tr>
    </w:tbl>
    <w:p w14:paraId="6951214E" w14:textId="77777777" w:rsidR="00400398" w:rsidRPr="00C82494" w:rsidRDefault="00400398" w:rsidP="001E05C2">
      <w:pPr>
        <w:ind w:left="142"/>
        <w:rPr>
          <w:sz w:val="20"/>
        </w:rPr>
      </w:pPr>
      <w:r w:rsidRPr="00C82494">
        <w:rPr>
          <w:sz w:val="20"/>
          <w:vertAlign w:val="superscript"/>
        </w:rPr>
        <w:t>1</w:t>
      </w:r>
      <w:r w:rsidRPr="00C82494">
        <w:rPr>
          <w:sz w:val="20"/>
        </w:rPr>
        <w:t xml:space="preserve"> A análise primária foi efetuada com uma data de </w:t>
      </w:r>
      <w:r w:rsidRPr="00C82494">
        <w:rPr>
          <w:i/>
          <w:sz w:val="20"/>
        </w:rPr>
        <w:t>cut-off</w:t>
      </w:r>
      <w:r w:rsidRPr="00C82494">
        <w:rPr>
          <w:sz w:val="20"/>
        </w:rPr>
        <w:t xml:space="preserve"> de 12 de dezembro de 2012 e é considerada a análise final</w:t>
      </w:r>
    </w:p>
    <w:p w14:paraId="68778D9E" w14:textId="77777777" w:rsidR="00400398" w:rsidRDefault="00400398" w:rsidP="009268BE">
      <w:pPr>
        <w:ind w:left="142"/>
        <w:outlineLvl w:val="0"/>
        <w:rPr>
          <w:rFonts w:eastAsia="SimSun"/>
          <w:i/>
          <w:szCs w:val="22"/>
          <w:u w:val="single"/>
          <w:lang w:eastAsia="zh-CN"/>
        </w:rPr>
      </w:pPr>
      <w:r>
        <w:rPr>
          <w:rFonts w:ascii="Times" w:eastAsia="MS Mincho" w:hAnsi="Times" w:cs="Arial"/>
          <w:bCs/>
          <w:sz w:val="20"/>
          <w:vertAlign w:val="superscript"/>
        </w:rPr>
        <w:t>2</w:t>
      </w:r>
      <w:r w:rsidRPr="00856363">
        <w:rPr>
          <w:rFonts w:ascii="Times" w:eastAsia="MS Mincho" w:hAnsi="Times" w:cs="Arial"/>
          <w:bCs/>
          <w:sz w:val="20"/>
        </w:rPr>
        <w:t xml:space="preserve"> A análise de </w:t>
      </w:r>
      <w:r w:rsidRPr="00856363">
        <w:rPr>
          <w:rFonts w:ascii="Times" w:eastAsia="MS Mincho" w:hAnsi="Times" w:cs="Arial"/>
          <w:bCs/>
          <w:i/>
          <w:sz w:val="20"/>
        </w:rPr>
        <w:t>follow-up</w:t>
      </w:r>
      <w:r w:rsidRPr="00856363">
        <w:rPr>
          <w:rFonts w:ascii="Times" w:eastAsia="MS Mincho" w:hAnsi="Times" w:cs="Arial"/>
          <w:bCs/>
          <w:sz w:val="20"/>
        </w:rPr>
        <w:t xml:space="preserve"> foi efetuada com uma data de </w:t>
      </w:r>
      <w:r w:rsidRPr="00856363">
        <w:rPr>
          <w:rFonts w:ascii="Times" w:eastAsia="MS Mincho" w:hAnsi="Times" w:cs="Arial"/>
          <w:bCs/>
          <w:i/>
          <w:sz w:val="20"/>
        </w:rPr>
        <w:t xml:space="preserve">cut-off </w:t>
      </w:r>
      <w:r w:rsidRPr="00856363">
        <w:rPr>
          <w:rFonts w:ascii="Times" w:eastAsia="MS Mincho" w:hAnsi="Times" w:cs="Arial"/>
          <w:bCs/>
          <w:sz w:val="20"/>
        </w:rPr>
        <w:t>de 07 de março de 2014</w:t>
      </w:r>
      <w:r>
        <w:rPr>
          <w:rFonts w:ascii="Times" w:eastAsia="MS Mincho" w:hAnsi="Times" w:cs="Arial"/>
          <w:bCs/>
          <w:sz w:val="20"/>
        </w:rPr>
        <w:t>; todos os valores de p são exibidos apenas para fins descritivos</w:t>
      </w:r>
    </w:p>
    <w:p w14:paraId="4D80CFE6" w14:textId="77777777" w:rsidR="00400398" w:rsidRDefault="00400398">
      <w:pPr>
        <w:jc w:val="both"/>
        <w:outlineLvl w:val="0"/>
        <w:rPr>
          <w:rFonts w:eastAsia="SimSun"/>
          <w:i/>
          <w:szCs w:val="22"/>
          <w:u w:val="single"/>
          <w:lang w:eastAsia="zh-CN"/>
        </w:rPr>
      </w:pPr>
    </w:p>
    <w:p w14:paraId="61B47ACD" w14:textId="77777777" w:rsidR="00400398" w:rsidRPr="000603E8" w:rsidRDefault="00400398">
      <w:pPr>
        <w:jc w:val="both"/>
        <w:outlineLvl w:val="0"/>
        <w:rPr>
          <w:rFonts w:eastAsia="SimSun"/>
          <w:i/>
          <w:szCs w:val="22"/>
          <w:u w:val="single"/>
          <w:lang w:eastAsia="zh-CN"/>
        </w:rPr>
      </w:pPr>
      <w:r w:rsidRPr="000603E8">
        <w:rPr>
          <w:rFonts w:eastAsia="SimSun"/>
          <w:i/>
          <w:szCs w:val="22"/>
          <w:u w:val="single"/>
          <w:lang w:eastAsia="zh-CN"/>
        </w:rPr>
        <w:t>População pediátrica</w:t>
      </w:r>
    </w:p>
    <w:p w14:paraId="63D7F8EA" w14:textId="77777777" w:rsidR="00400398" w:rsidRPr="007232E4" w:rsidRDefault="00400398" w:rsidP="006F35E0">
      <w:pPr>
        <w:rPr>
          <w:iCs/>
        </w:rPr>
      </w:pPr>
      <w:r w:rsidRPr="007232E4">
        <w:rPr>
          <w:rFonts w:eastAsia="SimSun"/>
          <w:szCs w:val="22"/>
          <w:lang w:eastAsia="zh-CN"/>
        </w:rPr>
        <w:t xml:space="preserve">A </w:t>
      </w:r>
      <w:r w:rsidRPr="007232E4">
        <w:rPr>
          <w:noProof/>
        </w:rPr>
        <w:t xml:space="preserve">Agência Europeia de Medicamentos dispensou a obrigação de submissão dos resultados dos estudos com </w:t>
      </w:r>
      <w:r w:rsidRPr="007232E4">
        <w:rPr>
          <w:rFonts w:eastAsia="SimSun"/>
          <w:szCs w:val="22"/>
          <w:lang w:eastAsia="zh-CN"/>
        </w:rPr>
        <w:t>bevacizumab, em todos os sub-grupos da população pediátrica, em carcinoma da mama, adenocarcinoma do cólon e do reto, carcinoma do pulmão (carcinoma de pequenas células e carcinoma de células não pequenas), carcinoma do rim e do bacinete renal (excluindo nefroblastoma,</w:t>
      </w:r>
      <w:r w:rsidRPr="007232E4">
        <w:rPr>
          <w:iCs/>
        </w:rPr>
        <w:t xml:space="preserve"> nefroblastomatose, sarcoma de células claras, nefroma mesoblástico, carcinoma medular do rim e tumor rabdóide do rim), </w:t>
      </w:r>
      <w:r w:rsidRPr="007232E4">
        <w:rPr>
          <w:rFonts w:eastAsia="SimSun"/>
          <w:szCs w:val="22"/>
          <w:lang w:eastAsia="zh-CN"/>
        </w:rPr>
        <w:t>carcinoma do ovário (excluindo rabdomiossarcoma e tumor das células germinativas), carcinoma da trompa de Falópio (exclui</w:t>
      </w:r>
      <w:r>
        <w:rPr>
          <w:rFonts w:eastAsia="SimSun"/>
          <w:szCs w:val="22"/>
          <w:lang w:eastAsia="zh-CN"/>
        </w:rPr>
        <w:t>n</w:t>
      </w:r>
      <w:r w:rsidRPr="007232E4">
        <w:rPr>
          <w:rFonts w:eastAsia="SimSun"/>
          <w:szCs w:val="22"/>
          <w:lang w:eastAsia="zh-CN"/>
        </w:rPr>
        <w:t>do rabdomiossarcoma e tumor das células germinativas)</w:t>
      </w:r>
      <w:r>
        <w:rPr>
          <w:rFonts w:eastAsia="SimSun"/>
          <w:szCs w:val="22"/>
          <w:lang w:eastAsia="zh-CN"/>
        </w:rPr>
        <w:t>,</w:t>
      </w:r>
      <w:r w:rsidRPr="007232E4">
        <w:rPr>
          <w:rFonts w:eastAsia="SimSun"/>
          <w:szCs w:val="22"/>
          <w:lang w:eastAsia="zh-CN"/>
        </w:rPr>
        <w:t xml:space="preserve"> carcinoma peritoneal (excluindo blastomas e sarcomas)</w:t>
      </w:r>
      <w:r>
        <w:rPr>
          <w:rFonts w:eastAsia="SimSun"/>
          <w:szCs w:val="22"/>
          <w:lang w:eastAsia="zh-CN"/>
        </w:rPr>
        <w:t xml:space="preserve"> e carcinoma do colo e do corpo do útero</w:t>
      </w:r>
      <w:r w:rsidRPr="007232E4">
        <w:rPr>
          <w:rFonts w:eastAsia="SimSun"/>
          <w:szCs w:val="22"/>
          <w:lang w:eastAsia="zh-CN"/>
        </w:rPr>
        <w:t>.</w:t>
      </w:r>
      <w:r w:rsidRPr="007232E4">
        <w:rPr>
          <w:iCs/>
        </w:rPr>
        <w:t xml:space="preserve"> </w:t>
      </w:r>
    </w:p>
    <w:p w14:paraId="6F751F2B" w14:textId="77777777" w:rsidR="00FA6F24" w:rsidRDefault="00FA6F24" w:rsidP="006F35E0">
      <w:pPr>
        <w:rPr>
          <w:iCs/>
        </w:rPr>
      </w:pPr>
    </w:p>
    <w:p w14:paraId="7B399F9E" w14:textId="77777777" w:rsidR="00400398" w:rsidRPr="00FA6F24" w:rsidRDefault="00FA6F24" w:rsidP="006F35E0">
      <w:pPr>
        <w:rPr>
          <w:i/>
          <w:iCs/>
        </w:rPr>
      </w:pPr>
      <w:r w:rsidRPr="00FA6F24">
        <w:rPr>
          <w:i/>
          <w:iCs/>
        </w:rPr>
        <w:t>Glioma</w:t>
      </w:r>
      <w:r w:rsidR="003A6611">
        <w:rPr>
          <w:i/>
          <w:iCs/>
        </w:rPr>
        <w:t>s</w:t>
      </w:r>
      <w:r w:rsidRPr="00FA6F24">
        <w:rPr>
          <w:i/>
          <w:iCs/>
        </w:rPr>
        <w:t xml:space="preserve"> de alto grau</w:t>
      </w:r>
    </w:p>
    <w:p w14:paraId="6CAD58EC" w14:textId="77777777" w:rsidR="00400398" w:rsidRPr="007232E4" w:rsidRDefault="00400398" w:rsidP="00812456">
      <w:pPr>
        <w:rPr>
          <w:iCs/>
        </w:rPr>
      </w:pPr>
      <w:r w:rsidRPr="007232E4">
        <w:rPr>
          <w:iCs/>
        </w:rPr>
        <w:t xml:space="preserve">Não foi observada atividade antitumoral em </w:t>
      </w:r>
      <w:r w:rsidRPr="00F83A8F">
        <w:rPr>
          <w:iCs/>
        </w:rPr>
        <w:t>dois estudos</w:t>
      </w:r>
      <w:r w:rsidRPr="007232E4">
        <w:rPr>
          <w:iCs/>
        </w:rPr>
        <w:t xml:space="preserve"> </w:t>
      </w:r>
      <w:r w:rsidR="007415B3">
        <w:rPr>
          <w:iCs/>
        </w:rPr>
        <w:t xml:space="preserve">anteriores </w:t>
      </w:r>
      <w:r w:rsidRPr="007232E4">
        <w:rPr>
          <w:iCs/>
        </w:rPr>
        <w:t xml:space="preserve">num total de 30 crianças com idade &gt; 3 anos com </w:t>
      </w:r>
      <w:r w:rsidRPr="007232E4">
        <w:t xml:space="preserve">glioma de alto grau recorrente ou progressivo </w:t>
      </w:r>
      <w:r w:rsidRPr="007232E4">
        <w:rPr>
          <w:iCs/>
        </w:rPr>
        <w:t>quando tratados com bevacizumab e irinotecano</w:t>
      </w:r>
      <w:r w:rsidR="00FA6F24">
        <w:rPr>
          <w:iCs/>
        </w:rPr>
        <w:t xml:space="preserve"> (CPT-11)</w:t>
      </w:r>
      <w:r w:rsidRPr="007232E4">
        <w:rPr>
          <w:iCs/>
        </w:rPr>
        <w:t xml:space="preserve">. A informação existente é insuficiente para determinar a segurança e eficácia de bevacizumab em crianças com glioma de alto grau recém-diagnosticado. </w:t>
      </w:r>
    </w:p>
    <w:p w14:paraId="51393E8F" w14:textId="77777777" w:rsidR="00400398" w:rsidRPr="007232E4" w:rsidRDefault="00400398" w:rsidP="006F35E0">
      <w:pPr>
        <w:rPr>
          <w:iCs/>
        </w:rPr>
      </w:pPr>
    </w:p>
    <w:p w14:paraId="1C21D249" w14:textId="77777777" w:rsidR="00400398" w:rsidRPr="007232E4" w:rsidRDefault="00400398" w:rsidP="001E05C2">
      <w:pPr>
        <w:rPr>
          <w:iCs/>
        </w:rPr>
      </w:pPr>
      <w:r w:rsidRPr="007232E4">
        <w:rPr>
          <w:iCs/>
        </w:rPr>
        <w:t xml:space="preserve">Num estudo de braço único (PBTC-022), 18 crianças com glioma de alto grau não pôntico recorrente ou progressivo (incluindo 8 com glioblastoma [grau IV OMS], 9 com astrocitoma anaplásico [grau III] e 1 com oligodendroglioma anaplásico [grau III]) foram tratados com bevacizumab (10 mg/kg) com duas semanas de intervalo e depois com bevacizumab em associação com CPT-11 (125-350 mg/m²) uma vez a cada duas semanas até à progressão. Não houve respostas radiológicas (critério MacDonald) objetivas (parciais ou completas). A toxicidade e reações adversas incluíram hipertensão arterial e fadiga, bem como isquémia do SNS com défice neurológico agudo. </w:t>
      </w:r>
    </w:p>
    <w:p w14:paraId="588D084B" w14:textId="77777777" w:rsidR="00400398" w:rsidRPr="007232E4" w:rsidRDefault="00400398" w:rsidP="006F35E0">
      <w:pPr>
        <w:rPr>
          <w:iCs/>
        </w:rPr>
      </w:pPr>
    </w:p>
    <w:p w14:paraId="358413EB" w14:textId="77777777" w:rsidR="00400398" w:rsidRDefault="00400398" w:rsidP="001E05C2">
      <w:pPr>
        <w:rPr>
          <w:iCs/>
        </w:rPr>
      </w:pPr>
      <w:r w:rsidRPr="007232E4">
        <w:rPr>
          <w:iCs/>
        </w:rPr>
        <w:t xml:space="preserve">Numa série retrospetiva de uma única instituição 12 crianças consecutivas (2005 a 2008) com glioma de alto grau recorrente ou progressivo (3 com grau IV OMS, 9 com grau III) foram tratados com bevacizumab (10 mg/kg) e irinotecano (125 mg/m²) a cada 2 semanas. Houve 2 respostas parciais e não houve respostas completas (critério MacDonald). </w:t>
      </w:r>
    </w:p>
    <w:p w14:paraId="26FCDCB7" w14:textId="77777777" w:rsidR="000727C1" w:rsidRDefault="000727C1" w:rsidP="00E81A51">
      <w:pPr>
        <w:rPr>
          <w:iCs/>
        </w:rPr>
      </w:pPr>
    </w:p>
    <w:p w14:paraId="4DAC10C0" w14:textId="3A8DA693" w:rsidR="008F7E5E" w:rsidRDefault="008F7E5E" w:rsidP="00E81A51">
      <w:r>
        <w:rPr>
          <w:iCs/>
        </w:rPr>
        <w:t xml:space="preserve">Num estudo de fase II aleatorizado (BO25041), um total de 121 doentes com idades </w:t>
      </w:r>
      <w:r w:rsidRPr="00742CCC">
        <w:t xml:space="preserve">≥ </w:t>
      </w:r>
      <w:r>
        <w:t>3 anos até &lt;18</w:t>
      </w:r>
      <w:r w:rsidR="00812456">
        <w:t> </w:t>
      </w:r>
      <w:r>
        <w:t xml:space="preserve">anos com </w:t>
      </w:r>
      <w:r w:rsidRPr="00630FB8">
        <w:t>glioma</w:t>
      </w:r>
      <w:r w:rsidR="003A6611">
        <w:t>s</w:t>
      </w:r>
      <w:r w:rsidRPr="00630FB8">
        <w:t xml:space="preserve"> de alto grau (GAG) </w:t>
      </w:r>
      <w:r w:rsidR="003A6611" w:rsidRPr="00376212">
        <w:rPr>
          <w:bCs/>
          <w:color w:val="222222"/>
          <w:szCs w:val="22"/>
          <w:lang w:eastAsia="en-US"/>
        </w:rPr>
        <w:t>supratentoriais, infratentoriais, cerebelosos ou pedunculares</w:t>
      </w:r>
      <w:r w:rsidR="001C7ECB" w:rsidRPr="001C7ECB">
        <w:t>,</w:t>
      </w:r>
      <w:r w:rsidR="00A87CA3">
        <w:t xml:space="preserve"> </w:t>
      </w:r>
      <w:r w:rsidR="000F6755">
        <w:t>recentemente diagnosticado</w:t>
      </w:r>
      <w:r w:rsidR="003A6611">
        <w:t>s</w:t>
      </w:r>
      <w:r>
        <w:t>, foram tratados com radioterapia (RT) pós-operatóri</w:t>
      </w:r>
      <w:r w:rsidR="00A87CA3">
        <w:t>a</w:t>
      </w:r>
      <w:r>
        <w:t xml:space="preserve"> e </w:t>
      </w:r>
      <w:r>
        <w:lastRenderedPageBreak/>
        <w:t>temozolomida (T) adjuvante</w:t>
      </w:r>
      <w:r w:rsidR="001C7ECB">
        <w:t>,</w:t>
      </w:r>
      <w:r>
        <w:t xml:space="preserve"> com </w:t>
      </w:r>
      <w:r w:rsidR="001C7ECB">
        <w:t>e</w:t>
      </w:r>
      <w:r>
        <w:t xml:space="preserve"> sem bevacizumab: 10 mg/kg </w:t>
      </w:r>
      <w:r w:rsidR="00F36D72">
        <w:t>por via intravenosa</w:t>
      </w:r>
      <w:r w:rsidR="00F36D72" w:rsidDel="00F36D72">
        <w:t xml:space="preserve"> </w:t>
      </w:r>
      <w:r>
        <w:t>de duas em duas semanas.</w:t>
      </w:r>
    </w:p>
    <w:p w14:paraId="5D0B7F66" w14:textId="77777777" w:rsidR="00812456" w:rsidRDefault="00812456" w:rsidP="00E81A51"/>
    <w:p w14:paraId="1D234A3E" w14:textId="77777777" w:rsidR="00F83A8F" w:rsidRPr="00630FB8" w:rsidRDefault="00F83A8F" w:rsidP="00E81A51">
      <w:r>
        <w:t xml:space="preserve">O estudo não atingiu o seu </w:t>
      </w:r>
      <w:r w:rsidRPr="001012F4">
        <w:rPr>
          <w:i/>
        </w:rPr>
        <w:t>endpoint</w:t>
      </w:r>
      <w:r>
        <w:t xml:space="preserve"> primário </w:t>
      </w:r>
      <w:r w:rsidR="003A6611">
        <w:t>em</w:t>
      </w:r>
      <w:r>
        <w:t xml:space="preserve"> demonstrar uma melhoria significativa da</w:t>
      </w:r>
      <w:r w:rsidR="00AF3C7D">
        <w:t xml:space="preserve"> </w:t>
      </w:r>
      <w:r w:rsidR="00CC5AE2">
        <w:t>sobrevivência livre de acontecimentos (</w:t>
      </w:r>
      <w:r w:rsidR="00AF3C7D" w:rsidRPr="00F049B1">
        <w:t>EFS</w:t>
      </w:r>
      <w:r w:rsidR="00CC5AE2">
        <w:t>)</w:t>
      </w:r>
      <w:r w:rsidR="003631E1">
        <w:t xml:space="preserve"> (avaliado</w:t>
      </w:r>
      <w:r w:rsidR="00AF3C7D">
        <w:t xml:space="preserve"> pel</w:t>
      </w:r>
      <w:r w:rsidR="003A6611">
        <w:t>a</w:t>
      </w:r>
      <w:r w:rsidR="00AF3C7D">
        <w:t xml:space="preserve"> Comi</w:t>
      </w:r>
      <w:r w:rsidR="003A6611">
        <w:t>ssão</w:t>
      </w:r>
      <w:r w:rsidR="003631E1">
        <w:t xml:space="preserve"> </w:t>
      </w:r>
      <w:r w:rsidR="00DD2E28">
        <w:t xml:space="preserve">Central </w:t>
      </w:r>
      <w:r w:rsidR="003631E1">
        <w:t xml:space="preserve">de </w:t>
      </w:r>
      <w:r w:rsidR="003A6611">
        <w:t xml:space="preserve">Radiologia de </w:t>
      </w:r>
      <w:r w:rsidR="003631E1">
        <w:t>Revisão (C</w:t>
      </w:r>
      <w:r w:rsidR="00DD2E28">
        <w:t>C</w:t>
      </w:r>
      <w:r w:rsidR="003631E1">
        <w:t>RR))</w:t>
      </w:r>
      <w:r>
        <w:t xml:space="preserve"> quando bevacizumab foi </w:t>
      </w:r>
      <w:r w:rsidR="003A6611">
        <w:t>associado</w:t>
      </w:r>
      <w:r>
        <w:t xml:space="preserve"> ao braço RT/T em comparação com RT/T (HR=1,44; 95% IC:</w:t>
      </w:r>
      <w:r w:rsidR="00DD2E28">
        <w:t xml:space="preserve"> </w:t>
      </w:r>
      <w:r>
        <w:t xml:space="preserve">0.90, 2.30). Estes resultados foram consistentes com </w:t>
      </w:r>
      <w:r w:rsidR="00DD2E28">
        <w:t xml:space="preserve">os </w:t>
      </w:r>
      <w:r w:rsidR="007A6891">
        <w:t xml:space="preserve">resultados </w:t>
      </w:r>
      <w:r w:rsidR="00DD2E28">
        <w:t>de várias análises de sensibilidade e em subgrupos clinicamente relevantes.</w:t>
      </w:r>
      <w:r w:rsidR="007A6891">
        <w:t xml:space="preserve"> </w:t>
      </w:r>
      <w:r w:rsidR="007A6891" w:rsidRPr="00630FB8">
        <w:t xml:space="preserve">Os resultados para todos os </w:t>
      </w:r>
      <w:r w:rsidR="007A6891" w:rsidRPr="001012F4">
        <w:rPr>
          <w:i/>
        </w:rPr>
        <w:t>endpoints</w:t>
      </w:r>
      <w:r w:rsidR="007A6891" w:rsidRPr="00630FB8">
        <w:t xml:space="preserve"> secundários (</w:t>
      </w:r>
      <w:r w:rsidR="007A6891" w:rsidRPr="007A6891">
        <w:t xml:space="preserve">EFS avaliada pelo investigador, </w:t>
      </w:r>
      <w:r w:rsidR="007A6891">
        <w:t xml:space="preserve">ORR e OS) foram </w:t>
      </w:r>
      <w:r w:rsidR="001012F4">
        <w:t>coerentes</w:t>
      </w:r>
      <w:r w:rsidR="007A6891">
        <w:t xml:space="preserve"> ao demonstar que</w:t>
      </w:r>
      <w:r w:rsidR="002A3D87">
        <w:t xml:space="preserve"> não houve melhoria associada à </w:t>
      </w:r>
      <w:r w:rsidR="003A6611">
        <w:t>associação</w:t>
      </w:r>
      <w:r w:rsidR="002A3D87">
        <w:t xml:space="preserve"> de b</w:t>
      </w:r>
      <w:r w:rsidR="00A87CA3">
        <w:t xml:space="preserve">evacizumab ao braço </w:t>
      </w:r>
      <w:r w:rsidR="002A3D87">
        <w:t xml:space="preserve">RT/T </w:t>
      </w:r>
      <w:r w:rsidR="00A87CA3">
        <w:t>em comparação</w:t>
      </w:r>
      <w:r w:rsidR="002A3D87">
        <w:t xml:space="preserve"> com o braço de RT/T.</w:t>
      </w:r>
    </w:p>
    <w:p w14:paraId="6DE3EC5C" w14:textId="77777777" w:rsidR="00F83A8F" w:rsidRPr="00A34357" w:rsidRDefault="00F83A8F" w:rsidP="00E81A51"/>
    <w:p w14:paraId="5BEF7C55" w14:textId="77777777" w:rsidR="00F83A8F" w:rsidRDefault="00F83A8F" w:rsidP="00E81A51">
      <w:r>
        <w:t xml:space="preserve">A </w:t>
      </w:r>
      <w:r w:rsidR="003A6611">
        <w:t>associação</w:t>
      </w:r>
      <w:r>
        <w:t xml:space="preserve"> de </w:t>
      </w:r>
      <w:r w:rsidR="00FF0662">
        <w:t xml:space="preserve">bevacizumab </w:t>
      </w:r>
      <w:r>
        <w:t>à RT/T n</w:t>
      </w:r>
      <w:r w:rsidR="00037DC9">
        <w:t>ão demons</w:t>
      </w:r>
      <w:r>
        <w:t>trou benefício clínico no estudo BO25041</w:t>
      </w:r>
      <w:r w:rsidR="00AF3C7D">
        <w:t>,</w:t>
      </w:r>
      <w:r>
        <w:t xml:space="preserve"> em 60 doentes pediátricos avaliáveis com </w:t>
      </w:r>
      <w:r w:rsidRPr="00037DC9">
        <w:t>glioma</w:t>
      </w:r>
      <w:r w:rsidR="003A6611">
        <w:t>s</w:t>
      </w:r>
      <w:r w:rsidRPr="00037DC9">
        <w:t xml:space="preserve"> de alto grau (GAG)</w:t>
      </w:r>
      <w:r w:rsidR="003A6611">
        <w:t>,</w:t>
      </w:r>
      <w:r w:rsidRPr="00037DC9">
        <w:t xml:space="preserve"> </w:t>
      </w:r>
      <w:r w:rsidR="003A6611" w:rsidRPr="00CE739D">
        <w:rPr>
          <w:bCs/>
          <w:color w:val="222222"/>
          <w:szCs w:val="22"/>
          <w:lang w:eastAsia="en-US"/>
        </w:rPr>
        <w:t>supratentoriais, infratentoriais, cerebelosos ou pedunculares</w:t>
      </w:r>
      <w:r w:rsidR="00037DC9" w:rsidRPr="00037DC9">
        <w:t>,</w:t>
      </w:r>
      <w:r w:rsidRPr="000F6755">
        <w:t xml:space="preserve"> </w:t>
      </w:r>
      <w:r>
        <w:t>recentemente diagnosticado</w:t>
      </w:r>
      <w:r w:rsidR="003A6611">
        <w:t>s</w:t>
      </w:r>
      <w:r w:rsidR="00AF3C7D">
        <w:t xml:space="preserve"> (ver secção 4.2 para informação sobre utilização pediátrica).</w:t>
      </w:r>
    </w:p>
    <w:p w14:paraId="0D81ACE9" w14:textId="77777777" w:rsidR="00F83A8F" w:rsidRDefault="00F83A8F" w:rsidP="00E81A51">
      <w:pPr>
        <w:rPr>
          <w:iCs/>
        </w:rPr>
      </w:pPr>
    </w:p>
    <w:p w14:paraId="42D32CED" w14:textId="77777777" w:rsidR="008F7E5E" w:rsidRPr="000F6755" w:rsidRDefault="000F6755" w:rsidP="00E81A51">
      <w:pPr>
        <w:rPr>
          <w:i/>
          <w:iCs/>
        </w:rPr>
      </w:pPr>
      <w:r>
        <w:rPr>
          <w:i/>
          <w:iCs/>
        </w:rPr>
        <w:t>S</w:t>
      </w:r>
      <w:r w:rsidR="001C7ECB">
        <w:rPr>
          <w:i/>
          <w:iCs/>
        </w:rPr>
        <w:t>arcoma dos tecidos mol</w:t>
      </w:r>
      <w:r>
        <w:rPr>
          <w:i/>
          <w:iCs/>
        </w:rPr>
        <w:t>es</w:t>
      </w:r>
    </w:p>
    <w:p w14:paraId="3A6F6879" w14:textId="77777777" w:rsidR="000727C1" w:rsidRPr="00F049B1" w:rsidRDefault="00A65619" w:rsidP="00E81A51">
      <w:r>
        <w:rPr>
          <w:iCs/>
        </w:rPr>
        <w:t>N</w:t>
      </w:r>
      <w:r w:rsidR="00E81A51">
        <w:rPr>
          <w:iCs/>
        </w:rPr>
        <w:t>um estudo de fase II aleatorizado</w:t>
      </w:r>
      <w:r w:rsidR="00742CCC">
        <w:rPr>
          <w:iCs/>
        </w:rPr>
        <w:t xml:space="preserve"> </w:t>
      </w:r>
      <w:r w:rsidR="00E81A51">
        <w:rPr>
          <w:iCs/>
        </w:rPr>
        <w:t>(</w:t>
      </w:r>
      <w:r w:rsidR="00742CCC" w:rsidRPr="00742CCC">
        <w:t>BO20924</w:t>
      </w:r>
      <w:r w:rsidR="00E81A51">
        <w:t>)</w:t>
      </w:r>
      <w:r>
        <w:t>,</w:t>
      </w:r>
      <w:r w:rsidR="00E81A51">
        <w:t xml:space="preserve"> </w:t>
      </w:r>
      <w:r w:rsidR="00742CCC">
        <w:t xml:space="preserve">um total de 154 doentes com idades </w:t>
      </w:r>
      <w:r w:rsidR="00742CCC" w:rsidRPr="00742CCC">
        <w:t>≥ 6</w:t>
      </w:r>
      <w:r w:rsidR="00742CCC">
        <w:t xml:space="preserve"> meses at</w:t>
      </w:r>
      <w:r w:rsidR="00070415">
        <w:t>é &lt;18</w:t>
      </w:r>
      <w:r w:rsidR="005F75B2">
        <w:t> </w:t>
      </w:r>
      <w:r w:rsidR="00070415">
        <w:t xml:space="preserve">anos, </w:t>
      </w:r>
      <w:r w:rsidR="00742CCC">
        <w:t xml:space="preserve">com rabdomiossarcoma e sarcoma dos tecidos moles não-rabdomiossarcoma metastizados, </w:t>
      </w:r>
      <w:r w:rsidR="00894746">
        <w:t xml:space="preserve">recentemente diagnosticado, </w:t>
      </w:r>
      <w:r>
        <w:t>foram tratado</w:t>
      </w:r>
      <w:r w:rsidR="00742CCC">
        <w:t>s com o tratamento padrão (</w:t>
      </w:r>
      <w:r w:rsidR="00B11D96">
        <w:t>terapêutica</w:t>
      </w:r>
      <w:r w:rsidR="00070415">
        <w:t xml:space="preserve"> de indução </w:t>
      </w:r>
      <w:r w:rsidR="00742CCC" w:rsidRPr="00B11D96">
        <w:t>IVADO/IVA+/-</w:t>
      </w:r>
      <w:r w:rsidR="00742CCC">
        <w:t xml:space="preserve"> </w:t>
      </w:r>
      <w:r w:rsidR="00B11D96">
        <w:t xml:space="preserve">terapêutica local, </w:t>
      </w:r>
      <w:r w:rsidR="00742CCC">
        <w:t xml:space="preserve">seguida de </w:t>
      </w:r>
      <w:r w:rsidR="00B11D96">
        <w:t xml:space="preserve">manutenção com </w:t>
      </w:r>
      <w:r w:rsidR="00742CCC" w:rsidRPr="00B11D96">
        <w:t>vinorelbina</w:t>
      </w:r>
      <w:r w:rsidR="00B11D96">
        <w:t xml:space="preserve"> </w:t>
      </w:r>
      <w:r w:rsidR="00742CCC">
        <w:t xml:space="preserve">e ciclofosfamida) com ou sem bevacizumab (2,5mg/kg/semana) </w:t>
      </w:r>
      <w:r w:rsidR="001D2BD6">
        <w:t>durante um período</w:t>
      </w:r>
      <w:r w:rsidR="00742CCC">
        <w:t xml:space="preserve"> total de tratamento de aproximadamente 18</w:t>
      </w:r>
      <w:r w:rsidR="005F75B2">
        <w:t> </w:t>
      </w:r>
      <w:r w:rsidR="00742CCC" w:rsidRPr="00F049B1">
        <w:t xml:space="preserve">meses. </w:t>
      </w:r>
      <w:r w:rsidR="00894746" w:rsidRPr="00F049B1">
        <w:t>À data</w:t>
      </w:r>
      <w:r w:rsidR="00742CCC" w:rsidRPr="00F049B1">
        <w:t xml:space="preserve"> da análise</w:t>
      </w:r>
      <w:r w:rsidR="001D2BD6" w:rsidRPr="00F049B1">
        <w:t xml:space="preserve"> </w:t>
      </w:r>
      <w:r w:rsidR="00742CCC" w:rsidRPr="00F049B1">
        <w:t>primária</w:t>
      </w:r>
      <w:r w:rsidR="00E81A51" w:rsidRPr="00F049B1">
        <w:t xml:space="preserve"> final</w:t>
      </w:r>
      <w:r w:rsidR="00742CCC" w:rsidRPr="00F049B1">
        <w:t xml:space="preserve">, o </w:t>
      </w:r>
      <w:r w:rsidR="00742CCC" w:rsidRPr="001012F4">
        <w:rPr>
          <w:i/>
        </w:rPr>
        <w:t>endpoint</w:t>
      </w:r>
      <w:r w:rsidR="00742CCC" w:rsidRPr="00F049B1">
        <w:t xml:space="preserve"> primário de EFS</w:t>
      </w:r>
      <w:r w:rsidR="00B276E5" w:rsidRPr="00F049B1">
        <w:t xml:space="preserve"> (sobrevivência livre de eventos)</w:t>
      </w:r>
      <w:r w:rsidR="00742CCC" w:rsidRPr="00F049B1">
        <w:t xml:space="preserve"> </w:t>
      </w:r>
      <w:r w:rsidR="00E81A51" w:rsidRPr="00F049B1">
        <w:t>por</w:t>
      </w:r>
      <w:r w:rsidR="00742CCC" w:rsidRPr="00F049B1">
        <w:t xml:space="preserve"> revisão central independente não </w:t>
      </w:r>
      <w:r w:rsidR="00DA4D8E" w:rsidRPr="00F049B1">
        <w:t xml:space="preserve">mostrou uma diferença estatisticamente significativa entre os dois braços de tratamento, com HR de 0,93% (95% </w:t>
      </w:r>
      <w:r w:rsidR="008D1EB3" w:rsidRPr="00F049B1">
        <w:t>IC</w:t>
      </w:r>
      <w:r w:rsidR="00DA4D8E" w:rsidRPr="00F049B1">
        <w:t xml:space="preserve">: 0.61, 1.41; </w:t>
      </w:r>
      <w:r w:rsidR="00F53CC4" w:rsidRPr="00F049B1">
        <w:t>valor de p</w:t>
      </w:r>
      <w:r w:rsidR="00DA4D8E" w:rsidRPr="00F049B1">
        <w:t> </w:t>
      </w:r>
      <w:r w:rsidR="00DA4D8E" w:rsidRPr="00F049B1">
        <w:sym w:font="Symbol" w:char="F03D"/>
      </w:r>
      <w:r w:rsidR="00E81A51" w:rsidRPr="00F049B1">
        <w:t> 0,</w:t>
      </w:r>
      <w:r w:rsidR="00DA4D8E" w:rsidRPr="00F049B1">
        <w:t xml:space="preserve">72). </w:t>
      </w:r>
      <w:r w:rsidR="006F38E9" w:rsidRPr="00F049B1">
        <w:t xml:space="preserve">A diferença </w:t>
      </w:r>
      <w:r w:rsidR="008D1EB3" w:rsidRPr="00F049B1">
        <w:t>na taxa de resposta global por revisão central independente</w:t>
      </w:r>
      <w:r w:rsidR="00F53CC4" w:rsidRPr="00F049B1">
        <w:t xml:space="preserve"> </w:t>
      </w:r>
      <w:r w:rsidR="003F5F24" w:rsidRPr="00F049B1">
        <w:t xml:space="preserve">entre os dois braços de tratamento nos poucos doentes que tinham tumores avaliáveis na linha de base e </w:t>
      </w:r>
      <w:r w:rsidR="00F53CC4" w:rsidRPr="00F049B1">
        <w:t xml:space="preserve">que </w:t>
      </w:r>
      <w:r w:rsidR="003F5F24" w:rsidRPr="00F049B1">
        <w:t>tinha</w:t>
      </w:r>
      <w:r w:rsidR="00F53CC4" w:rsidRPr="00F049B1">
        <w:t>m</w:t>
      </w:r>
      <w:r w:rsidR="003F5F24" w:rsidRPr="00F049B1">
        <w:t xml:space="preserve"> uma resposta confirmada </w:t>
      </w:r>
      <w:r w:rsidR="00F53CC4" w:rsidRPr="00F049B1">
        <w:t>antes de</w:t>
      </w:r>
      <w:r w:rsidR="003F5F24" w:rsidRPr="00F049B1">
        <w:t xml:space="preserve"> receberem qualquer terapêutica local</w:t>
      </w:r>
      <w:r w:rsidR="00F53CC4" w:rsidRPr="00F049B1">
        <w:t xml:space="preserve"> foi de</w:t>
      </w:r>
      <w:r w:rsidR="000864F3" w:rsidRPr="00F049B1">
        <w:t xml:space="preserve"> </w:t>
      </w:r>
      <w:r w:rsidR="00F53CC4" w:rsidRPr="00F049B1">
        <w:t>18% (IC: 0.6%, 35.3%)</w:t>
      </w:r>
      <w:r w:rsidR="003F5F24" w:rsidRPr="00F049B1">
        <w:t xml:space="preserve">: 27/75 doentes (36.0%, 95% IC: 25.2%, 47.9%) no braço de quimioterapia e 34/63 doentes (54.0%, 95% </w:t>
      </w:r>
      <w:r w:rsidR="00F53CC4" w:rsidRPr="00F049B1">
        <w:t>IC</w:t>
      </w:r>
      <w:r w:rsidR="003F5F24" w:rsidRPr="00F049B1">
        <w:t>: 40.9%, 66.6%) no braço de quimioterapia + bevacizumab.</w:t>
      </w:r>
      <w:r w:rsidR="00894746" w:rsidRPr="00F049B1">
        <w:t xml:space="preserve"> </w:t>
      </w:r>
      <w:r w:rsidR="000E3055">
        <w:t xml:space="preserve">As análises </w:t>
      </w:r>
      <w:r w:rsidR="001A06FE">
        <w:t xml:space="preserve">finais </w:t>
      </w:r>
      <w:r w:rsidR="000E3055">
        <w:t>d</w:t>
      </w:r>
      <w:r w:rsidR="00C03411">
        <w:t>a</w:t>
      </w:r>
      <w:r w:rsidR="00DA4D8E" w:rsidRPr="00F049B1">
        <w:t xml:space="preserve"> </w:t>
      </w:r>
      <w:r w:rsidRPr="00F049B1">
        <w:t xml:space="preserve">OS </w:t>
      </w:r>
      <w:r w:rsidR="00DA4D8E" w:rsidRPr="00F049B1">
        <w:t xml:space="preserve">não </w:t>
      </w:r>
      <w:r w:rsidR="000E3055">
        <w:t>revelaram um benefício clínico significativo com a associação do bevacizumab à quimioterapia nesta população de doentes</w:t>
      </w:r>
      <w:r w:rsidR="00EB201D" w:rsidRPr="00F049B1">
        <w:t>.</w:t>
      </w:r>
    </w:p>
    <w:p w14:paraId="5F07C4C5" w14:textId="77777777" w:rsidR="00A65619" w:rsidRDefault="00A65619" w:rsidP="00E81A51">
      <w:pPr>
        <w:rPr>
          <w:u w:val="single"/>
        </w:rPr>
      </w:pPr>
    </w:p>
    <w:p w14:paraId="4814991A" w14:textId="77777777" w:rsidR="00A65619" w:rsidRPr="00F049B1" w:rsidRDefault="00A65619" w:rsidP="00E81A51">
      <w:pPr>
        <w:rPr>
          <w:iCs/>
        </w:rPr>
      </w:pPr>
      <w:r>
        <w:t xml:space="preserve">A associação de </w:t>
      </w:r>
      <w:r w:rsidR="00FF0662">
        <w:t xml:space="preserve">bevacizumab </w:t>
      </w:r>
      <w:r w:rsidRPr="00B276E5">
        <w:t xml:space="preserve">ao </w:t>
      </w:r>
      <w:r w:rsidRPr="002C2A22">
        <w:t>tratamento padrão</w:t>
      </w:r>
      <w:r>
        <w:t xml:space="preserve"> não demonstrou benefício clínico no ensaio BO20924, em 71 doentes pediátricos avaliáveis (com idades entre os 6 meses e inferior a 18</w:t>
      </w:r>
      <w:r w:rsidR="005F75B2">
        <w:t> </w:t>
      </w:r>
      <w:r>
        <w:t>anos) com rabdomiossarcoma e sarcoma dos tecidos moles não</w:t>
      </w:r>
      <w:r w:rsidR="00F73DA2">
        <w:t>-rabdomiossarcoma metastizados</w:t>
      </w:r>
      <w:r w:rsidR="00F73DA2" w:rsidRPr="00F049B1">
        <w:t xml:space="preserve"> </w:t>
      </w:r>
      <w:r w:rsidRPr="00F049B1">
        <w:t>(ver secção 4.2 para informações na utilização pediátrica).</w:t>
      </w:r>
    </w:p>
    <w:p w14:paraId="594244A0" w14:textId="77777777" w:rsidR="00DA4D8E" w:rsidRPr="00E81A51" w:rsidRDefault="00DA4D8E" w:rsidP="00742CCC"/>
    <w:p w14:paraId="5E4F8138" w14:textId="77777777" w:rsidR="00742CCC" w:rsidRPr="00894746" w:rsidRDefault="00DA4D8E" w:rsidP="00A122C7">
      <w:r w:rsidRPr="00DA4D8E">
        <w:t xml:space="preserve">A incidência de </w:t>
      </w:r>
      <w:r w:rsidR="00CC5AE2">
        <w:t xml:space="preserve">reações </w:t>
      </w:r>
      <w:r w:rsidR="005C2FC3">
        <w:t>advers</w:t>
      </w:r>
      <w:r w:rsidR="00CC5AE2">
        <w:t>a</w:t>
      </w:r>
      <w:r>
        <w:t xml:space="preserve">s, incluindo </w:t>
      </w:r>
      <w:r w:rsidR="00CC5AE2">
        <w:t xml:space="preserve">reações </w:t>
      </w:r>
      <w:r w:rsidR="005C2FC3">
        <w:t>advers</w:t>
      </w:r>
      <w:r w:rsidR="00CC5AE2">
        <w:t>a</w:t>
      </w:r>
      <w:r>
        <w:t xml:space="preserve">s de grau </w:t>
      </w:r>
      <w:r w:rsidRPr="005D0E5E">
        <w:sym w:font="Symbol" w:char="F0B3"/>
      </w:r>
      <w:r w:rsidRPr="00DA4D8E">
        <w:t> 3</w:t>
      </w:r>
      <w:r>
        <w:t xml:space="preserve"> e </w:t>
      </w:r>
      <w:r w:rsidR="00CC5AE2">
        <w:t xml:space="preserve">reações </w:t>
      </w:r>
      <w:r w:rsidR="000956FF">
        <w:t>advers</w:t>
      </w:r>
      <w:r w:rsidR="00CC5AE2">
        <w:t>a</w:t>
      </w:r>
      <w:r w:rsidR="000956FF">
        <w:t>s graves</w:t>
      </w:r>
      <w:r>
        <w:t>, foi semelhante entre os dois braços de tratamento.</w:t>
      </w:r>
      <w:r w:rsidR="005C2FC3">
        <w:t xml:space="preserve"> Não ocorreram </w:t>
      </w:r>
      <w:r w:rsidR="00CC5AE2">
        <w:t xml:space="preserve">reações </w:t>
      </w:r>
      <w:r w:rsidR="005C2FC3">
        <w:t>advers</w:t>
      </w:r>
      <w:r w:rsidR="00CC5AE2">
        <w:t>a</w:t>
      </w:r>
      <w:r w:rsidR="005C2FC3">
        <w:t xml:space="preserve">s que levassem à morte em nenhum dos braços de tratamento; todas as mortes foram associadas à progressão da doença. A adição de bevacizumab ao </w:t>
      </w:r>
      <w:r w:rsidR="005C2FC3" w:rsidRPr="00B11D96">
        <w:t>tratamento padrão multimodal</w:t>
      </w:r>
      <w:r w:rsidR="005C2FC3">
        <w:t xml:space="preserve"> </w:t>
      </w:r>
      <w:r w:rsidR="00A41354">
        <w:t>pareceu ser tolerada</w:t>
      </w:r>
      <w:r w:rsidR="005C2FC3">
        <w:t xml:space="preserve"> nesta população pediátrica.</w:t>
      </w:r>
    </w:p>
    <w:p w14:paraId="2B1D2C0B" w14:textId="77777777" w:rsidR="00400398" w:rsidRPr="00894746" w:rsidRDefault="00400398">
      <w:pPr>
        <w:outlineLvl w:val="0"/>
        <w:rPr>
          <w:rFonts w:eastAsia="SimSun"/>
          <w:szCs w:val="22"/>
          <w:lang w:eastAsia="zh-CN"/>
        </w:rPr>
      </w:pPr>
    </w:p>
    <w:p w14:paraId="192F6EA7" w14:textId="77777777" w:rsidR="00400398" w:rsidRPr="007232E4" w:rsidRDefault="00400398" w:rsidP="009166B7">
      <w:pPr>
        <w:keepNext/>
        <w:keepLines/>
        <w:outlineLvl w:val="0"/>
        <w:rPr>
          <w:b/>
        </w:rPr>
      </w:pPr>
      <w:r w:rsidRPr="007232E4">
        <w:rPr>
          <w:b/>
        </w:rPr>
        <w:t>5.2</w:t>
      </w:r>
      <w:r w:rsidRPr="007232E4">
        <w:rPr>
          <w:b/>
        </w:rPr>
        <w:tab/>
        <w:t>Propriedades farmacocinéticas</w:t>
      </w:r>
    </w:p>
    <w:p w14:paraId="4BB4A92D" w14:textId="77777777" w:rsidR="00400398" w:rsidRPr="007232E4" w:rsidRDefault="00400398" w:rsidP="009166B7">
      <w:pPr>
        <w:keepNext/>
        <w:keepLines/>
      </w:pPr>
    </w:p>
    <w:p w14:paraId="6CCAF923" w14:textId="77777777" w:rsidR="00400398" w:rsidRPr="007232E4" w:rsidRDefault="00400398" w:rsidP="009166B7">
      <w:pPr>
        <w:keepNext/>
        <w:keepLines/>
      </w:pPr>
      <w:r w:rsidRPr="007232E4">
        <w:t>Os dados farmacocinéticos do bevacizumab foram obtidos em dez ensaios clínicos realizados em doentes com tumores sólidos. Em todos os ensaios clínicos, o bevacizumab foi administrado sob a forma de perfusão intravenosa. A velocidade de perfusão foi determinada pela tolerabilidade tendo a perfusão inicial durado 90 minutos. A farmacocinética do bevacizumab revelou ser linear para doses entre 1 e 10 mg/kg.</w:t>
      </w:r>
    </w:p>
    <w:p w14:paraId="41C4B318" w14:textId="77777777" w:rsidR="00400398" w:rsidRPr="007232E4" w:rsidRDefault="00400398" w:rsidP="009166B7">
      <w:pPr>
        <w:keepNext/>
        <w:keepLines/>
      </w:pPr>
    </w:p>
    <w:p w14:paraId="32177177" w14:textId="77777777" w:rsidR="00400398" w:rsidRPr="007232E4" w:rsidRDefault="00400398" w:rsidP="009166B7">
      <w:pPr>
        <w:keepNext/>
        <w:keepLines/>
        <w:rPr>
          <w:i/>
        </w:rPr>
      </w:pPr>
      <w:r w:rsidRPr="000603E8">
        <w:rPr>
          <w:u w:val="single"/>
        </w:rPr>
        <w:t>Distribuição</w:t>
      </w:r>
    </w:p>
    <w:p w14:paraId="4868C297" w14:textId="77777777" w:rsidR="00400398" w:rsidRPr="007232E4" w:rsidRDefault="00400398">
      <w:pPr>
        <w:rPr>
          <w:szCs w:val="22"/>
        </w:rPr>
      </w:pPr>
      <w:r w:rsidRPr="007232E4">
        <w:rPr>
          <w:szCs w:val="22"/>
        </w:rPr>
        <w:t>O valor usual de volume central (V</w:t>
      </w:r>
      <w:r w:rsidRPr="007232E4">
        <w:rPr>
          <w:szCs w:val="22"/>
          <w:vertAlign w:val="subscript"/>
        </w:rPr>
        <w:t>c</w:t>
      </w:r>
      <w:r w:rsidRPr="007232E4">
        <w:rPr>
          <w:szCs w:val="22"/>
        </w:rPr>
        <w:t xml:space="preserve">) foi de 2,73 </w:t>
      </w:r>
      <w:r w:rsidR="00583284">
        <w:rPr>
          <w:szCs w:val="22"/>
        </w:rPr>
        <w:t>l</w:t>
      </w:r>
      <w:r w:rsidRPr="007232E4">
        <w:rPr>
          <w:szCs w:val="22"/>
        </w:rPr>
        <w:t xml:space="preserve"> e 3,28 </w:t>
      </w:r>
      <w:r w:rsidR="00583284">
        <w:rPr>
          <w:szCs w:val="22"/>
        </w:rPr>
        <w:t>l</w:t>
      </w:r>
      <w:r w:rsidRPr="007232E4">
        <w:rPr>
          <w:szCs w:val="22"/>
        </w:rPr>
        <w:t xml:space="preserve"> para doentes do sexo feminino e masculino respetivamente, o qual se situa dentro do intervalo descrito para IgGs e outros anticorpos monoclonais. O valor usual de volume periférico (V</w:t>
      </w:r>
      <w:r w:rsidRPr="007232E4">
        <w:rPr>
          <w:szCs w:val="22"/>
          <w:vertAlign w:val="subscript"/>
        </w:rPr>
        <w:t>p</w:t>
      </w:r>
      <w:r w:rsidRPr="007232E4">
        <w:rPr>
          <w:szCs w:val="22"/>
        </w:rPr>
        <w:t xml:space="preserve">) foi de 1,69 </w:t>
      </w:r>
      <w:r w:rsidR="00583284">
        <w:rPr>
          <w:szCs w:val="22"/>
        </w:rPr>
        <w:t>l</w:t>
      </w:r>
      <w:r w:rsidRPr="007232E4">
        <w:rPr>
          <w:szCs w:val="22"/>
        </w:rPr>
        <w:t xml:space="preserve"> e 2,35 </w:t>
      </w:r>
      <w:r w:rsidR="00583284">
        <w:rPr>
          <w:szCs w:val="22"/>
        </w:rPr>
        <w:t>l</w:t>
      </w:r>
      <w:r w:rsidRPr="007232E4">
        <w:rPr>
          <w:szCs w:val="22"/>
        </w:rPr>
        <w:t xml:space="preserve"> para doentes do sexo feminino e </w:t>
      </w:r>
      <w:r w:rsidRPr="007232E4">
        <w:rPr>
          <w:szCs w:val="22"/>
        </w:rPr>
        <w:lastRenderedPageBreak/>
        <w:t>masculino respetivamente, quando bevacizumab é coadministrado com agentes anti</w:t>
      </w:r>
      <w:r w:rsidRPr="007232E4">
        <w:rPr>
          <w:szCs w:val="22"/>
        </w:rPr>
        <w:noBreakHyphen/>
        <w:t>neoplásicos. Após correção para o peso corporal, os doentes do sexo masculino apresentaram um maior V</w:t>
      </w:r>
      <w:r w:rsidRPr="007232E4">
        <w:rPr>
          <w:szCs w:val="22"/>
          <w:vertAlign w:val="subscript"/>
        </w:rPr>
        <w:t>c</w:t>
      </w:r>
      <w:r w:rsidRPr="007232E4">
        <w:rPr>
          <w:szCs w:val="22"/>
        </w:rPr>
        <w:t xml:space="preserve"> (+ 20%) que os doentes do sexo feminino.</w:t>
      </w:r>
    </w:p>
    <w:p w14:paraId="75FDE4F5" w14:textId="77777777" w:rsidR="00400398" w:rsidRPr="007232E4" w:rsidRDefault="00400398"/>
    <w:p w14:paraId="28457D7F" w14:textId="77777777" w:rsidR="00400398" w:rsidRPr="007232E4" w:rsidRDefault="00400398" w:rsidP="000E634D">
      <w:pPr>
        <w:keepNext/>
        <w:outlineLvl w:val="0"/>
        <w:rPr>
          <w:i/>
        </w:rPr>
      </w:pPr>
      <w:r w:rsidRPr="000603E8">
        <w:rPr>
          <w:u w:val="single"/>
        </w:rPr>
        <w:t>Biotransformação</w:t>
      </w:r>
    </w:p>
    <w:p w14:paraId="0CEC3999" w14:textId="77777777" w:rsidR="00400398" w:rsidRPr="007232E4" w:rsidRDefault="00400398">
      <w:r w:rsidRPr="007232E4">
        <w:t xml:space="preserve">A avaliação do metabolismo do bevacizumab em coelhos, após administração de uma dose única intravenosa de </w:t>
      </w:r>
      <w:r w:rsidRPr="007232E4">
        <w:rPr>
          <w:vertAlign w:val="superscript"/>
        </w:rPr>
        <w:t>125</w:t>
      </w:r>
      <w:r w:rsidRPr="007232E4">
        <w:t>I</w:t>
      </w:r>
      <w:r w:rsidRPr="007232E4">
        <w:noBreakHyphen/>
        <w:t>bevacizumab, indicou que o perfil metabólico era similar ao esperado para uma molécula de IgG nativa que não se ligue ao VEGF. O metabolismo e a eliminação do bevacizumab é semelhante ao da IgG endógena, isto é, primariamente catabolismo via proteolítica em todo o organismo, incluindo células endoteliais, e não assenta primariamente na eliminação através dos rins ou do fígado. A ligação da IgG ao recetor FcRN resulta na proteção do metabolismo celular e na semivida terminal longa.</w:t>
      </w:r>
    </w:p>
    <w:p w14:paraId="5D6A487F" w14:textId="77777777" w:rsidR="00400398" w:rsidRPr="007232E4" w:rsidRDefault="00400398"/>
    <w:p w14:paraId="516C0687" w14:textId="77777777" w:rsidR="00400398" w:rsidRPr="007232E4" w:rsidRDefault="00400398">
      <w:pPr>
        <w:outlineLvl w:val="0"/>
        <w:rPr>
          <w:i/>
        </w:rPr>
      </w:pPr>
      <w:r w:rsidRPr="000603E8">
        <w:rPr>
          <w:u w:val="single"/>
        </w:rPr>
        <w:t>Eliminação</w:t>
      </w:r>
    </w:p>
    <w:p w14:paraId="38435371" w14:textId="77777777" w:rsidR="00400398" w:rsidRPr="007232E4" w:rsidRDefault="00400398">
      <w:r w:rsidRPr="007232E4">
        <w:t>O valor de depuração é, em média, igual a 0,188 e 0,220 L/dia para doentes do sexo feminino e masculino respetivamente. Após correção para o peso corporal, os doentes do sexo masculino apresentaram uma maior depuração (+ 17%) que os doentes do sexo feminino. De acordo com o modelo bi</w:t>
      </w:r>
      <w:r w:rsidRPr="007232E4">
        <w:noBreakHyphen/>
        <w:t>compartimental, a semi</w:t>
      </w:r>
      <w:r w:rsidRPr="007232E4">
        <w:noBreakHyphen/>
        <w:t xml:space="preserve">vida de eliminação é de 18 dias para um doente típico do sexo feminino e de 20 dias para um doente típico do sexo masculino. </w:t>
      </w:r>
    </w:p>
    <w:p w14:paraId="09E4ED32" w14:textId="77777777" w:rsidR="00400398" w:rsidRPr="007232E4" w:rsidRDefault="00400398"/>
    <w:p w14:paraId="2E6C5428" w14:textId="77777777" w:rsidR="00400398" w:rsidRPr="007232E4" w:rsidRDefault="00400398">
      <w:r w:rsidRPr="007232E4">
        <w:rPr>
          <w:szCs w:val="22"/>
        </w:rPr>
        <w:t>A baixa albumina e a elevada carga tumoral são geralmente indicativas da gravidade da doença. A depuração do bevacizumab foi aproximadamente 30% maior em doentes com baixos níveis de albumina sérica e 7% maior em indivíduos com maior carga tumoral, quando comparado com um doente típico com valores medianos de albumina e carga tumoral.</w:t>
      </w:r>
    </w:p>
    <w:p w14:paraId="0CE556D4" w14:textId="77777777" w:rsidR="00400398" w:rsidRPr="007232E4" w:rsidRDefault="00400398"/>
    <w:p w14:paraId="5540C3C1" w14:textId="77777777" w:rsidR="00316B4F" w:rsidRPr="000603E8" w:rsidRDefault="00400398">
      <w:pPr>
        <w:outlineLvl w:val="0"/>
        <w:rPr>
          <w:u w:val="single"/>
        </w:rPr>
      </w:pPr>
      <w:r w:rsidRPr="000603E8">
        <w:rPr>
          <w:u w:val="single"/>
        </w:rPr>
        <w:t>Farmacocinética em populações especiais</w:t>
      </w:r>
    </w:p>
    <w:p w14:paraId="30A29A8E" w14:textId="77777777" w:rsidR="00400398" w:rsidRPr="007232E4" w:rsidRDefault="00400398">
      <w:r w:rsidRPr="007232E4">
        <w:t xml:space="preserve">Os parâmetros farmacocinéticos populacionais foram analisados </w:t>
      </w:r>
      <w:r w:rsidR="0077020D">
        <w:t xml:space="preserve">em adultos e doentes pediátricos </w:t>
      </w:r>
      <w:r w:rsidRPr="007232E4">
        <w:t xml:space="preserve">de forma a avaliar os efeitos das características demográficas. </w:t>
      </w:r>
      <w:r w:rsidR="0077020D">
        <w:t>Nos adultos, os</w:t>
      </w:r>
      <w:r w:rsidR="0077020D" w:rsidRPr="007232E4">
        <w:t xml:space="preserve"> </w:t>
      </w:r>
      <w:r w:rsidRPr="007232E4">
        <w:t>resultados mostraram não haver diferenças significativas na farmacocinética do bevacizumab relativamente à idade.</w:t>
      </w:r>
    </w:p>
    <w:p w14:paraId="69101273" w14:textId="77777777" w:rsidR="00400398" w:rsidRPr="007232E4" w:rsidRDefault="00400398">
      <w:pPr>
        <w:rPr>
          <w:i/>
        </w:rPr>
      </w:pPr>
    </w:p>
    <w:p w14:paraId="28A0AFF4" w14:textId="77777777" w:rsidR="00316B4F" w:rsidRPr="00981C8E" w:rsidRDefault="00400398">
      <w:pPr>
        <w:rPr>
          <w:i/>
        </w:rPr>
      </w:pPr>
      <w:r w:rsidRPr="001E05C2">
        <w:rPr>
          <w:i/>
          <w:u w:val="single"/>
        </w:rPr>
        <w:t>Compromisso renal</w:t>
      </w:r>
    </w:p>
    <w:p w14:paraId="378AE5E1" w14:textId="77777777" w:rsidR="00400398" w:rsidRPr="007232E4" w:rsidRDefault="00400398">
      <w:r w:rsidRPr="007232E4">
        <w:t>Não se realizaram ensaios para determinar a farmacocinética do bevacizumab em doentes com compromisso renal, uma vez que os rins não são um órgão principal para metabolização ou eliminação do bevacizumab.</w:t>
      </w:r>
    </w:p>
    <w:p w14:paraId="66A1B217" w14:textId="77777777" w:rsidR="00400398" w:rsidRPr="007232E4" w:rsidRDefault="00400398">
      <w:pPr>
        <w:rPr>
          <w:i/>
        </w:rPr>
      </w:pPr>
    </w:p>
    <w:p w14:paraId="643A15E3" w14:textId="77777777" w:rsidR="00316B4F" w:rsidRPr="00981C8E" w:rsidRDefault="00400398">
      <w:pPr>
        <w:rPr>
          <w:i/>
        </w:rPr>
      </w:pPr>
      <w:r w:rsidRPr="001E05C2">
        <w:rPr>
          <w:i/>
          <w:u w:val="single"/>
        </w:rPr>
        <w:t>Compromisso hepático</w:t>
      </w:r>
    </w:p>
    <w:p w14:paraId="23669722" w14:textId="77777777" w:rsidR="00400398" w:rsidRPr="007232E4" w:rsidRDefault="00400398">
      <w:r w:rsidRPr="007232E4">
        <w:t xml:space="preserve">Não se realizaram ensaios para determinar a farmacocinética do bevacizumab em doentes com </w:t>
      </w:r>
      <w:r>
        <w:t>compromisso</w:t>
      </w:r>
      <w:r w:rsidRPr="007232E4">
        <w:t xml:space="preserve"> hepátic</w:t>
      </w:r>
      <w:r>
        <w:t>o</w:t>
      </w:r>
      <w:r w:rsidRPr="007232E4">
        <w:t>, uma vez que o fígado não é um órgão principal para metabolização ou eliminação do bevacizumab.</w:t>
      </w:r>
    </w:p>
    <w:p w14:paraId="31C0BBE2" w14:textId="77777777" w:rsidR="00400398" w:rsidRPr="007232E4" w:rsidRDefault="00400398"/>
    <w:p w14:paraId="49F4A059" w14:textId="77777777" w:rsidR="00316B4F" w:rsidRPr="00981C8E" w:rsidRDefault="00400398">
      <w:pPr>
        <w:rPr>
          <w:i/>
        </w:rPr>
      </w:pPr>
      <w:r w:rsidRPr="001E05C2">
        <w:rPr>
          <w:i/>
          <w:u w:val="single"/>
        </w:rPr>
        <w:t>População pediátrica</w:t>
      </w:r>
    </w:p>
    <w:p w14:paraId="48B8489A" w14:textId="77777777" w:rsidR="007534AB" w:rsidRDefault="00400398">
      <w:r w:rsidRPr="007232E4">
        <w:t>A farmacocinética do bevacizumab foi</w:t>
      </w:r>
      <w:r w:rsidR="005C2FC3">
        <w:t xml:space="preserve"> avaliada em 152</w:t>
      </w:r>
      <w:r w:rsidRPr="007232E4">
        <w:t xml:space="preserve"> </w:t>
      </w:r>
      <w:r w:rsidR="0077020D">
        <w:t xml:space="preserve">crianças, adolescentes e </w:t>
      </w:r>
      <w:r w:rsidR="00BA230C">
        <w:t xml:space="preserve">adultos </w:t>
      </w:r>
      <w:r w:rsidR="0077020D">
        <w:t xml:space="preserve">jovens </w:t>
      </w:r>
      <w:r w:rsidR="005C2FC3">
        <w:t>(</w:t>
      </w:r>
      <w:r w:rsidR="00970CEB">
        <w:t xml:space="preserve">dos </w:t>
      </w:r>
      <w:r w:rsidR="005C2FC3">
        <w:t>7</w:t>
      </w:r>
      <w:r w:rsidR="00316B4F">
        <w:t> </w:t>
      </w:r>
      <w:r w:rsidR="005C2FC3">
        <w:t xml:space="preserve">meses </w:t>
      </w:r>
      <w:r w:rsidR="00970CEB">
        <w:t xml:space="preserve">aos </w:t>
      </w:r>
      <w:r w:rsidR="00A337F6">
        <w:t>21 anos;</w:t>
      </w:r>
      <w:r w:rsidR="005C2FC3">
        <w:t xml:space="preserve"> </w:t>
      </w:r>
      <w:r w:rsidR="00970CEB">
        <w:t xml:space="preserve">de </w:t>
      </w:r>
      <w:r w:rsidR="00411C71">
        <w:t xml:space="preserve">5,9 </w:t>
      </w:r>
      <w:r w:rsidR="00A337F6">
        <w:t>a</w:t>
      </w:r>
      <w:r w:rsidR="00411C71">
        <w:t xml:space="preserve"> 125</w:t>
      </w:r>
      <w:r w:rsidR="00316B4F">
        <w:t> </w:t>
      </w:r>
      <w:r w:rsidR="00411C71">
        <w:t xml:space="preserve">kg) </w:t>
      </w:r>
      <w:r w:rsidR="00A67B46">
        <w:t>através</w:t>
      </w:r>
      <w:r w:rsidR="00411C71">
        <w:t xml:space="preserve"> de 4 estudos clínicos </w:t>
      </w:r>
      <w:r w:rsidR="00B40A83">
        <w:t xml:space="preserve">utilizando </w:t>
      </w:r>
      <w:r w:rsidR="00B40A83" w:rsidRPr="00A122C7">
        <w:t>um modelo farmacocinético populacional</w:t>
      </w:r>
      <w:r w:rsidRPr="007232E4">
        <w:t xml:space="preserve">. Os </w:t>
      </w:r>
      <w:r w:rsidR="00970CEB">
        <w:t>resultados</w:t>
      </w:r>
      <w:r w:rsidR="00970CEB" w:rsidRPr="007232E4">
        <w:t xml:space="preserve"> </w:t>
      </w:r>
      <w:r w:rsidRPr="007232E4">
        <w:t xml:space="preserve">farmacocinéticos </w:t>
      </w:r>
      <w:r w:rsidR="00970CEB">
        <w:t>mostram</w:t>
      </w:r>
      <w:r w:rsidRPr="007232E4">
        <w:t xml:space="preserve"> que </w:t>
      </w:r>
      <w:r w:rsidR="00970CEB">
        <w:t xml:space="preserve">a depuração e </w:t>
      </w:r>
      <w:r w:rsidRPr="007232E4">
        <w:t>o volume de distribuição d</w:t>
      </w:r>
      <w:r w:rsidR="007534AB">
        <w:t>e</w:t>
      </w:r>
      <w:r w:rsidRPr="007232E4">
        <w:t xml:space="preserve"> bevacizumab foram comparáveis </w:t>
      </w:r>
      <w:r w:rsidR="007534AB">
        <w:t>entre os doentes pediátricos e os doentes adultos</w:t>
      </w:r>
      <w:r w:rsidR="00BA230C">
        <w:t xml:space="preserve"> jovens</w:t>
      </w:r>
      <w:r w:rsidR="007534AB">
        <w:t xml:space="preserve"> quando normalizados pelo peso corporal</w:t>
      </w:r>
      <w:r w:rsidR="00630FB8">
        <w:t>,</w:t>
      </w:r>
      <w:r w:rsidR="000949CE">
        <w:t xml:space="preserve"> </w:t>
      </w:r>
      <w:r w:rsidR="008416C2" w:rsidRPr="00A34357">
        <w:t xml:space="preserve">com </w:t>
      </w:r>
      <w:r w:rsidR="000949CE" w:rsidRPr="000949CE">
        <w:t xml:space="preserve">exposição tendencialmente menor </w:t>
      </w:r>
      <w:r w:rsidR="008416C2" w:rsidRPr="00A34357">
        <w:t xml:space="preserve">à </w:t>
      </w:r>
      <w:r w:rsidR="000949CE" w:rsidRPr="000949CE">
        <w:t xml:space="preserve">medida </w:t>
      </w:r>
      <w:r w:rsidR="008416C2" w:rsidRPr="00A34357">
        <w:t>que o peso corporal diminuiu</w:t>
      </w:r>
      <w:r w:rsidR="007534AB" w:rsidRPr="00A34357">
        <w:t>.</w:t>
      </w:r>
      <w:r w:rsidR="007534AB">
        <w:t xml:space="preserve"> A idade não foi associada </w:t>
      </w:r>
      <w:r w:rsidR="00A122C7">
        <w:t>à</w:t>
      </w:r>
      <w:r w:rsidR="007534AB">
        <w:t xml:space="preserve"> farmacocinética de bevacizumab quando o peso corporal foi tido em consideração.</w:t>
      </w:r>
    </w:p>
    <w:p w14:paraId="60C626B7" w14:textId="77777777" w:rsidR="000949CE" w:rsidRDefault="000949CE"/>
    <w:p w14:paraId="2CC83477" w14:textId="77777777" w:rsidR="00BD2230" w:rsidRPr="00894746" w:rsidRDefault="00BD2230" w:rsidP="00BD2230">
      <w:r>
        <w:t xml:space="preserve">A farmacocinética de bevacizumab foi bem caracterizada pelo modelo farmacocinético para </w:t>
      </w:r>
      <w:r w:rsidR="00BA230C">
        <w:t xml:space="preserve">a </w:t>
      </w:r>
      <w:r>
        <w:t xml:space="preserve">população pediátrica em 70 doentes no estudo BO20924 (dos 1,4 aos 17,6 anos; de 11,6 a 77,5 kg), e em 59 doentes no estudo BO25041 (dos 1 aos 17 anos; de 11,2 a 82,3 kg). No estudo BO20924, </w:t>
      </w:r>
      <w:r w:rsidRPr="00A34357">
        <w:t>a exposição a bevacizumab</w:t>
      </w:r>
      <w:r>
        <w:t xml:space="preserve"> foi geralmente inferior </w:t>
      </w:r>
      <w:r w:rsidR="008E39C7">
        <w:rPr>
          <w:szCs w:val="22"/>
        </w:rPr>
        <w:t>em comparação</w:t>
      </w:r>
      <w:r>
        <w:rPr>
          <w:szCs w:val="22"/>
        </w:rPr>
        <w:t xml:space="preserve"> com um doente adulto típico na mesma dose. </w:t>
      </w:r>
      <w:r>
        <w:t xml:space="preserve">No estudo BO25041, </w:t>
      </w:r>
      <w:r w:rsidRPr="00631E53">
        <w:t>a exposição a bevacizumab</w:t>
      </w:r>
      <w:r>
        <w:t xml:space="preserve"> foi semelhante </w:t>
      </w:r>
      <w:r w:rsidR="008E39C7">
        <w:rPr>
          <w:szCs w:val="22"/>
        </w:rPr>
        <w:t>em comparação</w:t>
      </w:r>
      <w:r>
        <w:rPr>
          <w:szCs w:val="22"/>
        </w:rPr>
        <w:t xml:space="preserve"> com um doente adulto típico na mesma dose. Nos dois estudos, a exposição a bevacizumab foi tendencialmente menor à medida que o peso corporal diminuiu.</w:t>
      </w:r>
    </w:p>
    <w:p w14:paraId="179187FC" w14:textId="77777777" w:rsidR="00400398" w:rsidRPr="00894746" w:rsidRDefault="00400398"/>
    <w:p w14:paraId="451A7E5A" w14:textId="77777777" w:rsidR="00400398" w:rsidRPr="007232E4" w:rsidRDefault="00400398" w:rsidP="009166B7">
      <w:pPr>
        <w:keepNext/>
        <w:keepLines/>
        <w:outlineLvl w:val="0"/>
        <w:rPr>
          <w:b/>
        </w:rPr>
      </w:pPr>
      <w:r w:rsidRPr="007232E4">
        <w:rPr>
          <w:b/>
        </w:rPr>
        <w:lastRenderedPageBreak/>
        <w:t>5.3</w:t>
      </w:r>
      <w:r w:rsidRPr="007232E4">
        <w:rPr>
          <w:b/>
        </w:rPr>
        <w:tab/>
        <w:t>Dados de segurança pré</w:t>
      </w:r>
      <w:r w:rsidRPr="007232E4">
        <w:rPr>
          <w:b/>
        </w:rPr>
        <w:noBreakHyphen/>
        <w:t>clínica</w:t>
      </w:r>
    </w:p>
    <w:p w14:paraId="246E1831" w14:textId="77777777" w:rsidR="00400398" w:rsidRPr="007232E4" w:rsidRDefault="00400398" w:rsidP="009166B7">
      <w:pPr>
        <w:keepNext/>
        <w:keepLines/>
      </w:pPr>
    </w:p>
    <w:p w14:paraId="2EA2CCF2" w14:textId="77777777" w:rsidR="00400398" w:rsidRPr="007232E4" w:rsidRDefault="00400398" w:rsidP="009166B7">
      <w:pPr>
        <w:keepNext/>
        <w:keepLines/>
      </w:pPr>
      <w:r w:rsidRPr="007232E4">
        <w:t>Em estudos com duração até 26 semanas, realizados no macaco cynomolgus, observou</w:t>
      </w:r>
      <w:r w:rsidRPr="007232E4">
        <w:noBreakHyphen/>
        <w:t>se displasia fiseal em animais jovens, com cartilagens epifisárias não encerradas, para concentrações séricas médias de bevacizumab inferiores ao valor médio das concentrações séricas terapêuticas no ser humano. No coelho, o bevacizumab revelou inibir a cicatrização de feridas com doses inferiores à dose clínica proposta. Os efeitos na cicatrização das feridas revelaram ser completamente reversíveis.</w:t>
      </w:r>
    </w:p>
    <w:p w14:paraId="369D1BC8" w14:textId="77777777" w:rsidR="00400398" w:rsidRPr="007232E4" w:rsidRDefault="00400398"/>
    <w:p w14:paraId="443FA684" w14:textId="77777777" w:rsidR="00400398" w:rsidRPr="007232E4" w:rsidRDefault="00400398">
      <w:r w:rsidRPr="007232E4">
        <w:t>Não se realizaram estudos de avaliação do potencial mutagénico e carcinogénico do bevacizumab.</w:t>
      </w:r>
    </w:p>
    <w:p w14:paraId="58E3EE24" w14:textId="77777777" w:rsidR="00400398" w:rsidRPr="007232E4" w:rsidRDefault="00400398"/>
    <w:p w14:paraId="3B33D344" w14:textId="77777777" w:rsidR="00400398" w:rsidRPr="007232E4" w:rsidRDefault="00400398">
      <w:r w:rsidRPr="007232E4">
        <w:t xml:space="preserve">Não se realizaram estudos específicos em animais para avaliação do efeito na fertilidade. No entanto, podem ser esperados efeitos adversos na fertilidade feminina uma vez que os estudos de toxicidade de dose repetida, realizados em animais, mostraram a inibição da maturação dos folículos do ovário e uma diminuição/ausência de corpos lúteos, com a correspondente diminuição do peso dos ovários e útero, bem como da diminuição no número de ciclos menstruais. </w:t>
      </w:r>
    </w:p>
    <w:p w14:paraId="4E3C98AA" w14:textId="77777777" w:rsidR="00400398" w:rsidRPr="007232E4" w:rsidRDefault="00400398"/>
    <w:p w14:paraId="05B99E1C" w14:textId="77777777" w:rsidR="00400398" w:rsidRPr="007232E4" w:rsidRDefault="00400398">
      <w:r w:rsidRPr="007232E4">
        <w:t>O bevacizumab mostrou ser embriotóxico e teratogénico quando administrado em coelhos. Os efeitos observados incluíram diminuição do peso corporal materno e fetal, aumento do número de reabsorções fetais e aumento da incidência de malformações fetais específicas, macroscópicas e a nível do esqueleto. Observaram</w:t>
      </w:r>
      <w:r w:rsidRPr="007232E4">
        <w:noBreakHyphen/>
        <w:t xml:space="preserve">se efeitos adversos nos fetos com qualquer uma das doses testadas. A dose mais baixa testada resultou num valor médio das concentrações séricas aproximadamente 3 vezes maior do que o observado em indivíduos tratados com 5 mg/kg de 2 em 2 semanas. </w:t>
      </w:r>
      <w:r>
        <w:t>Nas secções 4.6 Fertilidade, gravidez e aleitamento e 4.8 Efeitos indesejáveis, é dada informação sobre malformações fetais observadas durante a pós-comercialização.</w:t>
      </w:r>
    </w:p>
    <w:p w14:paraId="3CF33E50" w14:textId="77777777" w:rsidR="00400398" w:rsidRPr="007232E4" w:rsidRDefault="00400398"/>
    <w:p w14:paraId="5AAA47FF" w14:textId="77777777" w:rsidR="00400398" w:rsidRPr="007232E4" w:rsidRDefault="00400398"/>
    <w:p w14:paraId="5198DFAC" w14:textId="77777777" w:rsidR="00400398" w:rsidRPr="007232E4" w:rsidRDefault="00400398" w:rsidP="000E634D">
      <w:pPr>
        <w:rPr>
          <w:b/>
        </w:rPr>
      </w:pPr>
      <w:r w:rsidRPr="007232E4">
        <w:rPr>
          <w:b/>
        </w:rPr>
        <w:t>6.</w:t>
      </w:r>
      <w:r w:rsidRPr="007232E4">
        <w:rPr>
          <w:b/>
        </w:rPr>
        <w:tab/>
        <w:t>INFORMAÇÕES FARMACÊUTICAS</w:t>
      </w:r>
    </w:p>
    <w:p w14:paraId="70C9A1BF" w14:textId="77777777" w:rsidR="00400398" w:rsidRPr="007232E4" w:rsidRDefault="00400398" w:rsidP="000E634D"/>
    <w:p w14:paraId="024F1B8B" w14:textId="77777777" w:rsidR="00400398" w:rsidRPr="007232E4" w:rsidRDefault="00400398" w:rsidP="000E634D">
      <w:pPr>
        <w:outlineLvl w:val="0"/>
        <w:rPr>
          <w:b/>
        </w:rPr>
      </w:pPr>
      <w:r w:rsidRPr="007232E4">
        <w:rPr>
          <w:b/>
        </w:rPr>
        <w:t>6.1</w:t>
      </w:r>
      <w:r w:rsidRPr="007232E4">
        <w:rPr>
          <w:b/>
        </w:rPr>
        <w:tab/>
        <w:t>Lista dos excipientes</w:t>
      </w:r>
    </w:p>
    <w:p w14:paraId="2FE0606A" w14:textId="77777777" w:rsidR="00400398" w:rsidRPr="007232E4" w:rsidRDefault="00400398" w:rsidP="000E634D"/>
    <w:p w14:paraId="4DDF8FD6" w14:textId="77777777" w:rsidR="00400398" w:rsidRPr="007232E4" w:rsidRDefault="00400398" w:rsidP="000E634D">
      <w:pPr>
        <w:outlineLvl w:val="0"/>
      </w:pPr>
      <w:r w:rsidRPr="007232E4">
        <w:t>Trealose di-hidratada</w:t>
      </w:r>
    </w:p>
    <w:p w14:paraId="149DE09B" w14:textId="77777777" w:rsidR="00400398" w:rsidRDefault="00FF0662" w:rsidP="000E634D">
      <w:r>
        <w:t>Acet</w:t>
      </w:r>
      <w:r w:rsidRPr="007232E4">
        <w:t xml:space="preserve">ato </w:t>
      </w:r>
      <w:r w:rsidR="00400398" w:rsidRPr="007232E4">
        <w:t>de sódio</w:t>
      </w:r>
      <w:r>
        <w:t xml:space="preserve"> tri-hidratado</w:t>
      </w:r>
    </w:p>
    <w:p w14:paraId="07BE6850" w14:textId="77777777" w:rsidR="00FF0662" w:rsidRPr="007232E4" w:rsidRDefault="00FF0662" w:rsidP="000E634D">
      <w:r>
        <w:t>Ácido acético</w:t>
      </w:r>
    </w:p>
    <w:p w14:paraId="2EB47BE9" w14:textId="7CE5F9AA" w:rsidR="00400398" w:rsidRPr="007232E4" w:rsidRDefault="00400398" w:rsidP="000E634D">
      <w:r w:rsidRPr="007232E4">
        <w:t>Polissorbato 20</w:t>
      </w:r>
      <w:r w:rsidR="00F36D72">
        <w:t xml:space="preserve"> </w:t>
      </w:r>
      <w:bookmarkStart w:id="6" w:name="_Hlk201047286"/>
      <w:r w:rsidR="00F36D72">
        <w:t>(E 432)</w:t>
      </w:r>
      <w:bookmarkEnd w:id="6"/>
    </w:p>
    <w:p w14:paraId="5D0271FC" w14:textId="77777777" w:rsidR="00400398" w:rsidRPr="007232E4" w:rsidRDefault="00400398" w:rsidP="000E634D">
      <w:r w:rsidRPr="007232E4">
        <w:t>Água para preparações injetáveis</w:t>
      </w:r>
    </w:p>
    <w:p w14:paraId="41DBB04E" w14:textId="77777777" w:rsidR="00400398" w:rsidRPr="007232E4" w:rsidRDefault="00400398" w:rsidP="000E634D"/>
    <w:p w14:paraId="24077F6C" w14:textId="77777777" w:rsidR="00400398" w:rsidRDefault="00400398">
      <w:pPr>
        <w:keepNext/>
        <w:keepLines/>
        <w:outlineLvl w:val="0"/>
        <w:rPr>
          <w:b/>
        </w:rPr>
      </w:pPr>
      <w:r w:rsidRPr="007232E4">
        <w:rPr>
          <w:b/>
        </w:rPr>
        <w:t>6.2</w:t>
      </w:r>
      <w:r w:rsidRPr="007232E4">
        <w:rPr>
          <w:b/>
        </w:rPr>
        <w:tab/>
        <w:t>Incompatibilidades</w:t>
      </w:r>
    </w:p>
    <w:p w14:paraId="4EB018F7" w14:textId="77777777" w:rsidR="00400398" w:rsidRDefault="00400398">
      <w:pPr>
        <w:keepNext/>
        <w:keepLines/>
      </w:pPr>
    </w:p>
    <w:p w14:paraId="54BAA78D" w14:textId="77777777" w:rsidR="00400398" w:rsidRPr="007232E4" w:rsidRDefault="00400398">
      <w:pPr>
        <w:rPr>
          <w:bCs/>
          <w:iCs/>
        </w:rPr>
      </w:pPr>
      <w:r w:rsidRPr="007232E4">
        <w:rPr>
          <w:bCs/>
          <w:iCs/>
        </w:rPr>
        <w:t xml:space="preserve">Este medicamento não </w:t>
      </w:r>
      <w:r w:rsidR="00B94FF3">
        <w:rPr>
          <w:bCs/>
          <w:iCs/>
        </w:rPr>
        <w:t>pode</w:t>
      </w:r>
      <w:r w:rsidRPr="007232E4">
        <w:rPr>
          <w:bCs/>
          <w:iCs/>
        </w:rPr>
        <w:t xml:space="preserve"> ser misturado com outros medicamentos, exceto os mencionados na secção 6.6.</w:t>
      </w:r>
    </w:p>
    <w:p w14:paraId="17BAB4AD" w14:textId="77777777" w:rsidR="00400398" w:rsidRPr="007232E4" w:rsidRDefault="00400398">
      <w:pPr>
        <w:rPr>
          <w:bCs/>
          <w:iCs/>
        </w:rPr>
      </w:pPr>
    </w:p>
    <w:p w14:paraId="70B20C43" w14:textId="77777777" w:rsidR="00400398" w:rsidRPr="007232E4" w:rsidRDefault="00400398">
      <w:r w:rsidRPr="007232E4">
        <w:t>Observou</w:t>
      </w:r>
      <w:r w:rsidRPr="007232E4">
        <w:noBreakHyphen/>
        <w:t xml:space="preserve">se um perfil de degradação do bevacizumab, dependente da concentração, quando este foi diluído com soluções de glucose (5%). </w:t>
      </w:r>
    </w:p>
    <w:p w14:paraId="798D681D" w14:textId="77777777" w:rsidR="00400398" w:rsidRPr="007232E4" w:rsidRDefault="00400398"/>
    <w:p w14:paraId="40E01174" w14:textId="77777777" w:rsidR="00400398" w:rsidRPr="007232E4" w:rsidRDefault="00400398">
      <w:pPr>
        <w:outlineLvl w:val="0"/>
        <w:rPr>
          <w:b/>
        </w:rPr>
      </w:pPr>
      <w:r w:rsidRPr="007232E4">
        <w:rPr>
          <w:b/>
        </w:rPr>
        <w:t>6.3</w:t>
      </w:r>
      <w:r w:rsidRPr="007232E4">
        <w:rPr>
          <w:b/>
        </w:rPr>
        <w:tab/>
        <w:t>Prazo de validade</w:t>
      </w:r>
    </w:p>
    <w:p w14:paraId="6F0A5EC9" w14:textId="77777777" w:rsidR="00400398" w:rsidRPr="007232E4" w:rsidRDefault="00400398"/>
    <w:p w14:paraId="7BE34871" w14:textId="77777777" w:rsidR="00400398" w:rsidRPr="007232E4" w:rsidRDefault="00400398" w:rsidP="00F801E3">
      <w:pPr>
        <w:keepNext/>
        <w:keepLines/>
        <w:rPr>
          <w:u w:val="single"/>
        </w:rPr>
      </w:pPr>
      <w:r w:rsidRPr="007232E4">
        <w:rPr>
          <w:u w:val="single"/>
        </w:rPr>
        <w:t xml:space="preserve">Frasco para injetáveis </w:t>
      </w:r>
      <w:r w:rsidR="00171A40">
        <w:rPr>
          <w:u w:val="single"/>
        </w:rPr>
        <w:t>antes da abertura</w:t>
      </w:r>
    </w:p>
    <w:p w14:paraId="595F07F7" w14:textId="77777777" w:rsidR="00400398" w:rsidRPr="007232E4" w:rsidRDefault="00400398" w:rsidP="00F801E3">
      <w:pPr>
        <w:keepNext/>
        <w:keepLines/>
        <w:rPr>
          <w:u w:val="single"/>
        </w:rPr>
      </w:pPr>
    </w:p>
    <w:p w14:paraId="2DC184BE" w14:textId="5429443E" w:rsidR="00400398" w:rsidRDefault="00FF0662">
      <w:del w:id="7" w:author="Author">
        <w:r w:rsidDel="00CB0F73">
          <w:delText>3</w:delText>
        </w:r>
      </w:del>
      <w:ins w:id="8" w:author="Author">
        <w:r w:rsidR="00CB0F73">
          <w:t>4</w:t>
        </w:r>
      </w:ins>
      <w:bookmarkStart w:id="9" w:name="_GoBack"/>
      <w:bookmarkEnd w:id="9"/>
      <w:r>
        <w:t> </w:t>
      </w:r>
      <w:r w:rsidR="00400398" w:rsidRPr="007232E4">
        <w:t>anos</w:t>
      </w:r>
    </w:p>
    <w:p w14:paraId="740E4A15" w14:textId="77777777" w:rsidR="00EC4C19" w:rsidRDefault="00EC4C19"/>
    <w:p w14:paraId="633CF865" w14:textId="77777777" w:rsidR="00EC4C19" w:rsidRPr="007232E4" w:rsidRDefault="00EC4C19">
      <w:r>
        <w:t>O frasco para injetáveis por abrir pode se</w:t>
      </w:r>
      <w:r w:rsidR="008146FD">
        <w:t xml:space="preserve">r conservado a temperaturas </w:t>
      </w:r>
      <w:r>
        <w:t xml:space="preserve">não </w:t>
      </w:r>
      <w:r w:rsidR="008146FD">
        <w:t>sup</w:t>
      </w:r>
      <w:r>
        <w:t>e</w:t>
      </w:r>
      <w:r w:rsidR="008146FD">
        <w:t>rior</w:t>
      </w:r>
      <w:r>
        <w:t>e</w:t>
      </w:r>
      <w:r w:rsidR="008146FD">
        <w:t>s a</w:t>
      </w:r>
      <w:r>
        <w:t xml:space="preserve"> 30</w:t>
      </w:r>
      <w:r>
        <w:rPr>
          <w:spacing w:val="-2"/>
        </w:rPr>
        <w:t>°</w:t>
      </w:r>
      <w:r>
        <w:rPr>
          <w:spacing w:val="-1"/>
        </w:rPr>
        <w:t xml:space="preserve">C durante um máximo de 35 dias. O frasco para injetáveis tem de ser eliminado se não for utilizado no período de 35 dias depois de </w:t>
      </w:r>
      <w:r w:rsidR="008B3CC3">
        <w:rPr>
          <w:spacing w:val="-1"/>
        </w:rPr>
        <w:t>ter sido</w:t>
      </w:r>
      <w:r>
        <w:rPr>
          <w:spacing w:val="-1"/>
        </w:rPr>
        <w:t xml:space="preserve"> retirado da conservação refrigerada</w:t>
      </w:r>
      <w:r w:rsidR="008146FD">
        <w:rPr>
          <w:spacing w:val="-1"/>
        </w:rPr>
        <w:t>, mesmo s</w:t>
      </w:r>
      <w:r>
        <w:rPr>
          <w:spacing w:val="-1"/>
        </w:rPr>
        <w:t xml:space="preserve">e </w:t>
      </w:r>
      <w:r w:rsidR="00760789">
        <w:rPr>
          <w:rFonts w:hint="eastAsia"/>
          <w:spacing w:val="-1"/>
          <w:lang w:eastAsia="ko-KR"/>
        </w:rPr>
        <w:t>t</w:t>
      </w:r>
      <w:r w:rsidR="00760789">
        <w:rPr>
          <w:spacing w:val="-1"/>
          <w:lang w:eastAsia="ko-KR"/>
        </w:rPr>
        <w:t xml:space="preserve">iver </w:t>
      </w:r>
      <w:r>
        <w:rPr>
          <w:spacing w:val="-1"/>
        </w:rPr>
        <w:t>volta</w:t>
      </w:r>
      <w:r w:rsidR="00760789">
        <w:rPr>
          <w:spacing w:val="-1"/>
        </w:rPr>
        <w:t>dor</w:t>
      </w:r>
      <w:r>
        <w:rPr>
          <w:spacing w:val="-1"/>
        </w:rPr>
        <w:t xml:space="preserve"> a ser </w:t>
      </w:r>
      <w:r w:rsidR="00760789">
        <w:rPr>
          <w:spacing w:val="-1"/>
        </w:rPr>
        <w:t>colocado no frigorífico durante esse período</w:t>
      </w:r>
      <w:r>
        <w:rPr>
          <w:spacing w:val="-1"/>
        </w:rPr>
        <w:t>.</w:t>
      </w:r>
    </w:p>
    <w:p w14:paraId="351222C5" w14:textId="77777777" w:rsidR="00400398" w:rsidRPr="007232E4" w:rsidRDefault="00400398"/>
    <w:p w14:paraId="13CC9E82" w14:textId="77777777" w:rsidR="00400398" w:rsidRPr="007232E4" w:rsidRDefault="00400398" w:rsidP="00F801E3">
      <w:pPr>
        <w:keepNext/>
        <w:keepLines/>
        <w:rPr>
          <w:u w:val="single"/>
        </w:rPr>
      </w:pPr>
      <w:r w:rsidRPr="007232E4">
        <w:rPr>
          <w:u w:val="single"/>
        </w:rPr>
        <w:lastRenderedPageBreak/>
        <w:t>Medicamento diluído</w:t>
      </w:r>
    </w:p>
    <w:p w14:paraId="2BE9AAE2" w14:textId="77777777" w:rsidR="00400398" w:rsidRPr="007232E4" w:rsidRDefault="00400398" w:rsidP="00F801E3">
      <w:pPr>
        <w:keepNext/>
        <w:keepLines/>
        <w:rPr>
          <w:u w:val="single"/>
        </w:rPr>
      </w:pPr>
    </w:p>
    <w:p w14:paraId="3E4D68C8" w14:textId="77777777" w:rsidR="00400398" w:rsidRPr="007232E4" w:rsidRDefault="00400398">
      <w:r w:rsidRPr="00FC31B0">
        <w:t xml:space="preserve">A estabilidade química e física durante a utilização foi demonstrada durante </w:t>
      </w:r>
      <w:r w:rsidR="00EC4C19">
        <w:t xml:space="preserve">um máximo de </w:t>
      </w:r>
      <w:r w:rsidR="00FC26E9" w:rsidRPr="00FC31B0">
        <w:rPr>
          <w:szCs w:val="22"/>
        </w:rPr>
        <w:t>4</w:t>
      </w:r>
      <w:r w:rsidR="00EC4C19">
        <w:rPr>
          <w:szCs w:val="22"/>
        </w:rPr>
        <w:t xml:space="preserve">5 dias entre </w:t>
      </w:r>
      <w:r w:rsidR="00EC4C19">
        <w:t>2</w:t>
      </w:r>
      <w:r w:rsidR="00EC4C19">
        <w:rPr>
          <w:spacing w:val="-2"/>
        </w:rPr>
        <w:t>°</w:t>
      </w:r>
      <w:r w:rsidR="00EC4C19">
        <w:t>C</w:t>
      </w:r>
      <w:r w:rsidR="00EC4C19">
        <w:rPr>
          <w:spacing w:val="-1"/>
        </w:rPr>
        <w:t xml:space="preserve"> </w:t>
      </w:r>
      <w:r w:rsidR="008157C1">
        <w:rPr>
          <w:spacing w:val="-1"/>
        </w:rPr>
        <w:t>e</w:t>
      </w:r>
      <w:r w:rsidR="00EC4C19">
        <w:t xml:space="preserve"> 8</w:t>
      </w:r>
      <w:r w:rsidR="00EC4C19">
        <w:rPr>
          <w:spacing w:val="-2"/>
        </w:rPr>
        <w:t>°</w:t>
      </w:r>
      <w:r w:rsidR="00EC4C19">
        <w:rPr>
          <w:spacing w:val="-1"/>
        </w:rPr>
        <w:t>C, mais</w:t>
      </w:r>
      <w:r w:rsidR="00EC4C19" w:rsidRPr="00FC31B0">
        <w:rPr>
          <w:szCs w:val="22"/>
        </w:rPr>
        <w:t xml:space="preserve"> </w:t>
      </w:r>
      <w:r w:rsidR="00EC4C19">
        <w:rPr>
          <w:szCs w:val="22"/>
        </w:rPr>
        <w:t>72 </w:t>
      </w:r>
      <w:r w:rsidR="00FC26E9" w:rsidRPr="00A56411">
        <w:rPr>
          <w:szCs w:val="22"/>
        </w:rPr>
        <w:t xml:space="preserve">horas </w:t>
      </w:r>
      <w:r w:rsidR="00EC4C19">
        <w:rPr>
          <w:szCs w:val="22"/>
        </w:rPr>
        <w:t xml:space="preserve">adicionais </w:t>
      </w:r>
      <w:r w:rsidR="00FC26E9" w:rsidRPr="00A56411">
        <w:t xml:space="preserve">a </w:t>
      </w:r>
      <w:r w:rsidR="00EC4C19">
        <w:t xml:space="preserve">temperaturas não superiores a </w:t>
      </w:r>
      <w:r w:rsidR="00FC26E9" w:rsidRPr="00A56411">
        <w:t>30°C</w:t>
      </w:r>
      <w:r w:rsidR="00DB6982" w:rsidRPr="00FC31B0">
        <w:t xml:space="preserve">, </w:t>
      </w:r>
      <w:r w:rsidRPr="00A56411">
        <w:t>em solução</w:t>
      </w:r>
      <w:r w:rsidR="007B5884" w:rsidRPr="00A56411">
        <w:t xml:space="preserve"> para </w:t>
      </w:r>
      <w:r w:rsidRPr="00A56411">
        <w:t>injetáve</w:t>
      </w:r>
      <w:r w:rsidR="007B5884" w:rsidRPr="00A56411">
        <w:t>is</w:t>
      </w:r>
      <w:r w:rsidRPr="00A56411">
        <w:t xml:space="preserve"> de cloreto de sódio </w:t>
      </w:r>
      <w:r w:rsidR="009D62DA" w:rsidRPr="00A56411">
        <w:t>9 mg/ml (</w:t>
      </w:r>
      <w:r w:rsidRPr="00FC31B0">
        <w:t>0,9%</w:t>
      </w:r>
      <w:r w:rsidR="009D62DA" w:rsidRPr="00A56411">
        <w:t>)</w:t>
      </w:r>
      <w:r w:rsidRPr="00FC31B0">
        <w:t>. Do ponto de vista microbiológico, o produto deve ser utilizado imediatamente. Se não for utilizado</w:t>
      </w:r>
      <w:r w:rsidRPr="00A56411">
        <w:t xml:space="preserve"> imediatamente, a duração e as condições de </w:t>
      </w:r>
      <w:r w:rsidR="00587763" w:rsidRPr="00A56411">
        <w:t xml:space="preserve">conservação </w:t>
      </w:r>
      <w:r w:rsidRPr="00A56411">
        <w:t>após a preparação são da responsabilidade do utilizador, não devendo ser superiores a 24 horas a 2°C</w:t>
      </w:r>
      <w:r w:rsidRPr="00A56411">
        <w:noBreakHyphen/>
        <w:t>8°C, exceto se a diluição ocorrer em condições de assepsia, controladas e validadas.</w:t>
      </w:r>
    </w:p>
    <w:p w14:paraId="3AB9A1D7" w14:textId="77777777" w:rsidR="00400398" w:rsidRPr="007232E4" w:rsidRDefault="00400398"/>
    <w:p w14:paraId="7E827F22" w14:textId="77777777" w:rsidR="00400398" w:rsidRPr="007232E4" w:rsidRDefault="00400398" w:rsidP="00A73A88">
      <w:pPr>
        <w:keepNext/>
        <w:keepLines/>
        <w:outlineLvl w:val="0"/>
        <w:rPr>
          <w:b/>
        </w:rPr>
      </w:pPr>
      <w:r w:rsidRPr="007232E4">
        <w:rPr>
          <w:b/>
        </w:rPr>
        <w:t>6.4</w:t>
      </w:r>
      <w:r w:rsidRPr="007232E4">
        <w:rPr>
          <w:b/>
        </w:rPr>
        <w:tab/>
        <w:t>Precauções especiais de conservação</w:t>
      </w:r>
    </w:p>
    <w:p w14:paraId="6F5426DF" w14:textId="77777777" w:rsidR="00400398" w:rsidRPr="007232E4" w:rsidRDefault="00400398" w:rsidP="00A73A88">
      <w:pPr>
        <w:keepNext/>
        <w:keepLines/>
      </w:pPr>
    </w:p>
    <w:p w14:paraId="0A642C08" w14:textId="77777777" w:rsidR="00400398" w:rsidRPr="007232E4" w:rsidRDefault="00400398" w:rsidP="00A73A88">
      <w:pPr>
        <w:keepNext/>
        <w:keepLines/>
      </w:pPr>
      <w:r w:rsidRPr="007232E4">
        <w:t>Conservar no frigorífico (2°C</w:t>
      </w:r>
      <w:r w:rsidRPr="007232E4">
        <w:noBreakHyphen/>
        <w:t>8°C)</w:t>
      </w:r>
    </w:p>
    <w:p w14:paraId="3FF9DB7D" w14:textId="77777777" w:rsidR="00400398" w:rsidRPr="007232E4" w:rsidRDefault="00400398">
      <w:r w:rsidRPr="007232E4">
        <w:t xml:space="preserve">Não congelar. </w:t>
      </w:r>
    </w:p>
    <w:p w14:paraId="6F66272B" w14:textId="77777777" w:rsidR="00400398" w:rsidRPr="007232E4" w:rsidRDefault="00400398">
      <w:r w:rsidRPr="007232E4">
        <w:t>Manter o frasco para injetáveis dentro da embalagem exterior para proteger da luz.</w:t>
      </w:r>
    </w:p>
    <w:p w14:paraId="3CF997E1" w14:textId="77777777" w:rsidR="00400398" w:rsidRDefault="00400398"/>
    <w:p w14:paraId="4E4464EF" w14:textId="77777777" w:rsidR="00EC4C19" w:rsidRDefault="00EC4C19">
      <w:r w:rsidRPr="007232E4">
        <w:t>Condições de conservação do</w:t>
      </w:r>
      <w:r>
        <w:t xml:space="preserve"> frasco para injetáveis </w:t>
      </w:r>
      <w:r w:rsidR="008157C1">
        <w:t>por abrir</w:t>
      </w:r>
      <w:r>
        <w:t xml:space="preserve"> </w:t>
      </w:r>
      <w:r w:rsidR="00760789">
        <w:t>fora do frigorífico</w:t>
      </w:r>
      <w:r w:rsidRPr="00FC31B0">
        <w:t>,</w:t>
      </w:r>
      <w:r>
        <w:t xml:space="preserve"> ver secção 6.3.</w:t>
      </w:r>
    </w:p>
    <w:p w14:paraId="30E108A1" w14:textId="77777777" w:rsidR="00EC4C19" w:rsidRPr="007232E4" w:rsidRDefault="00EC4C19"/>
    <w:p w14:paraId="4414E03B" w14:textId="77777777" w:rsidR="00400398" w:rsidRPr="007232E4" w:rsidRDefault="00400398">
      <w:r w:rsidRPr="007232E4">
        <w:t>Condições de conservação do medicamento após diluição, ver secção 6.3.</w:t>
      </w:r>
    </w:p>
    <w:p w14:paraId="6FEB05CE" w14:textId="77777777" w:rsidR="00400398" w:rsidRPr="007232E4" w:rsidRDefault="00400398"/>
    <w:p w14:paraId="264AAFE4" w14:textId="77777777" w:rsidR="00400398" w:rsidRPr="007232E4" w:rsidRDefault="00400398">
      <w:pPr>
        <w:outlineLvl w:val="0"/>
        <w:rPr>
          <w:b/>
        </w:rPr>
      </w:pPr>
      <w:r w:rsidRPr="007232E4">
        <w:rPr>
          <w:b/>
        </w:rPr>
        <w:t>6.5</w:t>
      </w:r>
      <w:r w:rsidRPr="007232E4">
        <w:rPr>
          <w:b/>
        </w:rPr>
        <w:tab/>
        <w:t>Natureza e conteúdo do recipiente</w:t>
      </w:r>
    </w:p>
    <w:p w14:paraId="1A4A81A4" w14:textId="77777777" w:rsidR="00400398" w:rsidRPr="007232E4" w:rsidRDefault="00400398"/>
    <w:p w14:paraId="375C32D1" w14:textId="77777777" w:rsidR="00400398" w:rsidRPr="007232E4" w:rsidRDefault="00400398">
      <w:r w:rsidRPr="007232E4">
        <w:t>4 ml de solução num frasco para injetáveis (vidro Tipo I) com tampa (borracha butílica), contendo 100 mg de bevacizumab. 16 ml de solução num frasco para injetáveis (vidro Tipo I) com tampa (borracha butílica), contendo 400 mg de bevacizumab.</w:t>
      </w:r>
    </w:p>
    <w:p w14:paraId="67164547" w14:textId="77777777" w:rsidR="00400398" w:rsidRPr="007232E4" w:rsidRDefault="00400398">
      <w:pPr>
        <w:outlineLvl w:val="0"/>
      </w:pPr>
      <w:r w:rsidRPr="007232E4">
        <w:t>Embalagens de 1 frasco</w:t>
      </w:r>
      <w:r w:rsidR="00E27971">
        <w:t xml:space="preserve"> para injetáveis</w:t>
      </w:r>
      <w:r w:rsidRPr="007232E4">
        <w:t>.</w:t>
      </w:r>
    </w:p>
    <w:p w14:paraId="5C6CAE53" w14:textId="77777777" w:rsidR="00400398" w:rsidRPr="007232E4" w:rsidRDefault="00400398"/>
    <w:p w14:paraId="506897D1" w14:textId="77777777" w:rsidR="00400398" w:rsidRPr="007232E4" w:rsidRDefault="00400398" w:rsidP="00EA76D9">
      <w:pPr>
        <w:keepNext/>
        <w:keepLines/>
        <w:outlineLvl w:val="0"/>
        <w:rPr>
          <w:b/>
        </w:rPr>
      </w:pPr>
      <w:r w:rsidRPr="007232E4">
        <w:rPr>
          <w:b/>
        </w:rPr>
        <w:t>6.6</w:t>
      </w:r>
      <w:r w:rsidRPr="007232E4">
        <w:rPr>
          <w:b/>
        </w:rPr>
        <w:tab/>
        <w:t>Precauções especiais de eliminação e manuseamento</w:t>
      </w:r>
    </w:p>
    <w:p w14:paraId="57951BD2" w14:textId="77777777" w:rsidR="00400398" w:rsidRPr="007232E4" w:rsidRDefault="00400398"/>
    <w:p w14:paraId="0E591A8A" w14:textId="77777777" w:rsidR="00C03411" w:rsidRDefault="00C03411">
      <w:r>
        <w:t>Não agitar o frasco para injetáveis.</w:t>
      </w:r>
    </w:p>
    <w:p w14:paraId="0B5BCC0B" w14:textId="77777777" w:rsidR="00C03411" w:rsidRDefault="00C03411"/>
    <w:p w14:paraId="5BAF8667" w14:textId="77777777" w:rsidR="00400398" w:rsidRPr="007232E4" w:rsidRDefault="00FF0662">
      <w:r>
        <w:t xml:space="preserve">Aybintio </w:t>
      </w:r>
      <w:r w:rsidR="00400398" w:rsidRPr="007232E4">
        <w:t>deve ser preparado por um profissional de saúde, por meio de técnica assética, para assegurar a esterilidade da solução preparada.</w:t>
      </w:r>
      <w:r w:rsidR="000E3055">
        <w:t xml:space="preserve"> Deve utilizar-se uma agulha e seringa estéreis para preparar Aybintio.</w:t>
      </w:r>
    </w:p>
    <w:p w14:paraId="77C41766" w14:textId="77777777" w:rsidR="00400398" w:rsidRPr="007232E4" w:rsidRDefault="00400398"/>
    <w:p w14:paraId="38C2992B" w14:textId="77777777" w:rsidR="00400398" w:rsidRPr="007232E4" w:rsidRDefault="00400398" w:rsidP="007232E4">
      <w:r w:rsidRPr="007232E4">
        <w:t>A quantidade necessária de bevacizumab deve ser retirada e diluída até ao volume de administração necessário com solução injetável de cloreto de sódio 9 mg/ml (0,9%). A concentração final da solução de bevacizumab deve ser mantida dentro do intervalo 1,4 mg/ml a16,5 mg/ml.</w:t>
      </w:r>
      <w:r>
        <w:t xml:space="preserve"> Na maioria dos casos, a quantidade necessária de </w:t>
      </w:r>
      <w:r w:rsidR="00FF0662">
        <w:t xml:space="preserve">Aybintio </w:t>
      </w:r>
      <w:r>
        <w:t>pode ser diluída com solução de cloreto de sódio a 0,9% para injeção num volume total de 100 ml.</w:t>
      </w:r>
    </w:p>
    <w:p w14:paraId="1C7ADCDE" w14:textId="77777777" w:rsidR="00400398" w:rsidRPr="007232E4" w:rsidRDefault="00400398"/>
    <w:p w14:paraId="3077E6BF" w14:textId="77777777" w:rsidR="00400398" w:rsidRPr="007232E4" w:rsidRDefault="00400398">
      <w:r w:rsidRPr="007232E4">
        <w:t xml:space="preserve">Antes da administração, os medicamentos para administração parentérica devem ser inspecionados visualmente quanto à presença de partículas ou coloração. </w:t>
      </w:r>
    </w:p>
    <w:p w14:paraId="02DC0CC6" w14:textId="77777777" w:rsidR="00E27971" w:rsidRDefault="00E27971"/>
    <w:p w14:paraId="4EE2C42C" w14:textId="77777777" w:rsidR="00400398" w:rsidRPr="007232E4" w:rsidRDefault="00400398">
      <w:r w:rsidRPr="007232E4">
        <w:t xml:space="preserve">Não foram observadas incompatibilidades entre </w:t>
      </w:r>
      <w:r w:rsidR="00FF0662">
        <w:t>Aybintio</w:t>
      </w:r>
      <w:r w:rsidR="00FF0662" w:rsidRPr="007232E4">
        <w:t xml:space="preserve"> </w:t>
      </w:r>
      <w:r w:rsidRPr="007232E4">
        <w:t>e sacos ou dispositivos de perfusão de cloreto de polivinilo ou poliolefine.</w:t>
      </w:r>
    </w:p>
    <w:p w14:paraId="6C8CA752" w14:textId="77777777" w:rsidR="00400398" w:rsidRPr="007232E4" w:rsidRDefault="00400398"/>
    <w:p w14:paraId="6AFBF5BD" w14:textId="77777777" w:rsidR="00400398" w:rsidRPr="007232E4" w:rsidRDefault="00FF0662" w:rsidP="000E7494">
      <w:r>
        <w:t>Aybintio</w:t>
      </w:r>
      <w:r w:rsidRPr="007232E4">
        <w:t xml:space="preserve"> </w:t>
      </w:r>
      <w:r w:rsidR="00400398" w:rsidRPr="007232E4">
        <w:t>é para utilização única, dado que o medicamento não contém conservantes. Qualquer medicamento não utilizado ou resíduos devem ser eliminados de acordo com as exigências locais.</w:t>
      </w:r>
    </w:p>
    <w:p w14:paraId="5F0F44BA" w14:textId="77777777" w:rsidR="00400398" w:rsidRPr="007232E4" w:rsidRDefault="00400398" w:rsidP="000E7494"/>
    <w:p w14:paraId="67CC7127" w14:textId="77777777" w:rsidR="00400398" w:rsidRPr="007232E4" w:rsidRDefault="00400398"/>
    <w:p w14:paraId="291DE05A" w14:textId="77777777" w:rsidR="00400398" w:rsidRPr="007232E4" w:rsidRDefault="00400398">
      <w:pPr>
        <w:keepNext/>
        <w:keepLines/>
        <w:rPr>
          <w:b/>
        </w:rPr>
      </w:pPr>
      <w:r w:rsidRPr="007232E4">
        <w:rPr>
          <w:b/>
        </w:rPr>
        <w:t>7.</w:t>
      </w:r>
      <w:r w:rsidRPr="007232E4">
        <w:rPr>
          <w:b/>
        </w:rPr>
        <w:tab/>
        <w:t>TITULAR DA AUTORIZAÇÃO DE INTRODUÇÃO NO MERCADO</w:t>
      </w:r>
    </w:p>
    <w:p w14:paraId="7A34A7D8" w14:textId="77777777" w:rsidR="00400398" w:rsidRPr="007232E4" w:rsidRDefault="00400398">
      <w:pPr>
        <w:keepNext/>
        <w:keepLines/>
      </w:pPr>
    </w:p>
    <w:p w14:paraId="511810CA" w14:textId="77777777" w:rsidR="00CF4B1B" w:rsidRPr="00B64E29" w:rsidRDefault="00CF4B1B" w:rsidP="00CF4B1B">
      <w:pPr>
        <w:rPr>
          <w:lang w:val="en-US"/>
        </w:rPr>
      </w:pPr>
      <w:r w:rsidRPr="00B64E29">
        <w:rPr>
          <w:rFonts w:hint="eastAsia"/>
          <w:spacing w:val="-1"/>
          <w:lang w:val="en-US" w:eastAsia="ko-KR"/>
        </w:rPr>
        <w:t xml:space="preserve">Samsung Bioepis </w:t>
      </w:r>
      <w:r w:rsidRPr="00B64E29">
        <w:rPr>
          <w:spacing w:val="-1"/>
          <w:lang w:val="en-US" w:eastAsia="ko-KR"/>
        </w:rPr>
        <w:t>NL B.V.</w:t>
      </w:r>
    </w:p>
    <w:p w14:paraId="2348F106" w14:textId="77777777" w:rsidR="00CF4B1B" w:rsidRPr="009E7BE5" w:rsidRDefault="00CF4B1B" w:rsidP="00CF4B1B">
      <w:r w:rsidRPr="009E7BE5">
        <w:t>Olof Palmestraat 10</w:t>
      </w:r>
    </w:p>
    <w:p w14:paraId="40532C46" w14:textId="77777777" w:rsidR="00CF4B1B" w:rsidRPr="0058485B" w:rsidRDefault="00CF4B1B" w:rsidP="00CF4B1B">
      <w:r w:rsidRPr="0058485B">
        <w:t>2616 LR Delft</w:t>
      </w:r>
    </w:p>
    <w:p w14:paraId="51D66301" w14:textId="77777777" w:rsidR="00CF4B1B" w:rsidRPr="00472DFE" w:rsidRDefault="00CF4B1B" w:rsidP="00CF4B1B">
      <w:r w:rsidRPr="00472DFE">
        <w:t>Países Baixos</w:t>
      </w:r>
    </w:p>
    <w:p w14:paraId="28A0F495" w14:textId="77777777" w:rsidR="00400398" w:rsidRDefault="00B64E43">
      <w:hyperlink r:id="rId14" w:history="1">
        <w:r w:rsidR="00760789" w:rsidRPr="008A55C9">
          <w:rPr>
            <w:rStyle w:val="Hyperlink"/>
          </w:rPr>
          <w:t>bioepis.mi@medinformation.co.uk</w:t>
        </w:r>
      </w:hyperlink>
    </w:p>
    <w:p w14:paraId="41D3BC17" w14:textId="77777777" w:rsidR="00760789" w:rsidRPr="00B64E29" w:rsidRDefault="00760789">
      <w:pPr>
        <w:rPr>
          <w:rFonts w:eastAsia="Yu Mincho"/>
          <w:noProof/>
        </w:rPr>
      </w:pPr>
    </w:p>
    <w:p w14:paraId="72E38E87" w14:textId="77777777" w:rsidR="00400398" w:rsidRPr="00B64E29" w:rsidRDefault="00400398">
      <w:pPr>
        <w:rPr>
          <w:noProof/>
        </w:rPr>
      </w:pPr>
    </w:p>
    <w:p w14:paraId="1EDFB885" w14:textId="77777777" w:rsidR="00400398" w:rsidRPr="007232E4" w:rsidRDefault="00400398" w:rsidP="00AC2DD9">
      <w:pPr>
        <w:rPr>
          <w:b/>
        </w:rPr>
      </w:pPr>
      <w:r w:rsidRPr="007232E4">
        <w:rPr>
          <w:b/>
        </w:rPr>
        <w:t>8.</w:t>
      </w:r>
      <w:r w:rsidRPr="007232E4">
        <w:rPr>
          <w:b/>
        </w:rPr>
        <w:tab/>
        <w:t>NÚMERO(S) DA AUTORIZAÇÃO DE INTRODUÇÃO NO MERCADO</w:t>
      </w:r>
    </w:p>
    <w:p w14:paraId="07B69A51" w14:textId="77777777" w:rsidR="00400398" w:rsidRDefault="00400398" w:rsidP="00AC2DD9"/>
    <w:p w14:paraId="034ABA4B" w14:textId="77777777" w:rsidR="0039760E" w:rsidRPr="001E05C2" w:rsidRDefault="0039760E" w:rsidP="0039760E">
      <w:bookmarkStart w:id="10" w:name="_Hlk43994965"/>
      <w:r w:rsidRPr="001E05C2">
        <w:t xml:space="preserve">EU/1/20/1454/001 – </w:t>
      </w:r>
      <w:r>
        <w:t xml:space="preserve">frasco para injetáveis de </w:t>
      </w:r>
      <w:r w:rsidRPr="001E05C2">
        <w:t>100</w:t>
      </w:r>
      <w:r>
        <w:t> </w:t>
      </w:r>
      <w:r w:rsidRPr="001E05C2">
        <w:t>mg/4</w:t>
      </w:r>
      <w:r>
        <w:t> </w:t>
      </w:r>
      <w:r w:rsidRPr="001E05C2">
        <w:t>ml</w:t>
      </w:r>
    </w:p>
    <w:p w14:paraId="64D990CE" w14:textId="77777777" w:rsidR="0039760E" w:rsidRPr="001E05C2" w:rsidRDefault="0039760E" w:rsidP="0039760E">
      <w:pPr>
        <w:rPr>
          <w:lang w:eastAsia="ko-KR"/>
        </w:rPr>
      </w:pPr>
      <w:r w:rsidRPr="001E05C2">
        <w:t xml:space="preserve">EU/1/20/1454/002 – </w:t>
      </w:r>
      <w:r>
        <w:t xml:space="preserve">frasco para injetáveis de </w:t>
      </w:r>
      <w:r w:rsidRPr="001E05C2">
        <w:t>400</w:t>
      </w:r>
      <w:r>
        <w:t> </w:t>
      </w:r>
      <w:r w:rsidRPr="001E05C2">
        <w:t>mg/16</w:t>
      </w:r>
      <w:r>
        <w:t> </w:t>
      </w:r>
      <w:r w:rsidRPr="001E05C2">
        <w:t>ml</w:t>
      </w:r>
    </w:p>
    <w:bookmarkEnd w:id="10"/>
    <w:p w14:paraId="09952C92" w14:textId="77777777" w:rsidR="0039760E" w:rsidRPr="007232E4" w:rsidRDefault="0039760E" w:rsidP="00AC2DD9"/>
    <w:p w14:paraId="3ADB9F93" w14:textId="77777777" w:rsidR="00400398" w:rsidRPr="007232E4" w:rsidRDefault="00400398" w:rsidP="00AC2DD9"/>
    <w:p w14:paraId="1685AFA2" w14:textId="77777777" w:rsidR="00400398" w:rsidRPr="007232E4" w:rsidRDefault="00400398" w:rsidP="001012F4">
      <w:pPr>
        <w:keepNext/>
        <w:keepLines/>
        <w:ind w:left="600" w:hanging="600"/>
        <w:rPr>
          <w:b/>
        </w:rPr>
      </w:pPr>
      <w:r w:rsidRPr="007232E4">
        <w:rPr>
          <w:b/>
        </w:rPr>
        <w:t>9.</w:t>
      </w:r>
      <w:r w:rsidRPr="007232E4">
        <w:rPr>
          <w:b/>
        </w:rPr>
        <w:tab/>
        <w:t>DATA DA PRIMEIRA AUTORIZAÇÃO/RENOVAÇÃO DA AUTORIZAÇÃO DE INTRODUÇÃO NO MERCADO</w:t>
      </w:r>
    </w:p>
    <w:p w14:paraId="21AF9C8A" w14:textId="77777777" w:rsidR="00400398" w:rsidRPr="007232E4" w:rsidRDefault="00400398" w:rsidP="00AC2DD9">
      <w:pPr>
        <w:keepNext/>
        <w:keepLines/>
      </w:pPr>
    </w:p>
    <w:p w14:paraId="691526EF" w14:textId="77777777" w:rsidR="0039760E" w:rsidRDefault="0039760E" w:rsidP="00AC2DD9">
      <w:pPr>
        <w:keepNext/>
        <w:keepLines/>
      </w:pPr>
      <w:r>
        <w:t>Data da primeira autorização:</w:t>
      </w:r>
      <w:r w:rsidR="00EC4C19">
        <w:t xml:space="preserve"> 19 de agosto de 2020</w:t>
      </w:r>
    </w:p>
    <w:p w14:paraId="6B837FA1" w14:textId="0004F09C" w:rsidR="00FA0062" w:rsidRDefault="000A0D33" w:rsidP="001E05C2">
      <w:pPr>
        <w:keepLines/>
      </w:pPr>
      <w:r>
        <w:t>Data da última renovação: 05</w:t>
      </w:r>
      <w:r w:rsidRPr="000A0D33">
        <w:t xml:space="preserve"> de junho de 20</w:t>
      </w:r>
      <w:r>
        <w:t>25</w:t>
      </w:r>
    </w:p>
    <w:p w14:paraId="5E2C9106" w14:textId="77777777" w:rsidR="000A0D33" w:rsidRDefault="000A0D33" w:rsidP="001E05C2">
      <w:pPr>
        <w:keepLines/>
      </w:pPr>
    </w:p>
    <w:p w14:paraId="2EC43767" w14:textId="77777777" w:rsidR="00400398" w:rsidRPr="007232E4" w:rsidRDefault="00400398" w:rsidP="001E05C2">
      <w:pPr>
        <w:keepLines/>
      </w:pPr>
    </w:p>
    <w:p w14:paraId="388E4442" w14:textId="77777777" w:rsidR="00400398" w:rsidRPr="007232E4" w:rsidRDefault="00400398" w:rsidP="00DF567A">
      <w:pPr>
        <w:keepNext/>
        <w:keepLines/>
        <w:rPr>
          <w:b/>
        </w:rPr>
      </w:pPr>
      <w:r w:rsidRPr="007232E4">
        <w:rPr>
          <w:b/>
        </w:rPr>
        <w:t>10.</w:t>
      </w:r>
      <w:r w:rsidRPr="007232E4">
        <w:rPr>
          <w:b/>
        </w:rPr>
        <w:tab/>
        <w:t>DATA DA REVISÃO DO TEXTO</w:t>
      </w:r>
    </w:p>
    <w:p w14:paraId="7D2ADEB1" w14:textId="77777777" w:rsidR="00CF4B1B" w:rsidRPr="007232E4" w:rsidRDefault="00CF4B1B" w:rsidP="00CA5962">
      <w:pPr>
        <w:keepNext/>
        <w:keepLines/>
        <w:rPr>
          <w:b/>
        </w:rPr>
      </w:pPr>
    </w:p>
    <w:p w14:paraId="70AE20E3" w14:textId="77777777" w:rsidR="00400398" w:rsidRDefault="00400398" w:rsidP="001E05C2">
      <w:pPr>
        <w:keepLines/>
        <w:suppressAutoHyphens/>
        <w:rPr>
          <w:rStyle w:val="Emphasis"/>
          <w:iCs/>
          <w:noProof/>
        </w:rPr>
      </w:pPr>
      <w:r w:rsidRPr="00C82494">
        <w:rPr>
          <w:noProof/>
        </w:rPr>
        <w:t xml:space="preserve">Está disponível informação pormenorizada sobre este medicamento no sítio da internet da Agência Europeia de Medicamentos: </w:t>
      </w:r>
      <w:hyperlink r:id="rId15" w:history="1">
        <w:r w:rsidR="00316B4F" w:rsidRPr="009E7BE5">
          <w:rPr>
            <w:rStyle w:val="Hyperlink"/>
            <w:noProof/>
            <w:szCs w:val="22"/>
          </w:rPr>
          <w:t>http://www.ema.europa.eu</w:t>
        </w:r>
      </w:hyperlink>
      <w:r w:rsidR="00316B4F" w:rsidRPr="009E7BE5">
        <w:rPr>
          <w:noProof/>
          <w:szCs w:val="22"/>
        </w:rPr>
        <w:t>.</w:t>
      </w:r>
    </w:p>
    <w:p w14:paraId="63309694" w14:textId="77777777" w:rsidR="00400398" w:rsidRPr="007232E4" w:rsidRDefault="00400398">
      <w:pPr>
        <w:suppressAutoHyphens/>
      </w:pPr>
      <w:r w:rsidRPr="007232E4">
        <w:br w:type="page"/>
      </w:r>
    </w:p>
    <w:p w14:paraId="5A0D9E2E" w14:textId="77777777" w:rsidR="00400398" w:rsidRPr="007232E4" w:rsidRDefault="00400398">
      <w:pPr>
        <w:suppressAutoHyphens/>
      </w:pPr>
    </w:p>
    <w:p w14:paraId="577A328F" w14:textId="77777777" w:rsidR="00400398" w:rsidRPr="007232E4" w:rsidRDefault="00400398">
      <w:pPr>
        <w:suppressAutoHyphens/>
      </w:pPr>
    </w:p>
    <w:p w14:paraId="05F28EB7" w14:textId="77777777" w:rsidR="00400398" w:rsidRPr="007232E4" w:rsidRDefault="00400398">
      <w:pPr>
        <w:suppressAutoHyphens/>
      </w:pPr>
    </w:p>
    <w:p w14:paraId="4559B223" w14:textId="77777777" w:rsidR="00400398" w:rsidRPr="007232E4" w:rsidRDefault="00400398">
      <w:pPr>
        <w:suppressAutoHyphens/>
      </w:pPr>
    </w:p>
    <w:p w14:paraId="1D13B046" w14:textId="77777777" w:rsidR="00400398" w:rsidRPr="007232E4" w:rsidRDefault="00400398">
      <w:pPr>
        <w:suppressAutoHyphens/>
      </w:pPr>
    </w:p>
    <w:p w14:paraId="175E32D1" w14:textId="77777777" w:rsidR="00400398" w:rsidRPr="007232E4" w:rsidRDefault="00400398">
      <w:pPr>
        <w:suppressAutoHyphens/>
      </w:pPr>
    </w:p>
    <w:p w14:paraId="13D0370C" w14:textId="77777777" w:rsidR="00400398" w:rsidRPr="007232E4" w:rsidRDefault="00400398">
      <w:pPr>
        <w:suppressAutoHyphens/>
      </w:pPr>
    </w:p>
    <w:p w14:paraId="35DC86E6" w14:textId="77777777" w:rsidR="00400398" w:rsidRPr="007232E4" w:rsidRDefault="00400398">
      <w:pPr>
        <w:suppressAutoHyphens/>
      </w:pPr>
    </w:p>
    <w:p w14:paraId="68300097" w14:textId="77777777" w:rsidR="00400398" w:rsidRPr="007232E4" w:rsidRDefault="00400398">
      <w:pPr>
        <w:suppressAutoHyphens/>
      </w:pPr>
    </w:p>
    <w:p w14:paraId="1493954C" w14:textId="77777777" w:rsidR="00400398" w:rsidRPr="007232E4" w:rsidRDefault="00400398">
      <w:pPr>
        <w:suppressAutoHyphens/>
      </w:pPr>
    </w:p>
    <w:p w14:paraId="7CD3426C" w14:textId="77777777" w:rsidR="00400398" w:rsidRPr="007232E4" w:rsidRDefault="00400398">
      <w:pPr>
        <w:suppressAutoHyphens/>
      </w:pPr>
    </w:p>
    <w:p w14:paraId="4FA823D1" w14:textId="77777777" w:rsidR="00400398" w:rsidRPr="007232E4" w:rsidRDefault="00400398">
      <w:pPr>
        <w:suppressAutoHyphens/>
      </w:pPr>
    </w:p>
    <w:p w14:paraId="0072E910" w14:textId="77777777" w:rsidR="00400398" w:rsidRPr="007232E4" w:rsidRDefault="00400398">
      <w:pPr>
        <w:suppressAutoHyphens/>
      </w:pPr>
    </w:p>
    <w:p w14:paraId="5363C003" w14:textId="77777777" w:rsidR="00400398" w:rsidRPr="007232E4" w:rsidRDefault="00400398">
      <w:pPr>
        <w:suppressAutoHyphens/>
      </w:pPr>
    </w:p>
    <w:p w14:paraId="34CA0B95" w14:textId="77777777" w:rsidR="00400398" w:rsidRPr="007232E4" w:rsidRDefault="00400398">
      <w:pPr>
        <w:suppressAutoHyphens/>
      </w:pPr>
    </w:p>
    <w:p w14:paraId="462B25ED" w14:textId="77777777" w:rsidR="00400398" w:rsidRPr="007232E4" w:rsidRDefault="00400398">
      <w:pPr>
        <w:suppressAutoHyphens/>
      </w:pPr>
    </w:p>
    <w:p w14:paraId="005AC3ED" w14:textId="77777777" w:rsidR="00400398" w:rsidRPr="007232E4" w:rsidRDefault="00400398">
      <w:pPr>
        <w:suppressAutoHyphens/>
      </w:pPr>
    </w:p>
    <w:p w14:paraId="351B11DF" w14:textId="77777777" w:rsidR="00400398" w:rsidRPr="007232E4" w:rsidRDefault="00400398">
      <w:pPr>
        <w:suppressAutoHyphens/>
      </w:pPr>
    </w:p>
    <w:p w14:paraId="6A896962" w14:textId="77777777" w:rsidR="00400398" w:rsidRPr="007232E4" w:rsidRDefault="00400398">
      <w:pPr>
        <w:suppressAutoHyphens/>
      </w:pPr>
    </w:p>
    <w:p w14:paraId="349CC6DE" w14:textId="77777777" w:rsidR="00400398" w:rsidRPr="007232E4" w:rsidRDefault="00400398">
      <w:pPr>
        <w:suppressAutoHyphens/>
      </w:pPr>
    </w:p>
    <w:p w14:paraId="7D860C8F" w14:textId="77777777" w:rsidR="00400398" w:rsidRPr="007232E4" w:rsidRDefault="00400398">
      <w:pPr>
        <w:suppressAutoHyphens/>
      </w:pPr>
    </w:p>
    <w:p w14:paraId="1A9CC8F5" w14:textId="77777777" w:rsidR="00400398" w:rsidRPr="007232E4" w:rsidRDefault="00400398">
      <w:pPr>
        <w:suppressAutoHyphens/>
      </w:pPr>
    </w:p>
    <w:p w14:paraId="0BD60DFD" w14:textId="77777777" w:rsidR="00400398" w:rsidRPr="007232E4" w:rsidRDefault="00400398">
      <w:pPr>
        <w:jc w:val="center"/>
        <w:rPr>
          <w:b/>
        </w:rPr>
      </w:pPr>
      <w:r w:rsidRPr="007232E4">
        <w:rPr>
          <w:b/>
        </w:rPr>
        <w:t>ANEXO II</w:t>
      </w:r>
    </w:p>
    <w:p w14:paraId="2DE3521E" w14:textId="77777777" w:rsidR="00400398" w:rsidRPr="007232E4" w:rsidRDefault="00400398">
      <w:pPr>
        <w:tabs>
          <w:tab w:val="left" w:pos="-720"/>
        </w:tabs>
        <w:suppressAutoHyphens/>
        <w:ind w:left="1701" w:right="1126" w:hanging="567"/>
      </w:pPr>
    </w:p>
    <w:p w14:paraId="04D20D03" w14:textId="77777777" w:rsidR="00400398" w:rsidRPr="007232E4" w:rsidRDefault="00400398">
      <w:pPr>
        <w:tabs>
          <w:tab w:val="left" w:pos="-720"/>
        </w:tabs>
        <w:suppressAutoHyphens/>
        <w:ind w:left="1701" w:right="1126" w:hanging="567"/>
        <w:rPr>
          <w:b/>
        </w:rPr>
      </w:pPr>
      <w:r w:rsidRPr="007232E4">
        <w:rPr>
          <w:b/>
        </w:rPr>
        <w:t>A.</w:t>
      </w:r>
      <w:r w:rsidRPr="007232E4">
        <w:rPr>
          <w:b/>
        </w:rPr>
        <w:tab/>
        <w:t>FABRICANTE DA SUBSTÂNCIA ATIVA DE ORIGEM BIOLÓGICA E FABRICANTE RESPONSÁVEL PELA LIBERTAÇÃO DO LOTE</w:t>
      </w:r>
    </w:p>
    <w:p w14:paraId="0949E3D7" w14:textId="77777777" w:rsidR="00400398" w:rsidRPr="007232E4" w:rsidRDefault="00400398">
      <w:pPr>
        <w:tabs>
          <w:tab w:val="left" w:pos="-720"/>
        </w:tabs>
        <w:suppressAutoHyphens/>
        <w:ind w:left="1701" w:right="1126" w:hanging="567"/>
      </w:pPr>
    </w:p>
    <w:p w14:paraId="72B667F9" w14:textId="77777777" w:rsidR="00400398" w:rsidRPr="007232E4" w:rsidRDefault="00400398">
      <w:pPr>
        <w:tabs>
          <w:tab w:val="left" w:pos="-720"/>
        </w:tabs>
        <w:suppressAutoHyphens/>
        <w:ind w:left="1701" w:right="1126" w:hanging="567"/>
        <w:rPr>
          <w:b/>
        </w:rPr>
      </w:pPr>
      <w:r w:rsidRPr="007232E4">
        <w:rPr>
          <w:b/>
        </w:rPr>
        <w:t>B.</w:t>
      </w:r>
      <w:r w:rsidRPr="007232E4">
        <w:rPr>
          <w:b/>
        </w:rPr>
        <w:tab/>
        <w:t>CONDIÇÕES OU RESTRIÇÕES RELATIVAS AO FORNECIMENTO E UTILIZAÇÃO</w:t>
      </w:r>
    </w:p>
    <w:p w14:paraId="5ABFB67D" w14:textId="77777777" w:rsidR="00400398" w:rsidRPr="007232E4" w:rsidRDefault="00400398" w:rsidP="00477C8A">
      <w:pPr>
        <w:ind w:left="1701" w:right="1416" w:hanging="567"/>
      </w:pPr>
    </w:p>
    <w:p w14:paraId="07C8BD25" w14:textId="77777777" w:rsidR="00400398" w:rsidRPr="007232E4" w:rsidRDefault="00400398" w:rsidP="00477C8A">
      <w:pPr>
        <w:ind w:left="1680" w:right="1416" w:hanging="546"/>
        <w:rPr>
          <w:b/>
        </w:rPr>
      </w:pPr>
      <w:r w:rsidRPr="007232E4">
        <w:rPr>
          <w:b/>
        </w:rPr>
        <w:t>C.</w:t>
      </w:r>
      <w:r w:rsidRPr="007232E4">
        <w:t xml:space="preserve"> </w:t>
      </w:r>
      <w:r w:rsidRPr="007232E4">
        <w:tab/>
      </w:r>
      <w:r w:rsidRPr="007232E4">
        <w:rPr>
          <w:b/>
        </w:rPr>
        <w:t>OUTRAS CONDIÇÕES E REQUISITOS DA AUTORIZAÇÃO DE INTRODUÇÃO NO MERCADO</w:t>
      </w:r>
    </w:p>
    <w:p w14:paraId="3B0CDEDA" w14:textId="77777777" w:rsidR="00400398" w:rsidRPr="007232E4" w:rsidRDefault="00400398" w:rsidP="00477C8A">
      <w:pPr>
        <w:ind w:left="1680" w:right="1416" w:hanging="546"/>
        <w:rPr>
          <w:b/>
        </w:rPr>
      </w:pPr>
    </w:p>
    <w:p w14:paraId="77CE23B0" w14:textId="77777777" w:rsidR="00400398" w:rsidRPr="007232E4" w:rsidRDefault="00400398" w:rsidP="000E1D77">
      <w:pPr>
        <w:tabs>
          <w:tab w:val="left" w:pos="-720"/>
        </w:tabs>
        <w:suppressAutoHyphens/>
        <w:ind w:left="1701" w:right="282" w:hanging="567"/>
        <w:rPr>
          <w:b/>
          <w:szCs w:val="24"/>
        </w:rPr>
      </w:pPr>
      <w:r w:rsidRPr="007232E4">
        <w:rPr>
          <w:b/>
          <w:szCs w:val="24"/>
        </w:rPr>
        <w:t>D.</w:t>
      </w:r>
      <w:r w:rsidRPr="007232E4">
        <w:rPr>
          <w:b/>
          <w:szCs w:val="24"/>
        </w:rPr>
        <w:tab/>
      </w:r>
      <w:r w:rsidRPr="007232E4">
        <w:rPr>
          <w:b/>
          <w:caps/>
          <w:szCs w:val="24"/>
        </w:rPr>
        <w:t>Condições ou restrições relativas à utilização segura e eficaz do medicamento</w:t>
      </w:r>
    </w:p>
    <w:p w14:paraId="3A3C169E" w14:textId="77777777" w:rsidR="00400398" w:rsidRPr="007232E4" w:rsidRDefault="00400398" w:rsidP="00477C8A">
      <w:pPr>
        <w:ind w:left="1680" w:right="1416" w:hanging="546"/>
        <w:rPr>
          <w:b/>
        </w:rPr>
      </w:pPr>
    </w:p>
    <w:p w14:paraId="2E3C72A8" w14:textId="77777777" w:rsidR="00400398" w:rsidRPr="007232E4" w:rsidRDefault="00400398">
      <w:pPr>
        <w:pStyle w:val="AnnexHeading"/>
      </w:pPr>
      <w:r w:rsidRPr="007232E4">
        <w:br w:type="page"/>
      </w:r>
      <w:r w:rsidRPr="007232E4">
        <w:lastRenderedPageBreak/>
        <w:t>A.</w:t>
      </w:r>
      <w:r w:rsidRPr="007232E4">
        <w:tab/>
        <w:t>FABRICANTE DA SUBSTÂNCIA ATIVA DE ORIGEM BIOLÓGICA E FABRICANTE RESPONSÁVEL PELA LIBERTAÇÃO DO LOTE</w:t>
      </w:r>
    </w:p>
    <w:p w14:paraId="600766E7" w14:textId="77777777" w:rsidR="00400398" w:rsidRPr="007232E4" w:rsidRDefault="00400398">
      <w:pPr>
        <w:suppressAutoHyphens/>
        <w:ind w:right="14"/>
      </w:pPr>
    </w:p>
    <w:p w14:paraId="17039DE3" w14:textId="77777777" w:rsidR="00400398" w:rsidRPr="007232E4" w:rsidRDefault="00400398">
      <w:pPr>
        <w:suppressAutoHyphens/>
        <w:ind w:right="14"/>
      </w:pPr>
      <w:r w:rsidRPr="007232E4">
        <w:rPr>
          <w:u w:val="single"/>
        </w:rPr>
        <w:t>Nome e endereço do fabricante da substância ativa de origem biológica</w:t>
      </w:r>
    </w:p>
    <w:p w14:paraId="00CCCB82" w14:textId="77777777" w:rsidR="00400398" w:rsidRPr="007232E4" w:rsidRDefault="00400398">
      <w:pPr>
        <w:suppressAutoHyphens/>
        <w:ind w:right="14"/>
      </w:pPr>
    </w:p>
    <w:p w14:paraId="4BA7FCFD" w14:textId="77777777" w:rsidR="00400398" w:rsidRPr="00B64E29" w:rsidRDefault="00802AD0" w:rsidP="0001006D">
      <w:pPr>
        <w:numPr>
          <w:ilvl w:val="12"/>
          <w:numId w:val="0"/>
        </w:numPr>
        <w:rPr>
          <w:noProof/>
          <w:lang w:val="en-US"/>
        </w:rPr>
      </w:pPr>
      <w:r w:rsidRPr="00555732">
        <w:rPr>
          <w:color w:val="000000"/>
          <w:szCs w:val="22"/>
          <w:lang w:val="en-US"/>
        </w:rPr>
        <w:t>FUJIFILM Diosynth Biotechnologies Denmark ApS</w:t>
      </w:r>
      <w:r w:rsidR="00CF4B1B" w:rsidRPr="00B64E29">
        <w:rPr>
          <w:color w:val="000000"/>
          <w:lang w:val="en-US"/>
        </w:rPr>
        <w:br/>
      </w:r>
      <w:r w:rsidRPr="00555732">
        <w:rPr>
          <w:color w:val="000000"/>
          <w:lang w:val="en-US"/>
        </w:rPr>
        <w:t>Biotek</w:t>
      </w:r>
      <w:r w:rsidR="00CF4B1B" w:rsidRPr="00B64E29">
        <w:rPr>
          <w:color w:val="000000"/>
          <w:lang w:val="en-US"/>
        </w:rPr>
        <w:t xml:space="preserve"> All</w:t>
      </w:r>
      <w:r w:rsidR="00CF4B1B" w:rsidRPr="00B64E29">
        <w:rPr>
          <w:lang w:val="en-US" w:eastAsia="ko-KR"/>
        </w:rPr>
        <w:t>é</w:t>
      </w:r>
      <w:r w:rsidR="00CF4B1B" w:rsidRPr="00B64E29">
        <w:rPr>
          <w:color w:val="000000"/>
          <w:szCs w:val="22"/>
          <w:lang w:val="en-US"/>
        </w:rPr>
        <w:t xml:space="preserve"> 1</w:t>
      </w:r>
      <w:r w:rsidR="00CF4B1B" w:rsidRPr="00B64E29">
        <w:rPr>
          <w:color w:val="000000"/>
          <w:lang w:val="en-US"/>
        </w:rPr>
        <w:br/>
        <w:t>Hiller</w:t>
      </w:r>
      <w:r w:rsidR="00CF4B1B" w:rsidRPr="00B64E29">
        <w:rPr>
          <w:lang w:val="en-US" w:eastAsia="ko-KR"/>
        </w:rPr>
        <w:t>ø</w:t>
      </w:r>
      <w:r w:rsidR="00CF4B1B" w:rsidRPr="00B64E29">
        <w:rPr>
          <w:color w:val="000000"/>
          <w:szCs w:val="22"/>
          <w:lang w:val="en-US"/>
        </w:rPr>
        <w:t>d</w:t>
      </w:r>
      <w:r w:rsidR="00CF4B1B" w:rsidRPr="00B64E29">
        <w:rPr>
          <w:color w:val="000000"/>
          <w:szCs w:val="22"/>
          <w:lang w:val="en-US" w:eastAsia="ko-KR"/>
        </w:rPr>
        <w:t xml:space="preserve">, </w:t>
      </w:r>
      <w:r w:rsidR="00CF4B1B" w:rsidRPr="00B64E29">
        <w:rPr>
          <w:lang w:val="en-US" w:eastAsia="ko-KR"/>
        </w:rPr>
        <w:t>3400,</w:t>
      </w:r>
      <w:r w:rsidR="00CF4B1B" w:rsidRPr="00B64E29">
        <w:rPr>
          <w:color w:val="000000"/>
          <w:szCs w:val="22"/>
          <w:lang w:val="en-US"/>
        </w:rPr>
        <w:br/>
        <w:t>D</w:t>
      </w:r>
      <w:r w:rsidR="00CF4B1B" w:rsidRPr="00B64E29">
        <w:rPr>
          <w:color w:val="000000"/>
          <w:lang w:val="en-US" w:eastAsia="ko-KR"/>
        </w:rPr>
        <w:t>inamarca</w:t>
      </w:r>
    </w:p>
    <w:p w14:paraId="06A149AF" w14:textId="77777777" w:rsidR="00400398" w:rsidRPr="00B64E29" w:rsidRDefault="00400398">
      <w:pPr>
        <w:suppressAutoHyphens/>
        <w:ind w:right="14"/>
        <w:rPr>
          <w:noProof/>
          <w:lang w:val="en-US"/>
        </w:rPr>
      </w:pPr>
    </w:p>
    <w:p w14:paraId="7494805C" w14:textId="77777777" w:rsidR="00400398" w:rsidRPr="007232E4" w:rsidRDefault="00400398">
      <w:pPr>
        <w:suppressAutoHyphens/>
        <w:ind w:right="14"/>
        <w:rPr>
          <w:u w:val="single"/>
        </w:rPr>
      </w:pPr>
      <w:r w:rsidRPr="007232E4">
        <w:rPr>
          <w:u w:val="single"/>
        </w:rPr>
        <w:t>Nome e endereço do fabricante responsável pela libertação do lote</w:t>
      </w:r>
    </w:p>
    <w:p w14:paraId="000D35B3" w14:textId="77777777" w:rsidR="00B94FF3" w:rsidRDefault="00B94FF3" w:rsidP="00B94FF3">
      <w:pPr>
        <w:rPr>
          <w:color w:val="000000"/>
          <w:szCs w:val="22"/>
        </w:rPr>
      </w:pPr>
    </w:p>
    <w:p w14:paraId="15D1B346" w14:textId="77777777" w:rsidR="00B94FF3" w:rsidRPr="004B3E5D" w:rsidRDefault="00B94FF3" w:rsidP="00B94FF3">
      <w:pPr>
        <w:rPr>
          <w:color w:val="000000"/>
          <w:szCs w:val="22"/>
        </w:rPr>
      </w:pPr>
      <w:r w:rsidRPr="004B3E5D">
        <w:rPr>
          <w:color w:val="000000"/>
          <w:szCs w:val="22"/>
        </w:rPr>
        <w:t>Samsung Bioepis NL B.V.</w:t>
      </w:r>
    </w:p>
    <w:p w14:paraId="28D75475" w14:textId="77777777" w:rsidR="00B94FF3" w:rsidRPr="004B3E5D" w:rsidRDefault="00B94FF3" w:rsidP="00B94FF3">
      <w:pPr>
        <w:rPr>
          <w:color w:val="000000"/>
          <w:szCs w:val="22"/>
        </w:rPr>
      </w:pPr>
      <w:r w:rsidRPr="004B3E5D">
        <w:rPr>
          <w:color w:val="000000"/>
          <w:szCs w:val="22"/>
        </w:rPr>
        <w:t>Olof Palmestraat 10</w:t>
      </w:r>
    </w:p>
    <w:p w14:paraId="67CFCD55" w14:textId="77777777" w:rsidR="00B94FF3" w:rsidRPr="004B3E5D" w:rsidRDefault="00B94FF3" w:rsidP="00B94FF3">
      <w:pPr>
        <w:rPr>
          <w:color w:val="000000"/>
          <w:szCs w:val="22"/>
        </w:rPr>
      </w:pPr>
      <w:r w:rsidRPr="004B3E5D">
        <w:rPr>
          <w:color w:val="000000"/>
          <w:szCs w:val="22"/>
        </w:rPr>
        <w:t>2616 LR Delft</w:t>
      </w:r>
    </w:p>
    <w:p w14:paraId="2A0532C9" w14:textId="77777777" w:rsidR="00B94FF3" w:rsidRDefault="00B94FF3" w:rsidP="00B94FF3">
      <w:pPr>
        <w:rPr>
          <w:color w:val="000000"/>
          <w:szCs w:val="22"/>
        </w:rPr>
      </w:pPr>
      <w:r w:rsidRPr="004B3E5D">
        <w:rPr>
          <w:color w:val="000000"/>
          <w:szCs w:val="22"/>
        </w:rPr>
        <w:t>Países Baixos</w:t>
      </w:r>
    </w:p>
    <w:p w14:paraId="247A1AFE" w14:textId="77777777" w:rsidR="00B94FF3" w:rsidRDefault="00B94FF3" w:rsidP="00B94FF3"/>
    <w:p w14:paraId="7B6A512B" w14:textId="77777777" w:rsidR="00B94FF3" w:rsidRPr="00AE77AF" w:rsidRDefault="00B94FF3" w:rsidP="00AE77AF">
      <w:pPr>
        <w:suppressAutoHyphens/>
        <w:spacing w:line="260" w:lineRule="exact"/>
        <w:ind w:right="14"/>
        <w:rPr>
          <w:rFonts w:eastAsia="Yu Mincho"/>
          <w:szCs w:val="22"/>
        </w:rPr>
      </w:pPr>
      <w:r>
        <w:rPr>
          <w:szCs w:val="22"/>
        </w:rPr>
        <w:t>O folheto informativo que acompanha o medicamento tem de mencionar o nome e endereço do fabricante responsável pela libertação do lote em causa.</w:t>
      </w:r>
    </w:p>
    <w:p w14:paraId="38B8E917" w14:textId="77777777" w:rsidR="00400398" w:rsidRPr="008976C3" w:rsidRDefault="00400398">
      <w:pPr>
        <w:suppressAutoHyphens/>
        <w:ind w:right="14"/>
        <w:rPr>
          <w:lang w:val="es-ES"/>
        </w:rPr>
      </w:pPr>
    </w:p>
    <w:p w14:paraId="28D2E49C" w14:textId="77777777" w:rsidR="00400398" w:rsidRPr="008976C3" w:rsidRDefault="00400398">
      <w:pPr>
        <w:suppressAutoHyphens/>
        <w:ind w:right="14"/>
        <w:rPr>
          <w:lang w:val="es-ES"/>
        </w:rPr>
      </w:pPr>
    </w:p>
    <w:p w14:paraId="3D98F290" w14:textId="77777777" w:rsidR="00400398" w:rsidRPr="007232E4" w:rsidRDefault="00400398">
      <w:pPr>
        <w:pStyle w:val="AnnexHeading"/>
      </w:pPr>
      <w:r w:rsidRPr="007232E4">
        <w:t>B.</w:t>
      </w:r>
      <w:r w:rsidRPr="007232E4">
        <w:tab/>
        <w:t>CONDIÇÕES OU RESTRIÇÕES RELATIVAS AO FORNECIMENTO E UTILIZAÇÃO</w:t>
      </w:r>
    </w:p>
    <w:p w14:paraId="2F9E5980" w14:textId="77777777" w:rsidR="00400398" w:rsidRPr="007232E4" w:rsidRDefault="00400398">
      <w:pPr>
        <w:suppressAutoHyphens/>
        <w:ind w:left="567" w:hanging="567"/>
      </w:pPr>
    </w:p>
    <w:p w14:paraId="68DC5F83" w14:textId="77777777" w:rsidR="00400398" w:rsidRPr="007232E4" w:rsidRDefault="00400398">
      <w:pPr>
        <w:numPr>
          <w:ilvl w:val="12"/>
          <w:numId w:val="0"/>
        </w:numPr>
        <w:suppressAutoHyphens/>
        <w:ind w:right="14"/>
      </w:pPr>
      <w:r w:rsidRPr="007232E4">
        <w:t>Medicamento de receita médica restrita, de utilização reservada a certos meios especializados (ver anexo I: Resumo das Características do Medicamento, secção 4.2).</w:t>
      </w:r>
    </w:p>
    <w:p w14:paraId="69490086" w14:textId="77777777" w:rsidR="00400398" w:rsidRPr="007232E4" w:rsidRDefault="00400398">
      <w:pPr>
        <w:numPr>
          <w:ilvl w:val="12"/>
          <w:numId w:val="0"/>
        </w:numPr>
        <w:suppressAutoHyphens/>
        <w:ind w:right="14"/>
      </w:pPr>
    </w:p>
    <w:p w14:paraId="30A61003" w14:textId="77777777" w:rsidR="00400398" w:rsidRPr="007232E4" w:rsidRDefault="00400398">
      <w:pPr>
        <w:numPr>
          <w:ilvl w:val="12"/>
          <w:numId w:val="0"/>
        </w:numPr>
        <w:suppressAutoHyphens/>
        <w:ind w:right="14"/>
      </w:pPr>
    </w:p>
    <w:p w14:paraId="6DC11C2D" w14:textId="77777777" w:rsidR="00400398" w:rsidRPr="007232E4" w:rsidRDefault="00400398" w:rsidP="00EA76D9">
      <w:pPr>
        <w:pStyle w:val="AnnexHeading"/>
      </w:pPr>
      <w:r w:rsidRPr="007232E4">
        <w:t>C.</w:t>
      </w:r>
      <w:r w:rsidRPr="007232E4">
        <w:tab/>
        <w:t>OUTRAS CONDIÇÕES E REQUISITOS DA AUTORIZAÇÃO DE INTRODUÇÃO NO MERCADO</w:t>
      </w:r>
    </w:p>
    <w:p w14:paraId="2462E96E" w14:textId="77777777" w:rsidR="00400398" w:rsidRPr="007232E4" w:rsidRDefault="00400398" w:rsidP="00096A57"/>
    <w:p w14:paraId="01A1D6D7" w14:textId="77777777" w:rsidR="00400398" w:rsidRPr="007232E4" w:rsidRDefault="00400398" w:rsidP="00D77ABF">
      <w:pPr>
        <w:rPr>
          <w:b/>
        </w:rPr>
      </w:pPr>
      <w:r>
        <w:rPr>
          <w:noProof/>
          <w:szCs w:val="22"/>
        </w:rPr>
        <w:sym w:font="Symbol" w:char="F0B7"/>
      </w:r>
      <w:r>
        <w:rPr>
          <w:noProof/>
        </w:rPr>
        <w:tab/>
      </w:r>
      <w:r w:rsidRPr="007232E4">
        <w:rPr>
          <w:b/>
        </w:rPr>
        <w:t xml:space="preserve">Relatórios </w:t>
      </w:r>
      <w:r w:rsidR="00DB6982">
        <w:rPr>
          <w:b/>
        </w:rPr>
        <w:t>p</w:t>
      </w:r>
      <w:r w:rsidRPr="007232E4">
        <w:rPr>
          <w:b/>
        </w:rPr>
        <w:t xml:space="preserve">eriódicos de </w:t>
      </w:r>
      <w:r w:rsidR="00DB6982">
        <w:rPr>
          <w:b/>
        </w:rPr>
        <w:t>s</w:t>
      </w:r>
      <w:r w:rsidRPr="007232E4">
        <w:rPr>
          <w:b/>
        </w:rPr>
        <w:t xml:space="preserve">egurança </w:t>
      </w:r>
      <w:r w:rsidR="000D0309">
        <w:rPr>
          <w:b/>
        </w:rPr>
        <w:t>(RPS)</w:t>
      </w:r>
    </w:p>
    <w:p w14:paraId="38BB9A39" w14:textId="77777777" w:rsidR="00400398" w:rsidRPr="007232E4" w:rsidRDefault="00400398" w:rsidP="00096A57">
      <w:pPr>
        <w:rPr>
          <w:b/>
        </w:rPr>
      </w:pPr>
    </w:p>
    <w:p w14:paraId="10184551" w14:textId="77777777" w:rsidR="00400398" w:rsidRPr="007232E4" w:rsidRDefault="00C31105" w:rsidP="00096A57">
      <w:r w:rsidRPr="00C31105">
        <w:t xml:space="preserve">Os requisitos para a apresentação de </w:t>
      </w:r>
      <w:r w:rsidR="000D0309">
        <w:t>RPS</w:t>
      </w:r>
      <w:r w:rsidRPr="00C31105">
        <w:t xml:space="preserve"> para este medicamento estão</w:t>
      </w:r>
      <w:r w:rsidR="00400398" w:rsidRPr="007232E4">
        <w:t xml:space="preserve"> estabelecidos na lista Europeia de datas de referência (lista EURD), tal como previsto nos termos do n.º 7 do artigo 107.º-C da </w:t>
      </w:r>
      <w:r w:rsidRPr="00C31105">
        <w:t>Diretiva 2001/83/CE e quaisquer atualizações subsequentes publicadas no portal europeu de medicamentos</w:t>
      </w:r>
      <w:r>
        <w:t>.</w:t>
      </w:r>
    </w:p>
    <w:p w14:paraId="0E27F3BE" w14:textId="77777777" w:rsidR="00400398" w:rsidRPr="007232E4" w:rsidRDefault="00400398" w:rsidP="00AA0792">
      <w:pPr>
        <w:tabs>
          <w:tab w:val="left" w:pos="1060"/>
        </w:tabs>
      </w:pPr>
    </w:p>
    <w:p w14:paraId="2DBE8628" w14:textId="77777777" w:rsidR="00400398" w:rsidRPr="007232E4" w:rsidRDefault="00400398" w:rsidP="00AA0792">
      <w:pPr>
        <w:tabs>
          <w:tab w:val="left" w:pos="1060"/>
        </w:tabs>
      </w:pPr>
    </w:p>
    <w:p w14:paraId="012D86F9" w14:textId="77777777" w:rsidR="00400398" w:rsidRPr="007232E4" w:rsidRDefault="00400398" w:rsidP="002B139F">
      <w:pPr>
        <w:pStyle w:val="AnnexHeading"/>
        <w:widowControl w:val="0"/>
      </w:pPr>
      <w:r w:rsidRPr="007232E4">
        <w:t>D.</w:t>
      </w:r>
      <w:r w:rsidRPr="007232E4">
        <w:tab/>
        <w:t>CONDIÇÕES OU RESTRIÇÕES RELATIVAS À UTILIZAÇÃO SEGURA E EFICAZ DO MEDICAMENTO</w:t>
      </w:r>
    </w:p>
    <w:p w14:paraId="4A9FBB26" w14:textId="77777777" w:rsidR="00400398" w:rsidRPr="007232E4" w:rsidRDefault="00400398" w:rsidP="002B139F">
      <w:pPr>
        <w:widowControl w:val="0"/>
      </w:pPr>
    </w:p>
    <w:p w14:paraId="6CDB7F96" w14:textId="77777777" w:rsidR="00400398" w:rsidRPr="007232E4" w:rsidRDefault="00400398" w:rsidP="002B139F">
      <w:pPr>
        <w:widowControl w:val="0"/>
        <w:rPr>
          <w:b/>
        </w:rPr>
      </w:pPr>
      <w:r>
        <w:rPr>
          <w:noProof/>
          <w:szCs w:val="22"/>
        </w:rPr>
        <w:sym w:font="Symbol" w:char="F0B7"/>
      </w:r>
      <w:r>
        <w:rPr>
          <w:noProof/>
        </w:rPr>
        <w:tab/>
      </w:r>
      <w:r w:rsidRPr="007232E4">
        <w:rPr>
          <w:b/>
        </w:rPr>
        <w:t xml:space="preserve">Plano de </w:t>
      </w:r>
      <w:r w:rsidR="000D0309">
        <w:rPr>
          <w:b/>
        </w:rPr>
        <w:t>g</w:t>
      </w:r>
      <w:r w:rsidRPr="007232E4">
        <w:rPr>
          <w:b/>
        </w:rPr>
        <w:t xml:space="preserve">estão do </w:t>
      </w:r>
      <w:r w:rsidR="000D0309">
        <w:rPr>
          <w:b/>
        </w:rPr>
        <w:t>r</w:t>
      </w:r>
      <w:r w:rsidRPr="007232E4">
        <w:rPr>
          <w:b/>
        </w:rPr>
        <w:t>isco (PGR)</w:t>
      </w:r>
    </w:p>
    <w:p w14:paraId="3BBAA08B" w14:textId="77777777" w:rsidR="00316B4F" w:rsidRDefault="00316B4F" w:rsidP="002B139F">
      <w:pPr>
        <w:widowControl w:val="0"/>
      </w:pPr>
    </w:p>
    <w:p w14:paraId="01ADC280" w14:textId="77777777" w:rsidR="00400398" w:rsidRPr="007232E4" w:rsidRDefault="00400398" w:rsidP="002B139F">
      <w:pPr>
        <w:widowControl w:val="0"/>
      </w:pPr>
      <w:r w:rsidRPr="007232E4">
        <w:t xml:space="preserve">O Titular da AIM deve efetuar as atividades e as intervenções de farmacovigilância requeridas e detalhadas no PGR apresentado no Módulo 1.8.2 da </w:t>
      </w:r>
      <w:r w:rsidR="000D0309">
        <w:t>a</w:t>
      </w:r>
      <w:r w:rsidRPr="007232E4">
        <w:t xml:space="preserve">utorização de </w:t>
      </w:r>
      <w:r w:rsidR="000D0309">
        <w:t>i</w:t>
      </w:r>
      <w:r w:rsidRPr="007232E4">
        <w:t xml:space="preserve">ntrodução no </w:t>
      </w:r>
      <w:r w:rsidR="000D0309">
        <w:t>m</w:t>
      </w:r>
      <w:r w:rsidRPr="007232E4">
        <w:t xml:space="preserve">ercado, e quaisquer atualizações subsequentes do PGR </w:t>
      </w:r>
      <w:r w:rsidR="00583284">
        <w:t xml:space="preserve">que sejam </w:t>
      </w:r>
      <w:r w:rsidRPr="007232E4">
        <w:t>acordadas.</w:t>
      </w:r>
    </w:p>
    <w:p w14:paraId="020B5F5A" w14:textId="77777777" w:rsidR="00400398" w:rsidRPr="007232E4" w:rsidRDefault="00400398" w:rsidP="002B139F">
      <w:pPr>
        <w:widowControl w:val="0"/>
      </w:pPr>
    </w:p>
    <w:p w14:paraId="0955B1AE" w14:textId="77777777" w:rsidR="00400398" w:rsidRPr="007232E4" w:rsidRDefault="00400398" w:rsidP="00CF10E5">
      <w:r w:rsidRPr="007232E4">
        <w:t>Deve ser apresentado um PGR atualizado:</w:t>
      </w:r>
    </w:p>
    <w:p w14:paraId="378E0A3E" w14:textId="77777777" w:rsidR="00400398" w:rsidRPr="007232E4" w:rsidRDefault="00400398" w:rsidP="00811239">
      <w:pPr>
        <w:keepNext/>
        <w:keepLines/>
        <w:ind w:left="480" w:hanging="240"/>
        <w:rPr>
          <w:szCs w:val="24"/>
        </w:rPr>
      </w:pPr>
      <w:r w:rsidRPr="007232E4">
        <w:t>•</w:t>
      </w:r>
      <w:r w:rsidRPr="007232E4">
        <w:rPr>
          <w:b/>
        </w:rPr>
        <w:tab/>
      </w:r>
      <w:r w:rsidRPr="007232E4">
        <w:rPr>
          <w:szCs w:val="24"/>
        </w:rPr>
        <w:t>A pedido da Agência Europeia de Medicamentos</w:t>
      </w:r>
    </w:p>
    <w:p w14:paraId="5F2BBAEA" w14:textId="77777777" w:rsidR="00400398" w:rsidRPr="007232E4" w:rsidRDefault="00400398" w:rsidP="00EA76D9">
      <w:pPr>
        <w:keepNext/>
        <w:keepLines/>
        <w:ind w:left="480" w:hanging="240"/>
      </w:pPr>
      <w:r w:rsidRPr="007232E4">
        <w:t xml:space="preserve">• </w:t>
      </w:r>
      <w:r w:rsidRPr="007232E4">
        <w:tab/>
        <w:t>Sempre que o sistema de gestão do risco for modificado, especialmente como resultado da receção de nova informação que possa levar a alterações significativas no perfil benefício-risco ou como resultado de ser tido atingido um objetivo importante (farmacovigilância ou minimização do risco).</w:t>
      </w:r>
    </w:p>
    <w:p w14:paraId="2BAE9B32" w14:textId="77777777" w:rsidR="00400398" w:rsidRPr="007232E4" w:rsidRDefault="00400398" w:rsidP="00811239"/>
    <w:p w14:paraId="64848E20" w14:textId="77777777" w:rsidR="00400398" w:rsidRPr="007232E4" w:rsidRDefault="00400398">
      <w:r w:rsidRPr="007232E4">
        <w:br w:type="page"/>
      </w:r>
    </w:p>
    <w:p w14:paraId="4C4D4DF9" w14:textId="77777777" w:rsidR="00400398" w:rsidRPr="007232E4" w:rsidRDefault="00400398"/>
    <w:p w14:paraId="4CB515F5" w14:textId="77777777" w:rsidR="00400398" w:rsidRPr="007232E4" w:rsidRDefault="00400398"/>
    <w:p w14:paraId="5A18434D" w14:textId="77777777" w:rsidR="00400398" w:rsidRPr="007232E4" w:rsidRDefault="00400398"/>
    <w:p w14:paraId="6FDABF01" w14:textId="77777777" w:rsidR="00400398" w:rsidRPr="007232E4" w:rsidRDefault="00400398"/>
    <w:p w14:paraId="35DE87FE" w14:textId="77777777" w:rsidR="00400398" w:rsidRPr="007232E4" w:rsidRDefault="00400398"/>
    <w:p w14:paraId="3513F437" w14:textId="77777777" w:rsidR="00400398" w:rsidRPr="007232E4" w:rsidRDefault="00400398"/>
    <w:p w14:paraId="598CACC2" w14:textId="77777777" w:rsidR="00400398" w:rsidRPr="007232E4" w:rsidRDefault="00400398"/>
    <w:p w14:paraId="04CC72F6" w14:textId="77777777" w:rsidR="00400398" w:rsidRPr="007232E4" w:rsidRDefault="00400398"/>
    <w:p w14:paraId="3262EABC" w14:textId="77777777" w:rsidR="00400398" w:rsidRPr="007232E4" w:rsidRDefault="00400398"/>
    <w:p w14:paraId="17D3FDF3" w14:textId="77777777" w:rsidR="00400398" w:rsidRPr="007232E4" w:rsidRDefault="00400398"/>
    <w:p w14:paraId="3AC209FA" w14:textId="77777777" w:rsidR="00400398" w:rsidRPr="007232E4" w:rsidRDefault="00400398"/>
    <w:p w14:paraId="41058639" w14:textId="77777777" w:rsidR="00400398" w:rsidRPr="007232E4" w:rsidRDefault="00400398"/>
    <w:p w14:paraId="0BFB20B6" w14:textId="77777777" w:rsidR="00400398" w:rsidRPr="007232E4" w:rsidRDefault="00400398"/>
    <w:p w14:paraId="3C229E17" w14:textId="77777777" w:rsidR="00400398" w:rsidRPr="007232E4" w:rsidRDefault="00400398"/>
    <w:p w14:paraId="1717A622" w14:textId="77777777" w:rsidR="00400398" w:rsidRPr="007232E4" w:rsidRDefault="00400398"/>
    <w:p w14:paraId="014D2EA9" w14:textId="77777777" w:rsidR="00400398" w:rsidRPr="007232E4" w:rsidRDefault="00400398"/>
    <w:p w14:paraId="0903C7BD" w14:textId="77777777" w:rsidR="00400398" w:rsidRPr="007232E4" w:rsidRDefault="00400398"/>
    <w:p w14:paraId="711255EE" w14:textId="77777777" w:rsidR="00400398" w:rsidRPr="007232E4" w:rsidRDefault="00400398"/>
    <w:p w14:paraId="6777809C" w14:textId="77777777" w:rsidR="00400398" w:rsidRPr="007232E4" w:rsidRDefault="00400398"/>
    <w:p w14:paraId="6E8DCD8A" w14:textId="77777777" w:rsidR="00400398" w:rsidRPr="007232E4" w:rsidRDefault="00400398"/>
    <w:p w14:paraId="5113246A" w14:textId="77777777" w:rsidR="00400398" w:rsidRPr="007232E4" w:rsidRDefault="00400398"/>
    <w:p w14:paraId="6668C4F5" w14:textId="77777777" w:rsidR="00400398" w:rsidRPr="007232E4" w:rsidRDefault="00400398"/>
    <w:p w14:paraId="5C58CBA9" w14:textId="77777777" w:rsidR="00400398" w:rsidRPr="007232E4" w:rsidRDefault="00400398">
      <w:pPr>
        <w:jc w:val="center"/>
        <w:rPr>
          <w:b/>
        </w:rPr>
      </w:pPr>
      <w:r w:rsidRPr="007232E4">
        <w:rPr>
          <w:b/>
        </w:rPr>
        <w:t>ANEXO III</w:t>
      </w:r>
    </w:p>
    <w:p w14:paraId="5589F85F" w14:textId="77777777" w:rsidR="00400398" w:rsidRPr="007232E4" w:rsidRDefault="00400398">
      <w:pPr>
        <w:jc w:val="center"/>
        <w:rPr>
          <w:b/>
        </w:rPr>
      </w:pPr>
    </w:p>
    <w:p w14:paraId="290A3685" w14:textId="77777777" w:rsidR="00400398" w:rsidRPr="007232E4" w:rsidRDefault="00400398">
      <w:pPr>
        <w:jc w:val="center"/>
        <w:rPr>
          <w:b/>
        </w:rPr>
      </w:pPr>
      <w:r w:rsidRPr="007232E4">
        <w:rPr>
          <w:b/>
        </w:rPr>
        <w:t>ROTULAGEM E FOLHETO INFORMATIVO</w:t>
      </w:r>
    </w:p>
    <w:p w14:paraId="07DA5646" w14:textId="77777777" w:rsidR="00400398" w:rsidRPr="007232E4" w:rsidRDefault="00400398">
      <w:r w:rsidRPr="007232E4">
        <w:br w:type="page"/>
      </w:r>
    </w:p>
    <w:p w14:paraId="5E2C799E" w14:textId="77777777" w:rsidR="00400398" w:rsidRPr="007232E4" w:rsidRDefault="00400398"/>
    <w:p w14:paraId="6B429975" w14:textId="77777777" w:rsidR="00400398" w:rsidRPr="007232E4" w:rsidRDefault="00400398"/>
    <w:p w14:paraId="75060F64" w14:textId="77777777" w:rsidR="00400398" w:rsidRPr="007232E4" w:rsidRDefault="00400398"/>
    <w:p w14:paraId="04897322" w14:textId="77777777" w:rsidR="00400398" w:rsidRPr="007232E4" w:rsidRDefault="00400398"/>
    <w:p w14:paraId="28127FF2" w14:textId="77777777" w:rsidR="00400398" w:rsidRPr="007232E4" w:rsidRDefault="00400398"/>
    <w:p w14:paraId="68C34147" w14:textId="77777777" w:rsidR="00400398" w:rsidRPr="007232E4" w:rsidRDefault="00400398"/>
    <w:p w14:paraId="25AC1CE2" w14:textId="77777777" w:rsidR="00400398" w:rsidRPr="007232E4" w:rsidRDefault="00400398"/>
    <w:p w14:paraId="56DCC6A4" w14:textId="77777777" w:rsidR="00400398" w:rsidRPr="007232E4" w:rsidRDefault="00400398"/>
    <w:p w14:paraId="6EBD78C9" w14:textId="77777777" w:rsidR="00400398" w:rsidRPr="007232E4" w:rsidRDefault="00400398"/>
    <w:p w14:paraId="75CFB6D8" w14:textId="77777777" w:rsidR="00400398" w:rsidRPr="007232E4" w:rsidRDefault="00400398"/>
    <w:p w14:paraId="3CA6782D" w14:textId="77777777" w:rsidR="00400398" w:rsidRPr="007232E4" w:rsidRDefault="00400398"/>
    <w:p w14:paraId="595D2BFD" w14:textId="77777777" w:rsidR="00400398" w:rsidRPr="007232E4" w:rsidRDefault="00400398"/>
    <w:p w14:paraId="666D7A59" w14:textId="77777777" w:rsidR="00400398" w:rsidRPr="007232E4" w:rsidRDefault="00400398"/>
    <w:p w14:paraId="10FBA8B0" w14:textId="77777777" w:rsidR="00400398" w:rsidRPr="007232E4" w:rsidRDefault="00400398"/>
    <w:p w14:paraId="2183212F" w14:textId="77777777" w:rsidR="00400398" w:rsidRPr="007232E4" w:rsidRDefault="00400398"/>
    <w:p w14:paraId="3E9CD939" w14:textId="77777777" w:rsidR="00400398" w:rsidRPr="007232E4" w:rsidRDefault="00400398"/>
    <w:p w14:paraId="22462EAF" w14:textId="77777777" w:rsidR="00400398" w:rsidRPr="007232E4" w:rsidRDefault="00400398"/>
    <w:p w14:paraId="7979B448" w14:textId="77777777" w:rsidR="00400398" w:rsidRPr="007232E4" w:rsidRDefault="00400398"/>
    <w:p w14:paraId="4D061DA6" w14:textId="77777777" w:rsidR="00400398" w:rsidRPr="007232E4" w:rsidRDefault="00400398"/>
    <w:p w14:paraId="7EAC4DEE" w14:textId="77777777" w:rsidR="00400398" w:rsidRPr="007232E4" w:rsidRDefault="00400398"/>
    <w:p w14:paraId="3336A17E" w14:textId="77777777" w:rsidR="00400398" w:rsidRPr="007232E4" w:rsidRDefault="00400398"/>
    <w:p w14:paraId="51DE2654" w14:textId="77777777" w:rsidR="00400398" w:rsidRPr="007232E4" w:rsidRDefault="00400398"/>
    <w:p w14:paraId="52715043" w14:textId="77777777" w:rsidR="00400398" w:rsidRPr="007232E4" w:rsidRDefault="00400398">
      <w:pPr>
        <w:pStyle w:val="Annex"/>
      </w:pPr>
      <w:r w:rsidRPr="007232E4">
        <w:t>A. ROTULAGEM</w:t>
      </w:r>
    </w:p>
    <w:p w14:paraId="6020FBD2" w14:textId="77777777" w:rsidR="00400398" w:rsidRPr="007232E4" w:rsidRDefault="00400398">
      <w:r w:rsidRPr="007232E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6E52D9C2" w14:textId="77777777">
        <w:tc>
          <w:tcPr>
            <w:tcW w:w="9287" w:type="dxa"/>
          </w:tcPr>
          <w:p w14:paraId="6C698D30" w14:textId="77777777" w:rsidR="00400398" w:rsidRPr="00215594" w:rsidRDefault="00400398">
            <w:pPr>
              <w:rPr>
                <w:b/>
              </w:rPr>
            </w:pPr>
            <w:r w:rsidRPr="00215594">
              <w:rPr>
                <w:b/>
              </w:rPr>
              <w:lastRenderedPageBreak/>
              <w:t>INDICAÇÕES A INCLUIR NO ACONDICIONAMENTO SECUNDÁRIO</w:t>
            </w:r>
          </w:p>
          <w:p w14:paraId="285A6BD7" w14:textId="77777777" w:rsidR="00400398" w:rsidRPr="00215594" w:rsidRDefault="00400398">
            <w:pPr>
              <w:rPr>
                <w:b/>
              </w:rPr>
            </w:pPr>
          </w:p>
          <w:p w14:paraId="2FE7E542" w14:textId="77777777" w:rsidR="00400398" w:rsidRPr="00215594" w:rsidRDefault="00400398">
            <w:pPr>
              <w:rPr>
                <w:b/>
              </w:rPr>
            </w:pPr>
            <w:r w:rsidRPr="00215594">
              <w:rPr>
                <w:b/>
              </w:rPr>
              <w:t>EMBALAGEM EXTERIOR</w:t>
            </w:r>
          </w:p>
        </w:tc>
      </w:tr>
    </w:tbl>
    <w:p w14:paraId="7B78DDEF" w14:textId="77777777" w:rsidR="00400398" w:rsidRPr="007232E4" w:rsidRDefault="00400398"/>
    <w:p w14:paraId="66E720C5"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127C4167" w14:textId="77777777">
        <w:tc>
          <w:tcPr>
            <w:tcW w:w="9287" w:type="dxa"/>
          </w:tcPr>
          <w:p w14:paraId="4BE104A6" w14:textId="77777777" w:rsidR="00400398" w:rsidRPr="00215594" w:rsidRDefault="00400398">
            <w:pPr>
              <w:tabs>
                <w:tab w:val="left" w:pos="142"/>
              </w:tabs>
              <w:ind w:left="567" w:hanging="567"/>
              <w:rPr>
                <w:b/>
              </w:rPr>
            </w:pPr>
            <w:r w:rsidRPr="00215594">
              <w:rPr>
                <w:b/>
              </w:rPr>
              <w:t>1.</w:t>
            </w:r>
            <w:r w:rsidRPr="00215594">
              <w:rPr>
                <w:b/>
              </w:rPr>
              <w:tab/>
              <w:t>NOME DO MEDICAMENTO</w:t>
            </w:r>
          </w:p>
        </w:tc>
      </w:tr>
    </w:tbl>
    <w:p w14:paraId="43E5D1E0" w14:textId="77777777" w:rsidR="00400398" w:rsidRPr="007232E4" w:rsidRDefault="00400398"/>
    <w:p w14:paraId="62B166D3" w14:textId="77777777" w:rsidR="00400398" w:rsidRPr="007232E4" w:rsidRDefault="00CF4B1B">
      <w:r>
        <w:t xml:space="preserve">Aybintio </w:t>
      </w:r>
      <w:r w:rsidR="00400398" w:rsidRPr="007232E4">
        <w:t>25 mg/ml concentrado para solução para perfusão</w:t>
      </w:r>
    </w:p>
    <w:p w14:paraId="4AC28E6F" w14:textId="77777777" w:rsidR="00400398" w:rsidRPr="007232E4" w:rsidRDefault="000D0309">
      <w:r>
        <w:t>b</w:t>
      </w:r>
      <w:r w:rsidR="00400398" w:rsidRPr="007232E4">
        <w:t>evacizumab</w:t>
      </w:r>
    </w:p>
    <w:p w14:paraId="24DF13BD" w14:textId="77777777" w:rsidR="00400398" w:rsidRPr="007232E4" w:rsidRDefault="00400398"/>
    <w:p w14:paraId="1D050437"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0A99FAAF" w14:textId="77777777">
        <w:tc>
          <w:tcPr>
            <w:tcW w:w="9287" w:type="dxa"/>
          </w:tcPr>
          <w:p w14:paraId="647F818D" w14:textId="77777777" w:rsidR="00400398" w:rsidRPr="00215594" w:rsidRDefault="00400398">
            <w:pPr>
              <w:tabs>
                <w:tab w:val="left" w:pos="142"/>
              </w:tabs>
              <w:ind w:left="567" w:hanging="567"/>
              <w:rPr>
                <w:b/>
              </w:rPr>
            </w:pPr>
            <w:r w:rsidRPr="00215594">
              <w:rPr>
                <w:b/>
              </w:rPr>
              <w:t>2.</w:t>
            </w:r>
            <w:r w:rsidRPr="00215594">
              <w:rPr>
                <w:b/>
              </w:rPr>
              <w:tab/>
              <w:t>DESCRIÇÃO DA(S) SUBSTÂNCIA(S) ATIVA(S)</w:t>
            </w:r>
          </w:p>
        </w:tc>
      </w:tr>
    </w:tbl>
    <w:p w14:paraId="5032B3BC" w14:textId="77777777" w:rsidR="00400398" w:rsidRPr="007232E4" w:rsidRDefault="00400398"/>
    <w:p w14:paraId="44261AEC" w14:textId="77777777" w:rsidR="00400398" w:rsidRPr="007232E4" w:rsidRDefault="00400398">
      <w:r w:rsidRPr="007232E4">
        <w:t>Cada frasco para injetáveis contém 100 mg de bevacizumab.</w:t>
      </w:r>
    </w:p>
    <w:p w14:paraId="04E3B198" w14:textId="77777777" w:rsidR="00400398" w:rsidRPr="007232E4" w:rsidRDefault="00400398"/>
    <w:p w14:paraId="2E20D03D"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5428E92B" w14:textId="77777777">
        <w:tc>
          <w:tcPr>
            <w:tcW w:w="9287" w:type="dxa"/>
          </w:tcPr>
          <w:p w14:paraId="3BE17A98" w14:textId="77777777" w:rsidR="00400398" w:rsidRPr="00215594" w:rsidRDefault="00400398">
            <w:pPr>
              <w:tabs>
                <w:tab w:val="left" w:pos="142"/>
              </w:tabs>
              <w:ind w:left="567" w:hanging="567"/>
              <w:rPr>
                <w:b/>
              </w:rPr>
            </w:pPr>
            <w:r w:rsidRPr="00215594">
              <w:rPr>
                <w:b/>
              </w:rPr>
              <w:t>3.</w:t>
            </w:r>
            <w:r w:rsidRPr="00215594">
              <w:rPr>
                <w:b/>
              </w:rPr>
              <w:tab/>
              <w:t>LISTA DOS EXCIPIENTES</w:t>
            </w:r>
          </w:p>
        </w:tc>
      </w:tr>
    </w:tbl>
    <w:p w14:paraId="4085E931" w14:textId="77777777" w:rsidR="00400398" w:rsidRPr="007232E4" w:rsidRDefault="00400398"/>
    <w:p w14:paraId="6C4FDD15" w14:textId="263F75FB" w:rsidR="00400398" w:rsidRPr="007232E4" w:rsidRDefault="00400398">
      <w:r w:rsidRPr="007232E4">
        <w:t xml:space="preserve">Trealose dihidratada, </w:t>
      </w:r>
      <w:r w:rsidR="00CF4B1B">
        <w:t>acet</w:t>
      </w:r>
      <w:r w:rsidR="00CF4B1B" w:rsidRPr="007232E4">
        <w:t xml:space="preserve">ato </w:t>
      </w:r>
      <w:r w:rsidRPr="007232E4">
        <w:t>de sódio</w:t>
      </w:r>
      <w:r w:rsidR="00CF4B1B">
        <w:t xml:space="preserve"> tri-hidratado, ácido acético</w:t>
      </w:r>
      <w:r w:rsidRPr="007232E4">
        <w:t>, polissorbato 20, água para preparações injetáveis.</w:t>
      </w:r>
      <w:r w:rsidR="00F36D72">
        <w:t xml:space="preserve"> </w:t>
      </w:r>
      <w:r w:rsidR="00F36D72" w:rsidRPr="002432F6">
        <w:rPr>
          <w:highlight w:val="lightGray"/>
        </w:rPr>
        <w:t>Consultar o folheto informativo para mais informações</w:t>
      </w:r>
    </w:p>
    <w:p w14:paraId="4EE15821" w14:textId="77777777" w:rsidR="00400398" w:rsidRPr="007232E4" w:rsidRDefault="00400398"/>
    <w:p w14:paraId="35FEBA3D"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6D66E052" w14:textId="77777777">
        <w:tc>
          <w:tcPr>
            <w:tcW w:w="9287" w:type="dxa"/>
          </w:tcPr>
          <w:p w14:paraId="083B7E3F" w14:textId="77777777" w:rsidR="00400398" w:rsidRPr="00215594" w:rsidRDefault="00400398">
            <w:pPr>
              <w:tabs>
                <w:tab w:val="left" w:pos="142"/>
              </w:tabs>
              <w:ind w:left="567" w:hanging="567"/>
              <w:rPr>
                <w:b/>
              </w:rPr>
            </w:pPr>
            <w:r w:rsidRPr="00215594">
              <w:rPr>
                <w:b/>
              </w:rPr>
              <w:t>4.</w:t>
            </w:r>
            <w:r w:rsidRPr="00215594">
              <w:rPr>
                <w:b/>
              </w:rPr>
              <w:tab/>
              <w:t>FORMA FARMACÊUTICA E CONTEÚDO</w:t>
            </w:r>
          </w:p>
        </w:tc>
      </w:tr>
    </w:tbl>
    <w:p w14:paraId="1EB894CA" w14:textId="77777777" w:rsidR="00400398" w:rsidRPr="007232E4" w:rsidRDefault="00400398"/>
    <w:p w14:paraId="2A30CB8C" w14:textId="77777777" w:rsidR="00400398" w:rsidRPr="00845F46" w:rsidRDefault="00400398">
      <w:pPr>
        <w:rPr>
          <w:highlight w:val="lightGray"/>
        </w:rPr>
      </w:pPr>
      <w:r w:rsidRPr="00845F46">
        <w:rPr>
          <w:highlight w:val="lightGray"/>
        </w:rPr>
        <w:t>Concentrado para solução para perfusão</w:t>
      </w:r>
    </w:p>
    <w:p w14:paraId="2CFD7C3F" w14:textId="77777777" w:rsidR="00400398" w:rsidRPr="007232E4" w:rsidRDefault="00400398">
      <w:r w:rsidRPr="007232E4">
        <w:t>1 frasco para injetáveis de 4 ml</w:t>
      </w:r>
    </w:p>
    <w:p w14:paraId="1394542E" w14:textId="77777777" w:rsidR="00400398" w:rsidRPr="00C82494" w:rsidRDefault="00400398" w:rsidP="00B2708C">
      <w:pPr>
        <w:rPr>
          <w:noProof/>
        </w:rPr>
      </w:pPr>
      <w:r w:rsidRPr="00C82494">
        <w:rPr>
          <w:noProof/>
        </w:rPr>
        <w:t>100</w:t>
      </w:r>
      <w:r>
        <w:rPr>
          <w:noProof/>
        </w:rPr>
        <w:t> </w:t>
      </w:r>
      <w:r w:rsidRPr="00C82494">
        <w:rPr>
          <w:noProof/>
        </w:rPr>
        <w:t>mg/4</w:t>
      </w:r>
      <w:r>
        <w:rPr>
          <w:noProof/>
        </w:rPr>
        <w:t> </w:t>
      </w:r>
      <w:r w:rsidRPr="00C82494">
        <w:rPr>
          <w:noProof/>
        </w:rPr>
        <w:t>ml</w:t>
      </w:r>
    </w:p>
    <w:p w14:paraId="3C6E33A4" w14:textId="77777777" w:rsidR="00400398" w:rsidRPr="007232E4" w:rsidRDefault="00400398"/>
    <w:p w14:paraId="6ABFE6A1"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0E375802" w14:textId="77777777">
        <w:tc>
          <w:tcPr>
            <w:tcW w:w="9287" w:type="dxa"/>
          </w:tcPr>
          <w:p w14:paraId="5EFF9656" w14:textId="77777777" w:rsidR="00400398" w:rsidRPr="00215594" w:rsidRDefault="00400398">
            <w:pPr>
              <w:tabs>
                <w:tab w:val="left" w:pos="142"/>
              </w:tabs>
              <w:ind w:left="567" w:hanging="567"/>
              <w:rPr>
                <w:b/>
              </w:rPr>
            </w:pPr>
            <w:r w:rsidRPr="00215594">
              <w:rPr>
                <w:b/>
              </w:rPr>
              <w:t>5.</w:t>
            </w:r>
            <w:r w:rsidRPr="00215594">
              <w:rPr>
                <w:b/>
              </w:rPr>
              <w:tab/>
              <w:t>MODO E VIA(S) DE ADMINISTRAÇÃO</w:t>
            </w:r>
          </w:p>
        </w:tc>
      </w:tr>
    </w:tbl>
    <w:p w14:paraId="7C37F461" w14:textId="77777777" w:rsidR="00400398" w:rsidRPr="007232E4" w:rsidRDefault="00400398"/>
    <w:p w14:paraId="09A71B29" w14:textId="77777777" w:rsidR="00400398" w:rsidRPr="007232E4" w:rsidRDefault="00400398">
      <w:r w:rsidRPr="007232E4">
        <w:t xml:space="preserve">Para administração intravenosa após diluição </w:t>
      </w:r>
    </w:p>
    <w:p w14:paraId="6AC9B95A" w14:textId="77777777" w:rsidR="00400398" w:rsidRPr="007232E4" w:rsidRDefault="00400398">
      <w:r w:rsidRPr="007232E4">
        <w:t>Consultar o folheto informativo antes de utilizar</w:t>
      </w:r>
      <w:r w:rsidR="00583284">
        <w:t>.</w:t>
      </w:r>
    </w:p>
    <w:p w14:paraId="57D89A25" w14:textId="77777777" w:rsidR="00400398" w:rsidRPr="007232E4" w:rsidRDefault="00400398"/>
    <w:p w14:paraId="2B9E5F60"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0803E89A" w14:textId="77777777">
        <w:trPr>
          <w:cantSplit/>
        </w:trPr>
        <w:tc>
          <w:tcPr>
            <w:tcW w:w="9287" w:type="dxa"/>
          </w:tcPr>
          <w:p w14:paraId="75BDA8DC" w14:textId="77777777" w:rsidR="00400398" w:rsidRPr="00215594" w:rsidRDefault="00400398" w:rsidP="00711068">
            <w:pPr>
              <w:tabs>
                <w:tab w:val="left" w:pos="142"/>
              </w:tabs>
              <w:ind w:left="567" w:hanging="567"/>
              <w:rPr>
                <w:b/>
              </w:rPr>
            </w:pPr>
            <w:r w:rsidRPr="00215594">
              <w:rPr>
                <w:b/>
              </w:rPr>
              <w:t>6.</w:t>
            </w:r>
            <w:r w:rsidRPr="00215594">
              <w:rPr>
                <w:b/>
              </w:rPr>
              <w:tab/>
              <w:t>ADVERTÊNCIA ESPECIAL DE QUE O MEDICAMENTO DEVE SER MANTIDO FORA DA VISTA E DO ALCANCE DAS CRIANÇAS</w:t>
            </w:r>
          </w:p>
        </w:tc>
      </w:tr>
    </w:tbl>
    <w:p w14:paraId="18FF05FC" w14:textId="77777777" w:rsidR="00400398" w:rsidRPr="007232E4" w:rsidRDefault="00400398"/>
    <w:p w14:paraId="0A954434" w14:textId="77777777" w:rsidR="00400398" w:rsidRPr="007232E4" w:rsidRDefault="00400398">
      <w:r w:rsidRPr="007232E4">
        <w:t>Manter fora da vista e do alcance das crianças</w:t>
      </w:r>
      <w:r w:rsidR="00583284">
        <w:t>.</w:t>
      </w:r>
    </w:p>
    <w:p w14:paraId="1B664673" w14:textId="77777777" w:rsidR="00400398" w:rsidRPr="007232E4" w:rsidRDefault="00400398"/>
    <w:p w14:paraId="3DA96F29"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15E39DC8" w14:textId="77777777">
        <w:tc>
          <w:tcPr>
            <w:tcW w:w="9287" w:type="dxa"/>
          </w:tcPr>
          <w:p w14:paraId="281A5961" w14:textId="77777777" w:rsidR="00400398" w:rsidRPr="00215594" w:rsidRDefault="00400398">
            <w:pPr>
              <w:tabs>
                <w:tab w:val="left" w:pos="142"/>
              </w:tabs>
              <w:ind w:left="567" w:hanging="567"/>
              <w:rPr>
                <w:b/>
              </w:rPr>
            </w:pPr>
            <w:r w:rsidRPr="00215594">
              <w:rPr>
                <w:b/>
              </w:rPr>
              <w:t>7.</w:t>
            </w:r>
            <w:r w:rsidRPr="00215594">
              <w:rPr>
                <w:b/>
              </w:rPr>
              <w:tab/>
              <w:t>OUTRAS ADVERTÊNCIAS ESPECIAIS, SE NECESSÁRIO</w:t>
            </w:r>
          </w:p>
        </w:tc>
      </w:tr>
    </w:tbl>
    <w:p w14:paraId="5828B654" w14:textId="77777777" w:rsidR="00400398" w:rsidRPr="007232E4" w:rsidRDefault="00400398"/>
    <w:p w14:paraId="2CE7A8F5"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74465881" w14:textId="77777777">
        <w:tc>
          <w:tcPr>
            <w:tcW w:w="9287" w:type="dxa"/>
          </w:tcPr>
          <w:p w14:paraId="4E497CD2" w14:textId="77777777" w:rsidR="00400398" w:rsidRPr="00215594" w:rsidRDefault="00400398">
            <w:pPr>
              <w:tabs>
                <w:tab w:val="left" w:pos="142"/>
              </w:tabs>
              <w:ind w:left="567" w:hanging="567"/>
              <w:rPr>
                <w:b/>
              </w:rPr>
            </w:pPr>
            <w:r w:rsidRPr="00215594">
              <w:rPr>
                <w:b/>
              </w:rPr>
              <w:t>8.</w:t>
            </w:r>
            <w:r w:rsidRPr="00215594">
              <w:rPr>
                <w:b/>
              </w:rPr>
              <w:tab/>
              <w:t>PRAZO DE VALIDADE</w:t>
            </w:r>
          </w:p>
        </w:tc>
      </w:tr>
    </w:tbl>
    <w:p w14:paraId="49BE535C" w14:textId="77777777" w:rsidR="00400398" w:rsidRPr="007232E4" w:rsidRDefault="00400398"/>
    <w:p w14:paraId="2590CC10" w14:textId="77777777" w:rsidR="00400398" w:rsidRPr="007232E4" w:rsidRDefault="00583284">
      <w:r>
        <w:t>EXP</w:t>
      </w:r>
      <w:r w:rsidR="00400398" w:rsidRPr="007232E4">
        <w:t>.</w:t>
      </w:r>
    </w:p>
    <w:p w14:paraId="3EF13AE9" w14:textId="77777777" w:rsidR="00400398" w:rsidRPr="007232E4" w:rsidRDefault="00400398"/>
    <w:p w14:paraId="476DBFDB"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5DDE9540" w14:textId="77777777">
        <w:tc>
          <w:tcPr>
            <w:tcW w:w="9287" w:type="dxa"/>
          </w:tcPr>
          <w:p w14:paraId="58660BC6" w14:textId="77777777" w:rsidR="00400398" w:rsidRPr="00215594" w:rsidRDefault="00400398">
            <w:pPr>
              <w:tabs>
                <w:tab w:val="left" w:pos="142"/>
              </w:tabs>
              <w:ind w:left="567" w:hanging="567"/>
            </w:pPr>
            <w:r w:rsidRPr="00215594">
              <w:rPr>
                <w:b/>
              </w:rPr>
              <w:t>9.</w:t>
            </w:r>
            <w:r w:rsidRPr="00215594">
              <w:rPr>
                <w:b/>
              </w:rPr>
              <w:tab/>
              <w:t>CONDIÇÕES ESPECIAIS DE CONSERVAÇÃO</w:t>
            </w:r>
          </w:p>
        </w:tc>
      </w:tr>
    </w:tbl>
    <w:p w14:paraId="3F10AEC9" w14:textId="77777777" w:rsidR="00400398" w:rsidRPr="007232E4" w:rsidRDefault="00400398"/>
    <w:p w14:paraId="7E0E3C7E" w14:textId="77777777" w:rsidR="00400398" w:rsidRPr="007232E4" w:rsidRDefault="00400398">
      <w:r w:rsidRPr="007232E4">
        <w:t>Conservar no frigorífico</w:t>
      </w:r>
      <w:r w:rsidR="00157612">
        <w:t>.</w:t>
      </w:r>
      <w:r w:rsidRPr="007232E4">
        <w:t xml:space="preserve"> </w:t>
      </w:r>
    </w:p>
    <w:p w14:paraId="0333A80F" w14:textId="77777777" w:rsidR="00400398" w:rsidRPr="007232E4" w:rsidRDefault="00400398">
      <w:r w:rsidRPr="007232E4">
        <w:t>Não congelar</w:t>
      </w:r>
      <w:r w:rsidR="00157612">
        <w:t>.</w:t>
      </w:r>
    </w:p>
    <w:p w14:paraId="6FC30BB5" w14:textId="6A1A9A59" w:rsidR="00400398" w:rsidRPr="007232E4" w:rsidRDefault="00400398">
      <w:r w:rsidRPr="007232E4">
        <w:t>Manter o frasco para injetáveis dentro da embalagem exterior</w:t>
      </w:r>
      <w:r w:rsidR="00F36D72">
        <w:t xml:space="preserve"> para proteger da luz</w:t>
      </w:r>
      <w:r w:rsidR="00157612">
        <w:t>.</w:t>
      </w:r>
    </w:p>
    <w:p w14:paraId="28A50ACE" w14:textId="77777777" w:rsidR="00400398" w:rsidRPr="007232E4" w:rsidRDefault="00400398"/>
    <w:p w14:paraId="5E9C488A"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570C5E2A" w14:textId="77777777">
        <w:trPr>
          <w:cantSplit/>
        </w:trPr>
        <w:tc>
          <w:tcPr>
            <w:tcW w:w="9287" w:type="dxa"/>
          </w:tcPr>
          <w:p w14:paraId="2C97CFD1" w14:textId="77777777" w:rsidR="00400398" w:rsidRPr="00215594" w:rsidRDefault="00400398">
            <w:pPr>
              <w:tabs>
                <w:tab w:val="left" w:pos="142"/>
              </w:tabs>
              <w:ind w:left="567" w:hanging="567"/>
              <w:rPr>
                <w:b/>
              </w:rPr>
            </w:pPr>
            <w:r w:rsidRPr="00215594">
              <w:rPr>
                <w:b/>
              </w:rPr>
              <w:lastRenderedPageBreak/>
              <w:t>10.</w:t>
            </w:r>
            <w:r w:rsidRPr="00215594">
              <w:rPr>
                <w:b/>
              </w:rPr>
              <w:tab/>
              <w:t>CUIDADOS ESPECIAIS QUANTO À ELIMINAÇÃO DO MEDICAMENTO NÃO UTILIZADO OU DOS RESÍDUOS PROVENIENTES DESSE MEDICAMENTO, SE APLICÁVEL</w:t>
            </w:r>
          </w:p>
        </w:tc>
      </w:tr>
    </w:tbl>
    <w:p w14:paraId="108557EA" w14:textId="77777777" w:rsidR="00400398" w:rsidRPr="007232E4" w:rsidRDefault="00400398"/>
    <w:p w14:paraId="668A59A3"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1107CDC4" w14:textId="77777777">
        <w:tc>
          <w:tcPr>
            <w:tcW w:w="9287" w:type="dxa"/>
          </w:tcPr>
          <w:p w14:paraId="649DB3CE" w14:textId="77777777" w:rsidR="00400398" w:rsidRPr="00215594" w:rsidRDefault="00400398">
            <w:pPr>
              <w:tabs>
                <w:tab w:val="left" w:pos="142"/>
              </w:tabs>
              <w:ind w:left="567" w:hanging="567"/>
              <w:rPr>
                <w:b/>
              </w:rPr>
            </w:pPr>
            <w:r w:rsidRPr="00215594">
              <w:rPr>
                <w:b/>
              </w:rPr>
              <w:t>11.</w:t>
            </w:r>
            <w:r w:rsidRPr="00215594">
              <w:rPr>
                <w:b/>
              </w:rPr>
              <w:tab/>
              <w:t>NOME E ENDEREÇO DO TITULAR DA AUTORIZAÇÃO DE INTRODUÇÃO NO MERCADO</w:t>
            </w:r>
          </w:p>
        </w:tc>
      </w:tr>
    </w:tbl>
    <w:p w14:paraId="736D8934" w14:textId="77777777" w:rsidR="00400398" w:rsidRPr="007232E4" w:rsidRDefault="00400398"/>
    <w:p w14:paraId="4C358826" w14:textId="77777777" w:rsidR="006A358C" w:rsidRPr="00D91337" w:rsidRDefault="009F6BAD" w:rsidP="006A358C">
      <w:r w:rsidRPr="009E7BE5">
        <w:rPr>
          <w:color w:val="000000"/>
          <w:szCs w:val="24"/>
          <w:lang w:eastAsia="ko-KR"/>
        </w:rPr>
        <w:t xml:space="preserve">Samsung Bioepis </w:t>
      </w:r>
      <w:r w:rsidRPr="0058485B">
        <w:rPr>
          <w:color w:val="000000"/>
          <w:szCs w:val="24"/>
          <w:lang w:eastAsia="ko-KR"/>
        </w:rPr>
        <w:t>NL B.V.</w:t>
      </w:r>
      <w:r w:rsidRPr="00472DFE">
        <w:rPr>
          <w:color w:val="000000"/>
          <w:szCs w:val="24"/>
          <w:lang w:eastAsia="ko-KR"/>
        </w:rPr>
        <w:br/>
        <w:t xml:space="preserve">Olof Palmestraat 10, </w:t>
      </w:r>
      <w:r w:rsidRPr="00A55B8C">
        <w:rPr>
          <w:color w:val="000000"/>
          <w:szCs w:val="24"/>
          <w:lang w:eastAsia="ko-KR"/>
        </w:rPr>
        <w:t>2616 LR Delft</w:t>
      </w:r>
      <w:r w:rsidRPr="00A55B8C">
        <w:rPr>
          <w:color w:val="000000"/>
          <w:szCs w:val="24"/>
          <w:lang w:eastAsia="ko-KR"/>
        </w:rPr>
        <w:br/>
      </w:r>
      <w:r w:rsidRPr="00FA027C">
        <w:rPr>
          <w:color w:val="000000"/>
          <w:szCs w:val="24"/>
          <w:lang w:eastAsia="ko-KR"/>
        </w:rPr>
        <w:t>Países Baixos</w:t>
      </w:r>
    </w:p>
    <w:p w14:paraId="3CB5082D" w14:textId="77777777" w:rsidR="00400398" w:rsidRPr="00D91337" w:rsidRDefault="00400398"/>
    <w:p w14:paraId="08076F2F" w14:textId="77777777" w:rsidR="00400398" w:rsidRPr="00D91337"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78BBBD61" w14:textId="77777777">
        <w:tc>
          <w:tcPr>
            <w:tcW w:w="9287" w:type="dxa"/>
          </w:tcPr>
          <w:p w14:paraId="20410078" w14:textId="77777777" w:rsidR="00400398" w:rsidRPr="00215594" w:rsidRDefault="00400398">
            <w:pPr>
              <w:tabs>
                <w:tab w:val="left" w:pos="142"/>
              </w:tabs>
              <w:ind w:left="567" w:hanging="567"/>
              <w:rPr>
                <w:b/>
              </w:rPr>
            </w:pPr>
            <w:r w:rsidRPr="00215594">
              <w:rPr>
                <w:b/>
              </w:rPr>
              <w:t>12.</w:t>
            </w:r>
            <w:r w:rsidRPr="00215594">
              <w:rPr>
                <w:b/>
              </w:rPr>
              <w:tab/>
              <w:t>NÚMERO(S) DA AUTORIZAÇÃO DE INTRODUÇÃO NO MERCADO</w:t>
            </w:r>
          </w:p>
        </w:tc>
      </w:tr>
    </w:tbl>
    <w:p w14:paraId="555D1E82" w14:textId="77777777" w:rsidR="00400398" w:rsidRPr="007232E4" w:rsidRDefault="00400398"/>
    <w:p w14:paraId="70684D32" w14:textId="77777777" w:rsidR="00400398" w:rsidRPr="007232E4" w:rsidRDefault="009F6BAD">
      <w:r w:rsidRPr="007447F5">
        <w:rPr>
          <w:noProof/>
          <w:szCs w:val="22"/>
          <w:lang w:eastAsia="ko-KR"/>
        </w:rPr>
        <w:t>EU/</w:t>
      </w:r>
      <w:r w:rsidR="0039760E">
        <w:rPr>
          <w:noProof/>
          <w:szCs w:val="22"/>
          <w:lang w:eastAsia="ko-KR"/>
        </w:rPr>
        <w:t>1/20/1454/001</w:t>
      </w:r>
    </w:p>
    <w:p w14:paraId="6C666D8C" w14:textId="77777777" w:rsidR="00400398" w:rsidRPr="007232E4" w:rsidRDefault="00400398"/>
    <w:p w14:paraId="308593C3"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1BDED5BF" w14:textId="77777777">
        <w:tc>
          <w:tcPr>
            <w:tcW w:w="9287" w:type="dxa"/>
          </w:tcPr>
          <w:p w14:paraId="0F827C14" w14:textId="77777777" w:rsidR="00400398" w:rsidRPr="00215594" w:rsidRDefault="00400398">
            <w:pPr>
              <w:tabs>
                <w:tab w:val="left" w:pos="142"/>
              </w:tabs>
              <w:ind w:left="567" w:hanging="567"/>
              <w:rPr>
                <w:b/>
              </w:rPr>
            </w:pPr>
            <w:r w:rsidRPr="00215594">
              <w:rPr>
                <w:b/>
              </w:rPr>
              <w:t>13.</w:t>
            </w:r>
            <w:r w:rsidRPr="00215594">
              <w:rPr>
                <w:b/>
              </w:rPr>
              <w:tab/>
              <w:t xml:space="preserve">NÚMERO DO LOTE </w:t>
            </w:r>
          </w:p>
        </w:tc>
      </w:tr>
    </w:tbl>
    <w:p w14:paraId="4EBAC8FE" w14:textId="77777777" w:rsidR="00400398" w:rsidRPr="007232E4" w:rsidRDefault="00400398"/>
    <w:p w14:paraId="6EBD927C" w14:textId="77777777" w:rsidR="00400398" w:rsidRPr="007232E4" w:rsidRDefault="00400398">
      <w:r w:rsidRPr="007232E4">
        <w:t>Lote</w:t>
      </w:r>
    </w:p>
    <w:p w14:paraId="79A9938F" w14:textId="77777777" w:rsidR="00400398" w:rsidRPr="007232E4" w:rsidRDefault="00400398"/>
    <w:p w14:paraId="798EC02B"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686FC20D" w14:textId="77777777">
        <w:tc>
          <w:tcPr>
            <w:tcW w:w="9287" w:type="dxa"/>
          </w:tcPr>
          <w:p w14:paraId="746F2F20" w14:textId="77777777" w:rsidR="00400398" w:rsidRPr="00215594" w:rsidRDefault="00400398">
            <w:pPr>
              <w:tabs>
                <w:tab w:val="left" w:pos="142"/>
              </w:tabs>
              <w:ind w:left="567" w:hanging="567"/>
              <w:rPr>
                <w:b/>
              </w:rPr>
            </w:pPr>
            <w:r w:rsidRPr="00215594">
              <w:rPr>
                <w:b/>
              </w:rPr>
              <w:t>14.</w:t>
            </w:r>
            <w:r w:rsidRPr="00215594">
              <w:rPr>
                <w:b/>
              </w:rPr>
              <w:tab/>
              <w:t>CLASSIFICAÇÃO QUANTO À DISPENSA AO PÚBLICO</w:t>
            </w:r>
          </w:p>
        </w:tc>
      </w:tr>
    </w:tbl>
    <w:p w14:paraId="22746E6D" w14:textId="77777777" w:rsidR="00400398" w:rsidRPr="007232E4" w:rsidRDefault="00400398"/>
    <w:p w14:paraId="67BD0F2E" w14:textId="77777777" w:rsidR="00400398" w:rsidRPr="007232E4" w:rsidRDefault="00400398"/>
    <w:p w14:paraId="5AFC51C5"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69E56A90" w14:textId="77777777">
        <w:tc>
          <w:tcPr>
            <w:tcW w:w="9287" w:type="dxa"/>
          </w:tcPr>
          <w:p w14:paraId="1CD9C849" w14:textId="77777777" w:rsidR="00400398" w:rsidRPr="00215594" w:rsidRDefault="00400398">
            <w:pPr>
              <w:tabs>
                <w:tab w:val="left" w:pos="142"/>
              </w:tabs>
              <w:ind w:left="567" w:hanging="567"/>
              <w:rPr>
                <w:b/>
              </w:rPr>
            </w:pPr>
            <w:r w:rsidRPr="00215594">
              <w:rPr>
                <w:b/>
              </w:rPr>
              <w:t>15.</w:t>
            </w:r>
            <w:r w:rsidRPr="00215594">
              <w:rPr>
                <w:b/>
              </w:rPr>
              <w:tab/>
              <w:t>INSTRUÇÕES DE UTILIZAÇÃO</w:t>
            </w:r>
          </w:p>
        </w:tc>
      </w:tr>
    </w:tbl>
    <w:p w14:paraId="2136128C" w14:textId="77777777" w:rsidR="00400398" w:rsidRPr="007232E4" w:rsidRDefault="00400398"/>
    <w:p w14:paraId="32723E7B"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4DD2316E" w14:textId="77777777">
        <w:tc>
          <w:tcPr>
            <w:tcW w:w="9287" w:type="dxa"/>
          </w:tcPr>
          <w:p w14:paraId="63D3C24F" w14:textId="77777777" w:rsidR="00400398" w:rsidRPr="00215594" w:rsidRDefault="00400398">
            <w:pPr>
              <w:tabs>
                <w:tab w:val="left" w:pos="142"/>
              </w:tabs>
              <w:ind w:left="567" w:hanging="567"/>
              <w:rPr>
                <w:b/>
              </w:rPr>
            </w:pPr>
            <w:r w:rsidRPr="00215594">
              <w:rPr>
                <w:b/>
              </w:rPr>
              <w:t>16.</w:t>
            </w:r>
            <w:r w:rsidRPr="00215594">
              <w:rPr>
                <w:b/>
              </w:rPr>
              <w:tab/>
              <w:t>INFORMAÇÃO EM BRAILLE</w:t>
            </w:r>
          </w:p>
        </w:tc>
      </w:tr>
    </w:tbl>
    <w:p w14:paraId="13BF35E9" w14:textId="77777777" w:rsidR="00400398" w:rsidRPr="007232E4" w:rsidRDefault="00400398"/>
    <w:p w14:paraId="2983E32B" w14:textId="77777777" w:rsidR="00400398" w:rsidRPr="007232E4" w:rsidRDefault="00400398">
      <w:r w:rsidRPr="00C82494">
        <w:rPr>
          <w:noProof/>
          <w:highlight w:val="lightGray"/>
        </w:rPr>
        <w:t xml:space="preserve">Foi aceite </w:t>
      </w:r>
      <w:r w:rsidRPr="000E7494">
        <w:rPr>
          <w:highlight w:val="lightGray"/>
        </w:rPr>
        <w:t>a</w:t>
      </w:r>
      <w:r w:rsidRPr="00C82494">
        <w:rPr>
          <w:noProof/>
          <w:highlight w:val="lightGray"/>
        </w:rPr>
        <w:t xml:space="preserve"> justificação para não incluir a informação em Braille</w:t>
      </w:r>
      <w:r w:rsidR="005769C3">
        <w:rPr>
          <w:highlight w:val="lightGray"/>
        </w:rPr>
        <w:t>.</w:t>
      </w:r>
    </w:p>
    <w:p w14:paraId="43AEB2F3" w14:textId="77777777" w:rsidR="00400398" w:rsidRPr="007232E4" w:rsidRDefault="00400398"/>
    <w:p w14:paraId="2013F550" w14:textId="77777777" w:rsidR="00E1105C" w:rsidRDefault="00E1105C" w:rsidP="00E1105C">
      <w:pPr>
        <w:rPr>
          <w:shd w:val="clear" w:color="auto" w:fill="CCCCCC"/>
        </w:rPr>
      </w:pPr>
    </w:p>
    <w:p w14:paraId="38B6BA28" w14:textId="77777777" w:rsidR="00E1105C" w:rsidRPr="00C05F62" w:rsidRDefault="00E1105C" w:rsidP="00E1105C">
      <w:pPr>
        <w:pBdr>
          <w:top w:val="single" w:sz="4" w:space="1" w:color="auto"/>
          <w:left w:val="single" w:sz="4" w:space="4" w:color="auto"/>
          <w:bottom w:val="single" w:sz="4" w:space="1" w:color="auto"/>
          <w:right w:val="single" w:sz="4" w:space="4" w:color="auto"/>
        </w:pBdr>
        <w:suppressAutoHyphens/>
        <w:ind w:left="567" w:hanging="567"/>
        <w:rPr>
          <w:b/>
          <w:szCs w:val="22"/>
        </w:rPr>
      </w:pPr>
      <w:r w:rsidRPr="00C05F62">
        <w:rPr>
          <w:b/>
          <w:szCs w:val="22"/>
        </w:rPr>
        <w:t>17.</w:t>
      </w:r>
      <w:r w:rsidRPr="00C05F62">
        <w:rPr>
          <w:b/>
          <w:szCs w:val="22"/>
        </w:rPr>
        <w:tab/>
        <w:t>IDENTIFICADOR ÚNICO – CÓDIGO DE BARRAS 2D</w:t>
      </w:r>
    </w:p>
    <w:p w14:paraId="55105DEE" w14:textId="77777777" w:rsidR="00E1105C" w:rsidRPr="006A46E8" w:rsidRDefault="00E1105C" w:rsidP="00E1105C">
      <w:pPr>
        <w:rPr>
          <w:noProof/>
          <w:lang w:val="es-ES"/>
        </w:rPr>
      </w:pPr>
    </w:p>
    <w:p w14:paraId="6FF065A6" w14:textId="77777777" w:rsidR="00E1105C" w:rsidRPr="00C31105" w:rsidRDefault="00E1105C" w:rsidP="00E1105C">
      <w:pPr>
        <w:rPr>
          <w:noProof/>
          <w:szCs w:val="22"/>
          <w:shd w:val="clear" w:color="auto" w:fill="CCCCCC"/>
        </w:rPr>
      </w:pPr>
      <w:r w:rsidRPr="00C31105">
        <w:rPr>
          <w:noProof/>
          <w:highlight w:val="lightGray"/>
        </w:rPr>
        <w:t>Código de barras 2D com identificador único incluído.</w:t>
      </w:r>
    </w:p>
    <w:p w14:paraId="74788A9C" w14:textId="77777777" w:rsidR="00E1105C" w:rsidRPr="00C31105" w:rsidRDefault="00E1105C" w:rsidP="00E1105C">
      <w:pPr>
        <w:rPr>
          <w:noProof/>
        </w:rPr>
      </w:pPr>
    </w:p>
    <w:p w14:paraId="4F6A85DF" w14:textId="77777777" w:rsidR="00E1105C" w:rsidRPr="00C31105" w:rsidRDefault="00E1105C" w:rsidP="00E1105C">
      <w:pPr>
        <w:rPr>
          <w:noProof/>
        </w:rPr>
      </w:pPr>
    </w:p>
    <w:p w14:paraId="449E97F3" w14:textId="77777777" w:rsidR="00E1105C" w:rsidRPr="00C05F62" w:rsidRDefault="00E1105C" w:rsidP="00E1105C">
      <w:pPr>
        <w:pBdr>
          <w:top w:val="single" w:sz="4" w:space="1" w:color="auto"/>
          <w:left w:val="single" w:sz="4" w:space="4" w:color="auto"/>
          <w:bottom w:val="single" w:sz="4" w:space="1" w:color="auto"/>
          <w:right w:val="single" w:sz="4" w:space="4" w:color="auto"/>
        </w:pBdr>
        <w:suppressAutoHyphens/>
        <w:ind w:left="567" w:hanging="567"/>
        <w:rPr>
          <w:b/>
          <w:szCs w:val="22"/>
        </w:rPr>
      </w:pPr>
      <w:r w:rsidRPr="00C05F62">
        <w:rPr>
          <w:b/>
          <w:szCs w:val="22"/>
        </w:rPr>
        <w:t>18.</w:t>
      </w:r>
      <w:r w:rsidRPr="00C05F62">
        <w:rPr>
          <w:b/>
          <w:szCs w:val="22"/>
        </w:rPr>
        <w:tab/>
        <w:t>IDENTIFICADOR ÚNICO - DADOS PARA LEITURA HUMANA</w:t>
      </w:r>
    </w:p>
    <w:p w14:paraId="13381A40" w14:textId="77777777" w:rsidR="00E1105C" w:rsidRPr="00C31105" w:rsidRDefault="00E1105C" w:rsidP="00E1105C">
      <w:pPr>
        <w:rPr>
          <w:noProof/>
        </w:rPr>
      </w:pPr>
    </w:p>
    <w:p w14:paraId="6A53BBF9" w14:textId="77777777" w:rsidR="00E1105C" w:rsidRPr="00345F79" w:rsidRDefault="00E1105C" w:rsidP="00E1105C">
      <w:pPr>
        <w:rPr>
          <w:color w:val="008000"/>
          <w:szCs w:val="22"/>
        </w:rPr>
      </w:pPr>
      <w:r>
        <w:t xml:space="preserve">PC </w:t>
      </w:r>
    </w:p>
    <w:p w14:paraId="295F3E8A" w14:textId="77777777" w:rsidR="00E1105C" w:rsidRPr="00C05F62" w:rsidRDefault="00E1105C" w:rsidP="00E1105C">
      <w:pPr>
        <w:rPr>
          <w:szCs w:val="22"/>
          <w:lang w:val="fr-CH"/>
        </w:rPr>
      </w:pPr>
      <w:r w:rsidRPr="00C05F62">
        <w:rPr>
          <w:lang w:val="fr-CH"/>
        </w:rPr>
        <w:t>SN</w:t>
      </w:r>
    </w:p>
    <w:p w14:paraId="45EEEA02" w14:textId="77777777" w:rsidR="00E1105C" w:rsidRPr="00C937E7" w:rsidRDefault="00E1105C" w:rsidP="00E1105C">
      <w:pPr>
        <w:rPr>
          <w:szCs w:val="22"/>
        </w:rPr>
      </w:pPr>
      <w:r>
        <w:t>NN</w:t>
      </w:r>
    </w:p>
    <w:p w14:paraId="79941934" w14:textId="77777777" w:rsidR="00400398" w:rsidRPr="007232E4" w:rsidRDefault="00400398">
      <w:pPr>
        <w:rPr>
          <w:b/>
        </w:rPr>
      </w:pPr>
      <w:r w:rsidRPr="007232E4">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10B5B754" w14:textId="77777777">
        <w:trPr>
          <w:trHeight w:val="785"/>
        </w:trPr>
        <w:tc>
          <w:tcPr>
            <w:tcW w:w="9287" w:type="dxa"/>
          </w:tcPr>
          <w:p w14:paraId="4197CEDC" w14:textId="77777777" w:rsidR="00400398" w:rsidRPr="00215594" w:rsidRDefault="00400398">
            <w:pPr>
              <w:rPr>
                <w:b/>
              </w:rPr>
            </w:pPr>
            <w:r w:rsidRPr="00215594">
              <w:rPr>
                <w:b/>
              </w:rPr>
              <w:lastRenderedPageBreak/>
              <w:t>INDICAÇÕES MÍNIMAS A INCLUIR EM PEQUENAS UNIDADES DE ACONDICIONAMENTO PRIMÁRIO</w:t>
            </w:r>
          </w:p>
          <w:p w14:paraId="77E7A835" w14:textId="77777777" w:rsidR="00400398" w:rsidRPr="00215594" w:rsidRDefault="00400398">
            <w:pPr>
              <w:rPr>
                <w:b/>
              </w:rPr>
            </w:pPr>
          </w:p>
          <w:p w14:paraId="0D2CF4BD" w14:textId="77777777" w:rsidR="00400398" w:rsidRPr="00215594" w:rsidRDefault="00400398" w:rsidP="00711068">
            <w:pPr>
              <w:rPr>
                <w:b/>
              </w:rPr>
            </w:pPr>
            <w:r w:rsidRPr="00215594">
              <w:rPr>
                <w:b/>
              </w:rPr>
              <w:t>FRASCO PARA INJETÁVEIS</w:t>
            </w:r>
          </w:p>
        </w:tc>
      </w:tr>
    </w:tbl>
    <w:p w14:paraId="2646BBA1" w14:textId="77777777" w:rsidR="00400398" w:rsidRPr="007232E4" w:rsidRDefault="00400398">
      <w:pPr>
        <w:rPr>
          <w:b/>
        </w:rPr>
      </w:pPr>
    </w:p>
    <w:p w14:paraId="0298C61D" w14:textId="77777777" w:rsidR="00400398" w:rsidRPr="007232E4" w:rsidRDefault="0040039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088C5B39" w14:textId="77777777">
        <w:tc>
          <w:tcPr>
            <w:tcW w:w="9287" w:type="dxa"/>
          </w:tcPr>
          <w:p w14:paraId="39F509F9" w14:textId="77777777" w:rsidR="00400398" w:rsidRPr="00215594" w:rsidRDefault="00400398">
            <w:pPr>
              <w:tabs>
                <w:tab w:val="left" w:pos="142"/>
              </w:tabs>
              <w:ind w:left="567" w:hanging="567"/>
              <w:rPr>
                <w:b/>
              </w:rPr>
            </w:pPr>
            <w:r w:rsidRPr="00215594">
              <w:rPr>
                <w:b/>
              </w:rPr>
              <w:t>1.</w:t>
            </w:r>
            <w:r w:rsidRPr="00215594">
              <w:rPr>
                <w:b/>
              </w:rPr>
              <w:tab/>
              <w:t>NOME DO MEDICAMENTO E VIA(S) DE ADMINISTRAÇÃO</w:t>
            </w:r>
          </w:p>
        </w:tc>
      </w:tr>
    </w:tbl>
    <w:p w14:paraId="0B9441F2" w14:textId="77777777" w:rsidR="00400398" w:rsidRPr="007232E4" w:rsidRDefault="00400398">
      <w:pPr>
        <w:ind w:left="567" w:hanging="567"/>
      </w:pPr>
    </w:p>
    <w:p w14:paraId="51B2A925" w14:textId="77777777" w:rsidR="00400398" w:rsidRPr="007232E4" w:rsidRDefault="009F6BAD">
      <w:r>
        <w:t>Aybintio</w:t>
      </w:r>
      <w:r w:rsidRPr="007232E4">
        <w:t xml:space="preserve"> </w:t>
      </w:r>
      <w:r w:rsidR="00400398" w:rsidRPr="007232E4">
        <w:t xml:space="preserve">25 mg/ml concentrado </w:t>
      </w:r>
      <w:r w:rsidR="00A55B8C">
        <w:t>estéril</w:t>
      </w:r>
    </w:p>
    <w:p w14:paraId="4E0FCE2D" w14:textId="77777777" w:rsidR="00400398" w:rsidRPr="007232E4" w:rsidRDefault="000D0309">
      <w:r>
        <w:t>b</w:t>
      </w:r>
      <w:r w:rsidR="00400398" w:rsidRPr="007232E4">
        <w:t>evacizumab</w:t>
      </w:r>
    </w:p>
    <w:p w14:paraId="4F65771A" w14:textId="77777777" w:rsidR="00400398" w:rsidRPr="00C82494" w:rsidRDefault="00400398" w:rsidP="00B2708C">
      <w:pPr>
        <w:rPr>
          <w:noProof/>
        </w:rPr>
      </w:pPr>
      <w:r w:rsidRPr="00C82494">
        <w:rPr>
          <w:noProof/>
        </w:rPr>
        <w:t>IV</w:t>
      </w:r>
      <w:r w:rsidR="00157612">
        <w:rPr>
          <w:noProof/>
        </w:rPr>
        <w:t xml:space="preserve"> após diluição</w:t>
      </w:r>
    </w:p>
    <w:p w14:paraId="029709B9" w14:textId="77777777" w:rsidR="00400398" w:rsidRPr="00C82494" w:rsidRDefault="00400398">
      <w:pPr>
        <w:rPr>
          <w:noProof/>
        </w:rPr>
      </w:pPr>
    </w:p>
    <w:p w14:paraId="775CB98C" w14:textId="77777777" w:rsidR="00400398" w:rsidRPr="007232E4" w:rsidRDefault="0040039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343CC7CD" w14:textId="77777777">
        <w:tc>
          <w:tcPr>
            <w:tcW w:w="9287" w:type="dxa"/>
          </w:tcPr>
          <w:p w14:paraId="3B472AAB" w14:textId="77777777" w:rsidR="00400398" w:rsidRPr="00215594" w:rsidRDefault="00400398">
            <w:pPr>
              <w:tabs>
                <w:tab w:val="left" w:pos="142"/>
              </w:tabs>
              <w:ind w:left="567" w:hanging="567"/>
              <w:rPr>
                <w:b/>
              </w:rPr>
            </w:pPr>
            <w:r w:rsidRPr="00215594">
              <w:rPr>
                <w:b/>
              </w:rPr>
              <w:t>2.</w:t>
            </w:r>
            <w:r w:rsidRPr="00215594">
              <w:rPr>
                <w:b/>
              </w:rPr>
              <w:tab/>
              <w:t>MODO DE ADMINISTRAÇÃO</w:t>
            </w:r>
          </w:p>
        </w:tc>
      </w:tr>
    </w:tbl>
    <w:p w14:paraId="1AC9C99C" w14:textId="77777777" w:rsidR="00400398" w:rsidRPr="007232E4" w:rsidRDefault="00400398">
      <w:pPr>
        <w:rPr>
          <w:b/>
        </w:rPr>
      </w:pPr>
    </w:p>
    <w:p w14:paraId="4A4819BF" w14:textId="77777777" w:rsidR="00400398" w:rsidRPr="007232E4" w:rsidRDefault="00400398"/>
    <w:p w14:paraId="4B109771"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39EFEAF7" w14:textId="77777777">
        <w:tc>
          <w:tcPr>
            <w:tcW w:w="9287" w:type="dxa"/>
          </w:tcPr>
          <w:p w14:paraId="568EA8D6" w14:textId="77777777" w:rsidR="00400398" w:rsidRPr="00215594" w:rsidRDefault="00400398">
            <w:pPr>
              <w:tabs>
                <w:tab w:val="left" w:pos="142"/>
              </w:tabs>
              <w:ind w:left="567" w:hanging="567"/>
              <w:rPr>
                <w:b/>
              </w:rPr>
            </w:pPr>
            <w:r w:rsidRPr="00215594">
              <w:rPr>
                <w:b/>
              </w:rPr>
              <w:t>3.</w:t>
            </w:r>
            <w:r w:rsidRPr="00215594">
              <w:rPr>
                <w:b/>
              </w:rPr>
              <w:tab/>
              <w:t>PRAZO DE VALIDADE</w:t>
            </w:r>
          </w:p>
        </w:tc>
      </w:tr>
    </w:tbl>
    <w:p w14:paraId="4415DBAC" w14:textId="77777777" w:rsidR="00400398" w:rsidRPr="007232E4" w:rsidRDefault="00400398"/>
    <w:p w14:paraId="15993C70" w14:textId="77777777" w:rsidR="00400398" w:rsidRPr="007232E4" w:rsidRDefault="00400398">
      <w:r w:rsidRPr="007232E4">
        <w:t>EXP</w:t>
      </w:r>
    </w:p>
    <w:p w14:paraId="32B05E31" w14:textId="77777777" w:rsidR="00400398" w:rsidRPr="007232E4" w:rsidRDefault="00400398">
      <w:pPr>
        <w:rPr>
          <w:b/>
        </w:rPr>
      </w:pPr>
    </w:p>
    <w:p w14:paraId="331A5EE9"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48419009" w14:textId="77777777">
        <w:tc>
          <w:tcPr>
            <w:tcW w:w="9287" w:type="dxa"/>
          </w:tcPr>
          <w:p w14:paraId="15B7D3B5" w14:textId="77777777" w:rsidR="00400398" w:rsidRPr="00215594" w:rsidRDefault="00400398">
            <w:pPr>
              <w:tabs>
                <w:tab w:val="left" w:pos="142"/>
              </w:tabs>
              <w:ind w:left="567" w:hanging="567"/>
              <w:rPr>
                <w:b/>
              </w:rPr>
            </w:pPr>
            <w:r w:rsidRPr="00215594">
              <w:rPr>
                <w:b/>
              </w:rPr>
              <w:t>4.</w:t>
            </w:r>
            <w:r w:rsidRPr="00215594">
              <w:rPr>
                <w:b/>
              </w:rPr>
              <w:tab/>
              <w:t>NÚMERO DO LOTE</w:t>
            </w:r>
          </w:p>
        </w:tc>
      </w:tr>
    </w:tbl>
    <w:p w14:paraId="163F7579" w14:textId="77777777" w:rsidR="00400398" w:rsidRPr="007232E4" w:rsidRDefault="00400398"/>
    <w:p w14:paraId="1B8A7262" w14:textId="77777777" w:rsidR="00400398" w:rsidRPr="007232E4" w:rsidRDefault="00400398">
      <w:pPr>
        <w:ind w:right="113"/>
      </w:pPr>
      <w:r w:rsidRPr="007232E4">
        <w:t>Lot</w:t>
      </w:r>
    </w:p>
    <w:p w14:paraId="2952E1C2" w14:textId="77777777" w:rsidR="00400398" w:rsidRPr="007232E4" w:rsidRDefault="00400398">
      <w:pPr>
        <w:ind w:right="113"/>
      </w:pPr>
    </w:p>
    <w:p w14:paraId="6BABA63E" w14:textId="77777777" w:rsidR="00400398" w:rsidRPr="007232E4" w:rsidRDefault="00400398">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5AC55507" w14:textId="77777777">
        <w:tc>
          <w:tcPr>
            <w:tcW w:w="9287" w:type="dxa"/>
          </w:tcPr>
          <w:p w14:paraId="33157F67" w14:textId="77777777" w:rsidR="00400398" w:rsidRPr="00215594" w:rsidRDefault="00400398">
            <w:pPr>
              <w:tabs>
                <w:tab w:val="left" w:pos="142"/>
              </w:tabs>
              <w:ind w:left="567" w:hanging="567"/>
              <w:rPr>
                <w:b/>
              </w:rPr>
            </w:pPr>
            <w:r w:rsidRPr="00215594">
              <w:rPr>
                <w:b/>
              </w:rPr>
              <w:t>5.</w:t>
            </w:r>
            <w:r w:rsidRPr="00215594">
              <w:rPr>
                <w:b/>
              </w:rPr>
              <w:tab/>
              <w:t>CONTEÚDO EM PESO, VOLUME OU UNIDADE</w:t>
            </w:r>
          </w:p>
        </w:tc>
      </w:tr>
    </w:tbl>
    <w:p w14:paraId="5F5BD9BD" w14:textId="77777777" w:rsidR="00400398" w:rsidRPr="007232E4" w:rsidRDefault="00400398">
      <w:pPr>
        <w:rPr>
          <w:b/>
        </w:rPr>
      </w:pPr>
    </w:p>
    <w:p w14:paraId="61BD0C96" w14:textId="77777777" w:rsidR="00400398" w:rsidRPr="007232E4" w:rsidRDefault="00400398">
      <w:r w:rsidRPr="007232E4">
        <w:t>100 mg/4 ml</w:t>
      </w:r>
    </w:p>
    <w:p w14:paraId="2C98CA08" w14:textId="77777777" w:rsidR="00400398" w:rsidRPr="007232E4" w:rsidRDefault="00400398"/>
    <w:p w14:paraId="7C8B7230" w14:textId="77777777" w:rsidR="00400398" w:rsidRPr="007232E4" w:rsidRDefault="00400398">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3C398ACF" w14:textId="77777777">
        <w:tc>
          <w:tcPr>
            <w:tcW w:w="9287" w:type="dxa"/>
          </w:tcPr>
          <w:p w14:paraId="0CA8A11D" w14:textId="77777777" w:rsidR="00400398" w:rsidRPr="00215594" w:rsidRDefault="00400398">
            <w:pPr>
              <w:tabs>
                <w:tab w:val="left" w:pos="142"/>
              </w:tabs>
              <w:ind w:left="567" w:hanging="567"/>
              <w:rPr>
                <w:b/>
              </w:rPr>
            </w:pPr>
            <w:r w:rsidRPr="00215594">
              <w:rPr>
                <w:b/>
              </w:rPr>
              <w:t>6.</w:t>
            </w:r>
            <w:r w:rsidRPr="00215594">
              <w:rPr>
                <w:b/>
              </w:rPr>
              <w:tab/>
              <w:t>OUTR</w:t>
            </w:r>
            <w:r w:rsidR="005769C3">
              <w:rPr>
                <w:b/>
              </w:rPr>
              <w:t>O</w:t>
            </w:r>
            <w:r w:rsidRPr="00215594">
              <w:rPr>
                <w:b/>
              </w:rPr>
              <w:t>S</w:t>
            </w:r>
          </w:p>
        </w:tc>
      </w:tr>
    </w:tbl>
    <w:p w14:paraId="068F06A9" w14:textId="77777777" w:rsidR="00400398" w:rsidRDefault="00400398">
      <w:pPr>
        <w:rPr>
          <w:b/>
        </w:rPr>
      </w:pPr>
    </w:p>
    <w:p w14:paraId="37FF449B" w14:textId="77777777" w:rsidR="00B90A6C" w:rsidRPr="007232E4" w:rsidRDefault="00B90A6C">
      <w:pPr>
        <w:rPr>
          <w:b/>
        </w:rPr>
      </w:pPr>
    </w:p>
    <w:p w14:paraId="56F7C586" w14:textId="77777777" w:rsidR="00400398" w:rsidRPr="007232E4" w:rsidRDefault="00400398">
      <w:r w:rsidRPr="007232E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11EE4D8D" w14:textId="77777777">
        <w:tc>
          <w:tcPr>
            <w:tcW w:w="9287" w:type="dxa"/>
          </w:tcPr>
          <w:p w14:paraId="7A619000" w14:textId="77777777" w:rsidR="00400398" w:rsidRPr="00215594" w:rsidRDefault="00400398">
            <w:pPr>
              <w:rPr>
                <w:b/>
              </w:rPr>
            </w:pPr>
            <w:r w:rsidRPr="00215594">
              <w:rPr>
                <w:b/>
              </w:rPr>
              <w:lastRenderedPageBreak/>
              <w:t>INDICAÇÕES A INCLUIR NO ACONDICIONAMENTO SECUNDÁRIO</w:t>
            </w:r>
          </w:p>
          <w:p w14:paraId="0BDE468A" w14:textId="77777777" w:rsidR="00400398" w:rsidRPr="00215594" w:rsidRDefault="00400398">
            <w:pPr>
              <w:rPr>
                <w:b/>
              </w:rPr>
            </w:pPr>
          </w:p>
          <w:p w14:paraId="6944DD65" w14:textId="77777777" w:rsidR="00400398" w:rsidRPr="00215594" w:rsidRDefault="00400398">
            <w:pPr>
              <w:rPr>
                <w:b/>
              </w:rPr>
            </w:pPr>
            <w:r w:rsidRPr="00215594">
              <w:rPr>
                <w:b/>
              </w:rPr>
              <w:t>EMBALAGEM EXTERIOR</w:t>
            </w:r>
          </w:p>
        </w:tc>
      </w:tr>
    </w:tbl>
    <w:p w14:paraId="7E21D63D" w14:textId="77777777" w:rsidR="00400398" w:rsidRPr="007232E4" w:rsidRDefault="00400398"/>
    <w:p w14:paraId="7324CEF4"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1C0ECF4A" w14:textId="77777777">
        <w:tc>
          <w:tcPr>
            <w:tcW w:w="9287" w:type="dxa"/>
          </w:tcPr>
          <w:p w14:paraId="66245CF3" w14:textId="77777777" w:rsidR="00400398" w:rsidRPr="00215594" w:rsidRDefault="00400398">
            <w:pPr>
              <w:tabs>
                <w:tab w:val="left" w:pos="142"/>
              </w:tabs>
              <w:ind w:left="567" w:hanging="567"/>
              <w:rPr>
                <w:b/>
              </w:rPr>
            </w:pPr>
            <w:r w:rsidRPr="00215594">
              <w:rPr>
                <w:b/>
              </w:rPr>
              <w:t>1.</w:t>
            </w:r>
            <w:r w:rsidRPr="00215594">
              <w:rPr>
                <w:b/>
              </w:rPr>
              <w:tab/>
              <w:t>NOME DO MEDICAMENTO</w:t>
            </w:r>
          </w:p>
        </w:tc>
      </w:tr>
    </w:tbl>
    <w:p w14:paraId="7F330AC4" w14:textId="77777777" w:rsidR="00400398" w:rsidRPr="007232E4" w:rsidRDefault="00400398"/>
    <w:p w14:paraId="64310CF1" w14:textId="77777777" w:rsidR="00400398" w:rsidRPr="007232E4" w:rsidRDefault="009F6BAD">
      <w:r>
        <w:t xml:space="preserve">Aybintio </w:t>
      </w:r>
      <w:r w:rsidR="00400398" w:rsidRPr="007232E4">
        <w:t>25 mg/ml concentrado para solução para perfusão</w:t>
      </w:r>
    </w:p>
    <w:p w14:paraId="48CA709D" w14:textId="77777777" w:rsidR="00400398" w:rsidRPr="007232E4" w:rsidRDefault="000D0309">
      <w:r>
        <w:t>b</w:t>
      </w:r>
      <w:r w:rsidR="00400398" w:rsidRPr="007232E4">
        <w:t>evacizumab</w:t>
      </w:r>
    </w:p>
    <w:p w14:paraId="194F0291" w14:textId="77777777" w:rsidR="00400398" w:rsidRPr="007232E4" w:rsidRDefault="00400398"/>
    <w:p w14:paraId="07222BC0"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0C97B940" w14:textId="77777777">
        <w:tc>
          <w:tcPr>
            <w:tcW w:w="9287" w:type="dxa"/>
          </w:tcPr>
          <w:p w14:paraId="44F52BA2" w14:textId="77777777" w:rsidR="00400398" w:rsidRPr="00215594" w:rsidRDefault="00400398">
            <w:pPr>
              <w:tabs>
                <w:tab w:val="left" w:pos="142"/>
              </w:tabs>
              <w:ind w:left="567" w:hanging="567"/>
              <w:rPr>
                <w:b/>
              </w:rPr>
            </w:pPr>
            <w:r w:rsidRPr="00215594">
              <w:rPr>
                <w:b/>
              </w:rPr>
              <w:t>2.</w:t>
            </w:r>
            <w:r w:rsidRPr="00215594">
              <w:rPr>
                <w:b/>
              </w:rPr>
              <w:tab/>
              <w:t>DESCRIÇÃO DA(S) SUBSTÂNCIA(S) ATIVA(S)</w:t>
            </w:r>
          </w:p>
        </w:tc>
      </w:tr>
    </w:tbl>
    <w:p w14:paraId="33AA8619" w14:textId="77777777" w:rsidR="00400398" w:rsidRPr="007232E4" w:rsidRDefault="00400398"/>
    <w:p w14:paraId="2FE72940" w14:textId="77777777" w:rsidR="00400398" w:rsidRPr="007232E4" w:rsidRDefault="00400398">
      <w:r w:rsidRPr="007232E4">
        <w:t>Cada frasco para injetáveis contém 400 mg de bevacizumab.</w:t>
      </w:r>
    </w:p>
    <w:p w14:paraId="5226509E" w14:textId="77777777" w:rsidR="00400398" w:rsidRPr="007232E4" w:rsidRDefault="00400398"/>
    <w:p w14:paraId="22EFAB78"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7C61033E" w14:textId="77777777">
        <w:tc>
          <w:tcPr>
            <w:tcW w:w="9287" w:type="dxa"/>
          </w:tcPr>
          <w:p w14:paraId="5F91EDEA" w14:textId="77777777" w:rsidR="00400398" w:rsidRPr="00215594" w:rsidRDefault="00400398">
            <w:pPr>
              <w:tabs>
                <w:tab w:val="left" w:pos="142"/>
              </w:tabs>
              <w:ind w:left="567" w:hanging="567"/>
              <w:rPr>
                <w:b/>
              </w:rPr>
            </w:pPr>
            <w:r w:rsidRPr="00215594">
              <w:rPr>
                <w:b/>
              </w:rPr>
              <w:t>3.</w:t>
            </w:r>
            <w:r w:rsidRPr="00215594">
              <w:rPr>
                <w:b/>
              </w:rPr>
              <w:tab/>
              <w:t>LISTA DOS EXCIPIENTES</w:t>
            </w:r>
          </w:p>
        </w:tc>
      </w:tr>
    </w:tbl>
    <w:p w14:paraId="30C66E8A" w14:textId="77777777" w:rsidR="00400398" w:rsidRPr="007232E4" w:rsidRDefault="00400398"/>
    <w:p w14:paraId="478B7847" w14:textId="3784B60D" w:rsidR="00400398" w:rsidRPr="007232E4" w:rsidRDefault="00400398">
      <w:r w:rsidRPr="007232E4">
        <w:t xml:space="preserve">Trealose dihidratada, </w:t>
      </w:r>
      <w:r w:rsidR="009F6BAD">
        <w:t>acet</w:t>
      </w:r>
      <w:r w:rsidR="009F6BAD" w:rsidRPr="007232E4">
        <w:t xml:space="preserve">ato </w:t>
      </w:r>
      <w:r w:rsidRPr="007232E4">
        <w:t>de sódio</w:t>
      </w:r>
      <w:r w:rsidR="009F6BAD">
        <w:t xml:space="preserve"> tri-hidratado, ácido acético</w:t>
      </w:r>
      <w:r w:rsidRPr="007232E4">
        <w:t>, polissorbato 20, água para preparações injetáveis.</w:t>
      </w:r>
      <w:r w:rsidR="00F36D72">
        <w:t xml:space="preserve"> </w:t>
      </w:r>
      <w:r w:rsidR="00F36D72" w:rsidRPr="004E26DB">
        <w:rPr>
          <w:highlight w:val="lightGray"/>
        </w:rPr>
        <w:t>Consultar o folheto informativo para mais informações</w:t>
      </w:r>
    </w:p>
    <w:p w14:paraId="4C9214F5" w14:textId="77777777" w:rsidR="00400398" w:rsidRPr="007232E4" w:rsidRDefault="00400398"/>
    <w:p w14:paraId="1B3ADAB1"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44C565F0" w14:textId="77777777">
        <w:tc>
          <w:tcPr>
            <w:tcW w:w="9287" w:type="dxa"/>
          </w:tcPr>
          <w:p w14:paraId="3BE46A0E" w14:textId="77777777" w:rsidR="00400398" w:rsidRPr="00215594" w:rsidRDefault="00400398">
            <w:pPr>
              <w:tabs>
                <w:tab w:val="left" w:pos="142"/>
              </w:tabs>
              <w:ind w:left="567" w:hanging="567"/>
              <w:rPr>
                <w:b/>
              </w:rPr>
            </w:pPr>
            <w:r w:rsidRPr="00215594">
              <w:rPr>
                <w:b/>
              </w:rPr>
              <w:t>4.</w:t>
            </w:r>
            <w:r w:rsidRPr="00215594">
              <w:rPr>
                <w:b/>
              </w:rPr>
              <w:tab/>
              <w:t>FORMA FARMACÊUTICA E CONTEÚDO</w:t>
            </w:r>
          </w:p>
        </w:tc>
      </w:tr>
    </w:tbl>
    <w:p w14:paraId="63E493A2" w14:textId="77777777" w:rsidR="00400398" w:rsidRPr="007232E4" w:rsidRDefault="00400398"/>
    <w:p w14:paraId="530099D3" w14:textId="77777777" w:rsidR="00400398" w:rsidRPr="00845F46" w:rsidRDefault="00400398">
      <w:pPr>
        <w:rPr>
          <w:highlight w:val="lightGray"/>
        </w:rPr>
      </w:pPr>
      <w:r w:rsidRPr="00845F46">
        <w:rPr>
          <w:highlight w:val="lightGray"/>
        </w:rPr>
        <w:t>Concentrado para solução para perfusão</w:t>
      </w:r>
    </w:p>
    <w:p w14:paraId="591A03AD" w14:textId="77777777" w:rsidR="00400398" w:rsidRPr="007232E4" w:rsidRDefault="00400398">
      <w:r w:rsidRPr="007232E4">
        <w:t>1 frasco para injetáveis de 16 ml</w:t>
      </w:r>
    </w:p>
    <w:p w14:paraId="560BDD63" w14:textId="77777777" w:rsidR="00400398" w:rsidRPr="007232E4" w:rsidRDefault="00400398" w:rsidP="00B2708C">
      <w:r w:rsidRPr="00C82494">
        <w:rPr>
          <w:noProof/>
        </w:rPr>
        <w:t>400</w:t>
      </w:r>
      <w:r>
        <w:rPr>
          <w:noProof/>
        </w:rPr>
        <w:t> </w:t>
      </w:r>
      <w:r w:rsidRPr="00C82494">
        <w:rPr>
          <w:noProof/>
        </w:rPr>
        <w:t>mg/16</w:t>
      </w:r>
      <w:r>
        <w:rPr>
          <w:noProof/>
        </w:rPr>
        <w:t> </w:t>
      </w:r>
      <w:r w:rsidRPr="00C82494">
        <w:rPr>
          <w:noProof/>
        </w:rPr>
        <w:t>ml</w:t>
      </w:r>
    </w:p>
    <w:p w14:paraId="2038FB21" w14:textId="77777777" w:rsidR="00400398" w:rsidRPr="007232E4" w:rsidRDefault="00400398"/>
    <w:p w14:paraId="4506E480"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19B2BDE9" w14:textId="77777777">
        <w:tc>
          <w:tcPr>
            <w:tcW w:w="9287" w:type="dxa"/>
          </w:tcPr>
          <w:p w14:paraId="3478CF3A" w14:textId="77777777" w:rsidR="00400398" w:rsidRPr="00215594" w:rsidRDefault="00400398">
            <w:pPr>
              <w:tabs>
                <w:tab w:val="left" w:pos="142"/>
              </w:tabs>
              <w:ind w:left="567" w:hanging="567"/>
              <w:rPr>
                <w:b/>
              </w:rPr>
            </w:pPr>
            <w:r w:rsidRPr="00215594">
              <w:rPr>
                <w:b/>
              </w:rPr>
              <w:t>5.</w:t>
            </w:r>
            <w:r w:rsidRPr="00215594">
              <w:rPr>
                <w:b/>
              </w:rPr>
              <w:tab/>
              <w:t>MODO E VIA(S) DE ADMINISTRAÇÃO</w:t>
            </w:r>
          </w:p>
        </w:tc>
      </w:tr>
    </w:tbl>
    <w:p w14:paraId="792C6550" w14:textId="77777777" w:rsidR="00400398" w:rsidRPr="007232E4" w:rsidRDefault="00400398"/>
    <w:p w14:paraId="3737ADD1" w14:textId="77777777" w:rsidR="00400398" w:rsidRPr="007232E4" w:rsidRDefault="00400398">
      <w:r w:rsidRPr="007232E4">
        <w:t xml:space="preserve">Para administração intravenosa após diluição </w:t>
      </w:r>
    </w:p>
    <w:p w14:paraId="6E13F939" w14:textId="77777777" w:rsidR="00400398" w:rsidRPr="007232E4" w:rsidRDefault="00400398">
      <w:r w:rsidRPr="007232E4">
        <w:t>Consultar o folheto informativo antes de utilizar</w:t>
      </w:r>
      <w:r w:rsidR="005769C3">
        <w:t>.</w:t>
      </w:r>
    </w:p>
    <w:p w14:paraId="0F4CF8CB" w14:textId="77777777" w:rsidR="00400398" w:rsidRPr="007232E4" w:rsidRDefault="00400398"/>
    <w:p w14:paraId="16F14B9B"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6A557FE3" w14:textId="77777777">
        <w:trPr>
          <w:cantSplit/>
        </w:trPr>
        <w:tc>
          <w:tcPr>
            <w:tcW w:w="9287" w:type="dxa"/>
          </w:tcPr>
          <w:p w14:paraId="41EE3434" w14:textId="77777777" w:rsidR="00400398" w:rsidRPr="00215594" w:rsidRDefault="00400398" w:rsidP="00711068">
            <w:pPr>
              <w:tabs>
                <w:tab w:val="left" w:pos="142"/>
              </w:tabs>
              <w:ind w:left="567" w:hanging="567"/>
              <w:rPr>
                <w:b/>
              </w:rPr>
            </w:pPr>
            <w:r w:rsidRPr="00215594">
              <w:rPr>
                <w:b/>
              </w:rPr>
              <w:t>6.</w:t>
            </w:r>
            <w:r w:rsidRPr="00215594">
              <w:rPr>
                <w:b/>
              </w:rPr>
              <w:tab/>
              <w:t>ADVERTÊNCIA ESPECIAL DE QUE O MEDICAMENTO DEVE SER MANTIDO FORA DA VISTA E DO ALCANCE DAS CRIANÇAS</w:t>
            </w:r>
          </w:p>
        </w:tc>
      </w:tr>
    </w:tbl>
    <w:p w14:paraId="6D180EDD" w14:textId="77777777" w:rsidR="00400398" w:rsidRPr="007232E4" w:rsidRDefault="00400398"/>
    <w:p w14:paraId="4EFF2799" w14:textId="77777777" w:rsidR="00400398" w:rsidRPr="007232E4" w:rsidRDefault="00400398">
      <w:r w:rsidRPr="007232E4">
        <w:t>Manter fora da vista e do alcance das crianças</w:t>
      </w:r>
      <w:r w:rsidR="005769C3">
        <w:t>.</w:t>
      </w:r>
    </w:p>
    <w:p w14:paraId="2D9F0767" w14:textId="77777777" w:rsidR="00400398" w:rsidRPr="007232E4" w:rsidRDefault="00400398"/>
    <w:p w14:paraId="48EBC6B2"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6228107B" w14:textId="77777777">
        <w:tc>
          <w:tcPr>
            <w:tcW w:w="9287" w:type="dxa"/>
          </w:tcPr>
          <w:p w14:paraId="1832710F" w14:textId="77777777" w:rsidR="00400398" w:rsidRPr="00215594" w:rsidRDefault="00400398">
            <w:pPr>
              <w:tabs>
                <w:tab w:val="left" w:pos="142"/>
              </w:tabs>
              <w:ind w:left="567" w:hanging="567"/>
              <w:rPr>
                <w:b/>
              </w:rPr>
            </w:pPr>
            <w:r w:rsidRPr="00215594">
              <w:rPr>
                <w:b/>
              </w:rPr>
              <w:t>7.</w:t>
            </w:r>
            <w:r w:rsidRPr="00215594">
              <w:rPr>
                <w:b/>
              </w:rPr>
              <w:tab/>
              <w:t>OUTRAS ADVERTÊNCIAS ESPECIAIS, SE NECESSÁRIO</w:t>
            </w:r>
          </w:p>
        </w:tc>
      </w:tr>
    </w:tbl>
    <w:p w14:paraId="360D3C30" w14:textId="77777777" w:rsidR="00400398" w:rsidRPr="007232E4" w:rsidRDefault="00400398"/>
    <w:p w14:paraId="34CAE0CB" w14:textId="77777777" w:rsidR="00400398" w:rsidRPr="007232E4" w:rsidRDefault="00400398"/>
    <w:p w14:paraId="661EA00A"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3CB3B1BD" w14:textId="77777777">
        <w:tc>
          <w:tcPr>
            <w:tcW w:w="9287" w:type="dxa"/>
          </w:tcPr>
          <w:p w14:paraId="3FEE86BC" w14:textId="77777777" w:rsidR="00400398" w:rsidRPr="00215594" w:rsidRDefault="00400398">
            <w:pPr>
              <w:tabs>
                <w:tab w:val="left" w:pos="142"/>
              </w:tabs>
              <w:ind w:left="567" w:hanging="567"/>
              <w:rPr>
                <w:b/>
              </w:rPr>
            </w:pPr>
            <w:r w:rsidRPr="00215594">
              <w:rPr>
                <w:b/>
              </w:rPr>
              <w:t>8.</w:t>
            </w:r>
            <w:r w:rsidRPr="00215594">
              <w:rPr>
                <w:b/>
              </w:rPr>
              <w:tab/>
              <w:t>PRAZO DE VALIDADE</w:t>
            </w:r>
          </w:p>
        </w:tc>
      </w:tr>
    </w:tbl>
    <w:p w14:paraId="54B67886" w14:textId="77777777" w:rsidR="00400398" w:rsidRPr="007232E4" w:rsidRDefault="00400398"/>
    <w:p w14:paraId="773A96DA" w14:textId="77777777" w:rsidR="00400398" w:rsidRPr="007232E4" w:rsidRDefault="005769C3">
      <w:r>
        <w:t>EXP</w:t>
      </w:r>
      <w:r w:rsidR="00400398" w:rsidRPr="007232E4">
        <w:t>.</w:t>
      </w:r>
    </w:p>
    <w:p w14:paraId="1DBA11CC" w14:textId="77777777" w:rsidR="00400398" w:rsidRPr="007232E4" w:rsidRDefault="00400398"/>
    <w:p w14:paraId="06498878"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33530AB9" w14:textId="77777777">
        <w:tc>
          <w:tcPr>
            <w:tcW w:w="9287" w:type="dxa"/>
          </w:tcPr>
          <w:p w14:paraId="4E051066" w14:textId="77777777" w:rsidR="00400398" w:rsidRPr="00215594" w:rsidRDefault="00400398">
            <w:pPr>
              <w:tabs>
                <w:tab w:val="left" w:pos="142"/>
              </w:tabs>
              <w:ind w:left="567" w:hanging="567"/>
            </w:pPr>
            <w:r w:rsidRPr="00215594">
              <w:rPr>
                <w:b/>
              </w:rPr>
              <w:t>9.</w:t>
            </w:r>
            <w:r w:rsidRPr="00215594">
              <w:rPr>
                <w:b/>
              </w:rPr>
              <w:tab/>
              <w:t>CONDIÇÕES ESPECIAIS DE CONSERVAÇÃO</w:t>
            </w:r>
          </w:p>
        </w:tc>
      </w:tr>
    </w:tbl>
    <w:p w14:paraId="13CF23BE" w14:textId="77777777" w:rsidR="00400398" w:rsidRPr="007232E4" w:rsidRDefault="00400398"/>
    <w:p w14:paraId="0C9ADCE9" w14:textId="77777777" w:rsidR="00400398" w:rsidRPr="007232E4" w:rsidRDefault="00400398">
      <w:r w:rsidRPr="007232E4">
        <w:t>Conservar no frigorífico</w:t>
      </w:r>
      <w:r w:rsidR="00157612">
        <w:t>.</w:t>
      </w:r>
    </w:p>
    <w:p w14:paraId="2C19828E" w14:textId="77777777" w:rsidR="00400398" w:rsidRPr="007232E4" w:rsidRDefault="00400398">
      <w:r w:rsidRPr="007232E4">
        <w:t>Não congelar</w:t>
      </w:r>
      <w:r w:rsidR="00157612">
        <w:t>.</w:t>
      </w:r>
    </w:p>
    <w:p w14:paraId="69B245FE" w14:textId="22A3EEA2" w:rsidR="00400398" w:rsidRPr="007232E4" w:rsidRDefault="00400398">
      <w:r w:rsidRPr="007232E4">
        <w:t>Manter o frasco para injetáveis dentro da embalagem exterior</w:t>
      </w:r>
      <w:r w:rsidR="00F36D72">
        <w:t xml:space="preserve"> para proteger da luz</w:t>
      </w:r>
      <w:r w:rsidR="00157612">
        <w:t>.</w:t>
      </w:r>
    </w:p>
    <w:p w14:paraId="77341B41" w14:textId="77777777" w:rsidR="00400398" w:rsidRPr="007232E4" w:rsidRDefault="00400398"/>
    <w:p w14:paraId="250681BA"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222C1207" w14:textId="77777777">
        <w:trPr>
          <w:cantSplit/>
        </w:trPr>
        <w:tc>
          <w:tcPr>
            <w:tcW w:w="9287" w:type="dxa"/>
          </w:tcPr>
          <w:p w14:paraId="05AB92D1" w14:textId="77777777" w:rsidR="00400398" w:rsidRPr="00215594" w:rsidRDefault="00400398">
            <w:pPr>
              <w:tabs>
                <w:tab w:val="left" w:pos="142"/>
              </w:tabs>
              <w:ind w:left="567" w:hanging="567"/>
              <w:rPr>
                <w:b/>
              </w:rPr>
            </w:pPr>
            <w:r w:rsidRPr="00215594">
              <w:rPr>
                <w:b/>
              </w:rPr>
              <w:t>10.</w:t>
            </w:r>
            <w:r w:rsidRPr="00215594">
              <w:rPr>
                <w:b/>
              </w:rPr>
              <w:tab/>
              <w:t xml:space="preserve">CUIDADOS ESPECIAIS QUANTO À ELIMINAÇÃO DO MEDICAMENTO NÃO UTILIZADO OU DOS RESÍDUOS PROVENIENTES DESSE MEDICAMENTO, SE </w:t>
            </w:r>
            <w:r w:rsidRPr="00215594">
              <w:rPr>
                <w:b/>
                <w:noProof/>
              </w:rPr>
              <w:t>APLICÁVEL</w:t>
            </w:r>
          </w:p>
        </w:tc>
      </w:tr>
    </w:tbl>
    <w:p w14:paraId="0FBC4F91" w14:textId="77777777" w:rsidR="00400398" w:rsidRPr="007232E4" w:rsidRDefault="00400398"/>
    <w:p w14:paraId="464529EB"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70DCC4B3" w14:textId="77777777">
        <w:tc>
          <w:tcPr>
            <w:tcW w:w="9287" w:type="dxa"/>
          </w:tcPr>
          <w:p w14:paraId="6665F7B5" w14:textId="77777777" w:rsidR="00400398" w:rsidRPr="00215594" w:rsidRDefault="00400398">
            <w:pPr>
              <w:tabs>
                <w:tab w:val="left" w:pos="142"/>
              </w:tabs>
              <w:ind w:left="567" w:hanging="567"/>
              <w:rPr>
                <w:b/>
              </w:rPr>
            </w:pPr>
            <w:r w:rsidRPr="00215594">
              <w:rPr>
                <w:b/>
              </w:rPr>
              <w:t>11.</w:t>
            </w:r>
            <w:r w:rsidRPr="00215594">
              <w:rPr>
                <w:b/>
              </w:rPr>
              <w:tab/>
              <w:t>NOME E ENDEREÇO DO TITULAR DA AUTORIZAÇÃO DE INTRODUÇÃO NO MERCADO</w:t>
            </w:r>
          </w:p>
        </w:tc>
      </w:tr>
    </w:tbl>
    <w:p w14:paraId="60730115" w14:textId="77777777" w:rsidR="00400398" w:rsidRPr="007232E4" w:rsidRDefault="00400398"/>
    <w:p w14:paraId="36FD7EC9" w14:textId="77777777" w:rsidR="006A358C" w:rsidRPr="00D91337" w:rsidRDefault="009F6BAD" w:rsidP="006A358C">
      <w:r w:rsidRPr="009E7BE5">
        <w:rPr>
          <w:color w:val="000000"/>
          <w:szCs w:val="24"/>
          <w:lang w:eastAsia="ko-KR"/>
        </w:rPr>
        <w:t xml:space="preserve">Samsung Bioepis </w:t>
      </w:r>
      <w:r w:rsidRPr="0058485B">
        <w:rPr>
          <w:color w:val="000000"/>
          <w:szCs w:val="24"/>
          <w:lang w:eastAsia="ko-KR"/>
        </w:rPr>
        <w:t>NL B.V.</w:t>
      </w:r>
      <w:r w:rsidRPr="0058485B">
        <w:rPr>
          <w:color w:val="000000"/>
          <w:szCs w:val="24"/>
          <w:lang w:eastAsia="ko-KR"/>
        </w:rPr>
        <w:br/>
        <w:t xml:space="preserve">Olof Palmestraat 10, </w:t>
      </w:r>
      <w:r w:rsidRPr="00472DFE">
        <w:rPr>
          <w:color w:val="000000"/>
          <w:szCs w:val="24"/>
          <w:lang w:eastAsia="ko-KR"/>
        </w:rPr>
        <w:t>2616 LR Delft</w:t>
      </w:r>
      <w:r w:rsidRPr="00472DFE">
        <w:rPr>
          <w:color w:val="000000"/>
          <w:szCs w:val="24"/>
          <w:lang w:eastAsia="ko-KR"/>
        </w:rPr>
        <w:br/>
      </w:r>
      <w:r w:rsidRPr="00A55B8C">
        <w:rPr>
          <w:color w:val="000000"/>
          <w:szCs w:val="24"/>
          <w:lang w:eastAsia="ko-KR"/>
        </w:rPr>
        <w:t>Países Baixos</w:t>
      </w:r>
    </w:p>
    <w:p w14:paraId="35F5BE09" w14:textId="77777777" w:rsidR="00400398" w:rsidRPr="00D91337" w:rsidRDefault="00400398"/>
    <w:p w14:paraId="2F883105" w14:textId="77777777" w:rsidR="00400398" w:rsidRPr="00D91337"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5C2263AA" w14:textId="77777777">
        <w:tc>
          <w:tcPr>
            <w:tcW w:w="9287" w:type="dxa"/>
          </w:tcPr>
          <w:p w14:paraId="16CD46D0" w14:textId="77777777" w:rsidR="00400398" w:rsidRPr="00215594" w:rsidRDefault="00400398">
            <w:pPr>
              <w:tabs>
                <w:tab w:val="left" w:pos="142"/>
              </w:tabs>
              <w:ind w:left="567" w:hanging="567"/>
              <w:rPr>
                <w:b/>
              </w:rPr>
            </w:pPr>
            <w:r w:rsidRPr="00215594">
              <w:rPr>
                <w:b/>
              </w:rPr>
              <w:t>12.</w:t>
            </w:r>
            <w:r w:rsidRPr="00215594">
              <w:rPr>
                <w:b/>
              </w:rPr>
              <w:tab/>
              <w:t>NÚMERO(S) DA AUTORIZAÇÃO DE INTRODUÇÃO NO MERCADO</w:t>
            </w:r>
          </w:p>
        </w:tc>
      </w:tr>
    </w:tbl>
    <w:p w14:paraId="2E566340" w14:textId="77777777" w:rsidR="00400398" w:rsidRPr="007232E4" w:rsidRDefault="00400398"/>
    <w:p w14:paraId="432A56B5" w14:textId="77777777" w:rsidR="00400398" w:rsidRPr="007232E4" w:rsidRDefault="009F6BAD">
      <w:r w:rsidRPr="007447F5">
        <w:rPr>
          <w:noProof/>
          <w:szCs w:val="22"/>
          <w:lang w:eastAsia="ko-KR"/>
        </w:rPr>
        <w:t>EU/</w:t>
      </w:r>
      <w:r w:rsidR="0039760E">
        <w:rPr>
          <w:noProof/>
          <w:szCs w:val="22"/>
          <w:lang w:eastAsia="ko-KR"/>
        </w:rPr>
        <w:t>1/20/1454/002</w:t>
      </w:r>
    </w:p>
    <w:p w14:paraId="4A4D2A08" w14:textId="77777777" w:rsidR="00400398" w:rsidRPr="007232E4" w:rsidRDefault="00400398"/>
    <w:p w14:paraId="0D524B4D"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3A715CDE" w14:textId="77777777">
        <w:tc>
          <w:tcPr>
            <w:tcW w:w="9287" w:type="dxa"/>
          </w:tcPr>
          <w:p w14:paraId="291F8D02" w14:textId="77777777" w:rsidR="00400398" w:rsidRPr="00215594" w:rsidRDefault="00400398">
            <w:pPr>
              <w:tabs>
                <w:tab w:val="left" w:pos="142"/>
              </w:tabs>
              <w:ind w:left="567" w:hanging="567"/>
              <w:rPr>
                <w:b/>
              </w:rPr>
            </w:pPr>
            <w:r w:rsidRPr="00215594">
              <w:rPr>
                <w:b/>
              </w:rPr>
              <w:t>13.</w:t>
            </w:r>
            <w:r w:rsidRPr="00215594">
              <w:rPr>
                <w:b/>
              </w:rPr>
              <w:tab/>
              <w:t xml:space="preserve">NÚMERO DO LOTE </w:t>
            </w:r>
          </w:p>
        </w:tc>
      </w:tr>
    </w:tbl>
    <w:p w14:paraId="2A049401" w14:textId="77777777" w:rsidR="00400398" w:rsidRPr="007232E4" w:rsidRDefault="00400398"/>
    <w:p w14:paraId="0CAEBEA9" w14:textId="77777777" w:rsidR="00400398" w:rsidRPr="007232E4" w:rsidRDefault="00400398">
      <w:r w:rsidRPr="007232E4">
        <w:t>Lote</w:t>
      </w:r>
    </w:p>
    <w:p w14:paraId="26D51A22" w14:textId="77777777" w:rsidR="00400398" w:rsidRPr="007232E4" w:rsidRDefault="00400398"/>
    <w:p w14:paraId="585861CB"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61F527D8" w14:textId="77777777">
        <w:tc>
          <w:tcPr>
            <w:tcW w:w="9287" w:type="dxa"/>
          </w:tcPr>
          <w:p w14:paraId="51AC819C" w14:textId="77777777" w:rsidR="00400398" w:rsidRPr="00215594" w:rsidRDefault="00400398">
            <w:pPr>
              <w:tabs>
                <w:tab w:val="left" w:pos="142"/>
              </w:tabs>
              <w:ind w:left="567" w:hanging="567"/>
              <w:rPr>
                <w:b/>
              </w:rPr>
            </w:pPr>
            <w:r w:rsidRPr="00215594">
              <w:rPr>
                <w:b/>
              </w:rPr>
              <w:t>14.</w:t>
            </w:r>
            <w:r w:rsidRPr="00215594">
              <w:rPr>
                <w:b/>
              </w:rPr>
              <w:tab/>
              <w:t>CLASSIFICAÇÃO QUANTO À DISPENSA AO PÚBLICO</w:t>
            </w:r>
          </w:p>
        </w:tc>
      </w:tr>
    </w:tbl>
    <w:p w14:paraId="15067212" w14:textId="77777777" w:rsidR="00400398" w:rsidRPr="007232E4" w:rsidRDefault="00400398"/>
    <w:p w14:paraId="3352E5E5" w14:textId="77777777" w:rsidR="00400398" w:rsidRPr="007232E4" w:rsidRDefault="00400398"/>
    <w:p w14:paraId="0E4A555D"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6FA5E6E2" w14:textId="77777777">
        <w:tc>
          <w:tcPr>
            <w:tcW w:w="9287" w:type="dxa"/>
          </w:tcPr>
          <w:p w14:paraId="54B99C16" w14:textId="77777777" w:rsidR="00400398" w:rsidRPr="00215594" w:rsidRDefault="00400398">
            <w:pPr>
              <w:tabs>
                <w:tab w:val="left" w:pos="142"/>
              </w:tabs>
              <w:ind w:left="567" w:hanging="567"/>
              <w:rPr>
                <w:b/>
              </w:rPr>
            </w:pPr>
            <w:r w:rsidRPr="00215594">
              <w:rPr>
                <w:b/>
              </w:rPr>
              <w:t>15.</w:t>
            </w:r>
            <w:r w:rsidRPr="00215594">
              <w:rPr>
                <w:b/>
              </w:rPr>
              <w:tab/>
              <w:t>INSTRUÇÕES DE UTILIZAÇÃO</w:t>
            </w:r>
          </w:p>
        </w:tc>
      </w:tr>
    </w:tbl>
    <w:p w14:paraId="4A9765B6" w14:textId="77777777" w:rsidR="00400398" w:rsidRPr="007232E4" w:rsidRDefault="00400398"/>
    <w:p w14:paraId="2D25C977"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5014212C" w14:textId="77777777">
        <w:tc>
          <w:tcPr>
            <w:tcW w:w="9287" w:type="dxa"/>
          </w:tcPr>
          <w:p w14:paraId="1DAEA59C" w14:textId="77777777" w:rsidR="00400398" w:rsidRPr="00215594" w:rsidRDefault="00400398">
            <w:pPr>
              <w:tabs>
                <w:tab w:val="left" w:pos="142"/>
              </w:tabs>
              <w:ind w:left="567" w:hanging="567"/>
              <w:rPr>
                <w:b/>
              </w:rPr>
            </w:pPr>
            <w:r w:rsidRPr="00215594">
              <w:rPr>
                <w:b/>
              </w:rPr>
              <w:t>16.</w:t>
            </w:r>
            <w:r w:rsidRPr="00215594">
              <w:rPr>
                <w:b/>
              </w:rPr>
              <w:tab/>
              <w:t>INFORMAÇÃO EM BRAILLE</w:t>
            </w:r>
          </w:p>
        </w:tc>
      </w:tr>
    </w:tbl>
    <w:p w14:paraId="2F49641C" w14:textId="77777777" w:rsidR="00400398" w:rsidRPr="007232E4" w:rsidRDefault="00400398"/>
    <w:p w14:paraId="2D9258D2" w14:textId="77777777" w:rsidR="00400398" w:rsidRPr="007232E4" w:rsidRDefault="00400398">
      <w:r w:rsidRPr="00C82494">
        <w:rPr>
          <w:noProof/>
          <w:highlight w:val="lightGray"/>
        </w:rPr>
        <w:t xml:space="preserve">Foi aceite </w:t>
      </w:r>
      <w:r w:rsidRPr="000E7494">
        <w:rPr>
          <w:highlight w:val="lightGray"/>
        </w:rPr>
        <w:t>a</w:t>
      </w:r>
      <w:r w:rsidRPr="00C82494">
        <w:rPr>
          <w:noProof/>
          <w:highlight w:val="lightGray"/>
        </w:rPr>
        <w:t xml:space="preserve"> justificação para não incluir a informação em Braille</w:t>
      </w:r>
      <w:r w:rsidR="005769C3">
        <w:rPr>
          <w:noProof/>
          <w:highlight w:val="lightGray"/>
        </w:rPr>
        <w:t>.</w:t>
      </w:r>
    </w:p>
    <w:p w14:paraId="6266312D" w14:textId="77777777" w:rsidR="00400398" w:rsidRPr="007232E4" w:rsidRDefault="00400398"/>
    <w:p w14:paraId="057970BB" w14:textId="77777777" w:rsidR="00E1105C" w:rsidRDefault="00E1105C" w:rsidP="00E1105C">
      <w:pPr>
        <w:rPr>
          <w:shd w:val="clear" w:color="auto" w:fill="CCCCCC"/>
        </w:rPr>
      </w:pPr>
    </w:p>
    <w:p w14:paraId="1EE66032" w14:textId="77777777" w:rsidR="00E1105C" w:rsidRPr="00C05F62" w:rsidRDefault="00E1105C" w:rsidP="00E1105C">
      <w:pPr>
        <w:pBdr>
          <w:top w:val="single" w:sz="4" w:space="1" w:color="auto"/>
          <w:left w:val="single" w:sz="4" w:space="4" w:color="auto"/>
          <w:bottom w:val="single" w:sz="4" w:space="1" w:color="auto"/>
          <w:right w:val="single" w:sz="4" w:space="4" w:color="auto"/>
        </w:pBdr>
        <w:suppressAutoHyphens/>
        <w:ind w:left="567" w:hanging="567"/>
        <w:rPr>
          <w:b/>
          <w:szCs w:val="22"/>
        </w:rPr>
      </w:pPr>
      <w:r w:rsidRPr="00C05F62">
        <w:rPr>
          <w:b/>
          <w:szCs w:val="22"/>
        </w:rPr>
        <w:t>17.</w:t>
      </w:r>
      <w:r w:rsidRPr="00C05F62">
        <w:rPr>
          <w:b/>
          <w:szCs w:val="22"/>
        </w:rPr>
        <w:tab/>
        <w:t>IDENTIFICADOR ÚNICO – CÓDIGO DE BARRAS 2D</w:t>
      </w:r>
    </w:p>
    <w:p w14:paraId="070522BA" w14:textId="77777777" w:rsidR="00E1105C" w:rsidRPr="006A46E8" w:rsidRDefault="00E1105C" w:rsidP="00E1105C">
      <w:pPr>
        <w:rPr>
          <w:noProof/>
          <w:lang w:val="es-ES"/>
        </w:rPr>
      </w:pPr>
    </w:p>
    <w:p w14:paraId="6B11F4C3" w14:textId="77777777" w:rsidR="00E1105C" w:rsidRPr="00C31105" w:rsidRDefault="00E1105C" w:rsidP="00E1105C">
      <w:pPr>
        <w:rPr>
          <w:noProof/>
          <w:szCs w:val="22"/>
          <w:shd w:val="clear" w:color="auto" w:fill="CCCCCC"/>
        </w:rPr>
      </w:pPr>
      <w:r w:rsidRPr="00C31105">
        <w:rPr>
          <w:noProof/>
          <w:highlight w:val="lightGray"/>
        </w:rPr>
        <w:t>Código de barras 2D com identificador único incluído.</w:t>
      </w:r>
    </w:p>
    <w:p w14:paraId="2AE7C9B6" w14:textId="77777777" w:rsidR="00E1105C" w:rsidRPr="00C31105" w:rsidRDefault="00E1105C" w:rsidP="00E1105C">
      <w:pPr>
        <w:rPr>
          <w:noProof/>
        </w:rPr>
      </w:pPr>
    </w:p>
    <w:p w14:paraId="1932221D" w14:textId="77777777" w:rsidR="00E1105C" w:rsidRPr="00C31105" w:rsidRDefault="00E1105C" w:rsidP="00E1105C">
      <w:pPr>
        <w:rPr>
          <w:noProof/>
        </w:rPr>
      </w:pPr>
    </w:p>
    <w:p w14:paraId="33536197" w14:textId="77777777" w:rsidR="00E1105C" w:rsidRPr="00C05F62" w:rsidRDefault="00E1105C" w:rsidP="00E1105C">
      <w:pPr>
        <w:pBdr>
          <w:top w:val="single" w:sz="4" w:space="1" w:color="auto"/>
          <w:left w:val="single" w:sz="4" w:space="4" w:color="auto"/>
          <w:bottom w:val="single" w:sz="4" w:space="1" w:color="auto"/>
          <w:right w:val="single" w:sz="4" w:space="4" w:color="auto"/>
        </w:pBdr>
        <w:suppressAutoHyphens/>
        <w:ind w:left="567" w:hanging="567"/>
        <w:rPr>
          <w:b/>
          <w:szCs w:val="22"/>
        </w:rPr>
      </w:pPr>
      <w:r w:rsidRPr="00C05F62">
        <w:rPr>
          <w:b/>
          <w:szCs w:val="22"/>
        </w:rPr>
        <w:t>18.</w:t>
      </w:r>
      <w:r w:rsidRPr="00C05F62">
        <w:rPr>
          <w:b/>
          <w:szCs w:val="22"/>
        </w:rPr>
        <w:tab/>
        <w:t>IDENTIFICADOR ÚNICO - DADOS PARA LEITURA HUMANA</w:t>
      </w:r>
    </w:p>
    <w:p w14:paraId="20D3BA65" w14:textId="77777777" w:rsidR="00E1105C" w:rsidRPr="00C31105" w:rsidRDefault="00E1105C" w:rsidP="00E1105C">
      <w:pPr>
        <w:rPr>
          <w:noProof/>
        </w:rPr>
      </w:pPr>
    </w:p>
    <w:p w14:paraId="75A274AD" w14:textId="77777777" w:rsidR="00E1105C" w:rsidRPr="00345F79" w:rsidRDefault="00E1105C" w:rsidP="00E1105C">
      <w:pPr>
        <w:rPr>
          <w:color w:val="008000"/>
          <w:szCs w:val="22"/>
        </w:rPr>
      </w:pPr>
      <w:r>
        <w:t xml:space="preserve">PC </w:t>
      </w:r>
    </w:p>
    <w:p w14:paraId="746315B1" w14:textId="77777777" w:rsidR="00E1105C" w:rsidRPr="00C05F62" w:rsidRDefault="00E1105C" w:rsidP="00E1105C">
      <w:pPr>
        <w:rPr>
          <w:szCs w:val="22"/>
          <w:lang w:val="fr-CH"/>
        </w:rPr>
      </w:pPr>
      <w:r w:rsidRPr="00C05F62">
        <w:rPr>
          <w:lang w:val="fr-CH"/>
        </w:rPr>
        <w:t xml:space="preserve">SN </w:t>
      </w:r>
    </w:p>
    <w:p w14:paraId="18442974" w14:textId="77777777" w:rsidR="00E1105C" w:rsidRPr="00C937E7" w:rsidRDefault="00E1105C" w:rsidP="00E1105C">
      <w:pPr>
        <w:rPr>
          <w:szCs w:val="22"/>
        </w:rPr>
      </w:pPr>
      <w:r>
        <w:t xml:space="preserve">NN </w:t>
      </w:r>
    </w:p>
    <w:p w14:paraId="09F70E40" w14:textId="77777777" w:rsidR="00400398" w:rsidRPr="007232E4" w:rsidRDefault="00400398">
      <w:r w:rsidRPr="007232E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5D28E684" w14:textId="77777777">
        <w:trPr>
          <w:trHeight w:val="785"/>
        </w:trPr>
        <w:tc>
          <w:tcPr>
            <w:tcW w:w="9287" w:type="dxa"/>
          </w:tcPr>
          <w:p w14:paraId="65EA6F2F" w14:textId="77777777" w:rsidR="00400398" w:rsidRPr="00215594" w:rsidRDefault="00400398">
            <w:pPr>
              <w:rPr>
                <w:b/>
              </w:rPr>
            </w:pPr>
            <w:r w:rsidRPr="00215594">
              <w:rPr>
                <w:b/>
              </w:rPr>
              <w:lastRenderedPageBreak/>
              <w:t>INDICAÇÕES MÍNIMAS A INCLUIR EM PEQUENAS UNIDADES DE ACONDICIONAMENTO PRIMÁRIO</w:t>
            </w:r>
          </w:p>
          <w:p w14:paraId="6DB85848" w14:textId="77777777" w:rsidR="00400398" w:rsidRPr="00215594" w:rsidRDefault="00400398">
            <w:pPr>
              <w:rPr>
                <w:b/>
              </w:rPr>
            </w:pPr>
          </w:p>
          <w:p w14:paraId="541FA5CF" w14:textId="77777777" w:rsidR="00400398" w:rsidRPr="00215594" w:rsidRDefault="00400398">
            <w:pPr>
              <w:rPr>
                <w:b/>
              </w:rPr>
            </w:pPr>
            <w:r w:rsidRPr="00215594">
              <w:rPr>
                <w:b/>
              </w:rPr>
              <w:t>FRASCO PARA INJETÁVEIS</w:t>
            </w:r>
          </w:p>
        </w:tc>
      </w:tr>
    </w:tbl>
    <w:p w14:paraId="05203A83" w14:textId="77777777" w:rsidR="00400398" w:rsidRPr="007232E4" w:rsidRDefault="00400398">
      <w:pPr>
        <w:rPr>
          <w:b/>
        </w:rPr>
      </w:pPr>
    </w:p>
    <w:p w14:paraId="40715DED" w14:textId="77777777" w:rsidR="00400398" w:rsidRPr="007232E4" w:rsidRDefault="0040039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55168F8F" w14:textId="77777777">
        <w:tc>
          <w:tcPr>
            <w:tcW w:w="9287" w:type="dxa"/>
          </w:tcPr>
          <w:p w14:paraId="582D18A0" w14:textId="77777777" w:rsidR="00400398" w:rsidRPr="00215594" w:rsidRDefault="00400398">
            <w:pPr>
              <w:tabs>
                <w:tab w:val="left" w:pos="142"/>
              </w:tabs>
              <w:ind w:left="567" w:hanging="567"/>
              <w:rPr>
                <w:b/>
              </w:rPr>
            </w:pPr>
            <w:r w:rsidRPr="00215594">
              <w:rPr>
                <w:b/>
              </w:rPr>
              <w:t>1.</w:t>
            </w:r>
            <w:r w:rsidRPr="00215594">
              <w:rPr>
                <w:b/>
              </w:rPr>
              <w:tab/>
              <w:t>NOME DO MEDICAMENTO E VIA(S) DE ADMINISTRAÇÃO</w:t>
            </w:r>
          </w:p>
        </w:tc>
      </w:tr>
    </w:tbl>
    <w:p w14:paraId="5D8E4E31" w14:textId="77777777" w:rsidR="00400398" w:rsidRPr="007232E4" w:rsidRDefault="00400398">
      <w:pPr>
        <w:ind w:left="567" w:hanging="567"/>
      </w:pPr>
    </w:p>
    <w:p w14:paraId="375AA78F" w14:textId="77777777" w:rsidR="00400398" w:rsidRPr="007232E4" w:rsidRDefault="009F6BAD">
      <w:r>
        <w:t>Aybintio</w:t>
      </w:r>
      <w:r w:rsidRPr="007232E4">
        <w:t xml:space="preserve"> </w:t>
      </w:r>
      <w:r w:rsidR="00400398" w:rsidRPr="007232E4">
        <w:t xml:space="preserve">25 mg/ml concentrado </w:t>
      </w:r>
      <w:r w:rsidR="00A55B8C">
        <w:t>estéril</w:t>
      </w:r>
    </w:p>
    <w:p w14:paraId="2BDAF929" w14:textId="77777777" w:rsidR="00400398" w:rsidRPr="007232E4" w:rsidRDefault="000D0309">
      <w:r>
        <w:t>b</w:t>
      </w:r>
      <w:r w:rsidR="00400398" w:rsidRPr="007232E4">
        <w:t>evacizumab</w:t>
      </w:r>
    </w:p>
    <w:p w14:paraId="0A955611" w14:textId="77777777" w:rsidR="00400398" w:rsidRPr="00C82494" w:rsidRDefault="00400398" w:rsidP="00B2708C">
      <w:pPr>
        <w:rPr>
          <w:noProof/>
        </w:rPr>
      </w:pPr>
      <w:r w:rsidRPr="00C82494">
        <w:rPr>
          <w:noProof/>
        </w:rPr>
        <w:t>IV</w:t>
      </w:r>
      <w:r w:rsidR="009F6BAD">
        <w:rPr>
          <w:noProof/>
        </w:rPr>
        <w:t xml:space="preserve"> após diluição</w:t>
      </w:r>
    </w:p>
    <w:p w14:paraId="1E13782F" w14:textId="77777777" w:rsidR="00400398" w:rsidRPr="007232E4" w:rsidRDefault="00400398">
      <w:pPr>
        <w:rPr>
          <w:b/>
        </w:rPr>
      </w:pPr>
    </w:p>
    <w:p w14:paraId="6BF66AC7" w14:textId="77777777" w:rsidR="00400398" w:rsidRPr="007232E4" w:rsidRDefault="0040039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1A9B4910" w14:textId="77777777">
        <w:tc>
          <w:tcPr>
            <w:tcW w:w="9287" w:type="dxa"/>
          </w:tcPr>
          <w:p w14:paraId="676B4DF9" w14:textId="77777777" w:rsidR="00400398" w:rsidRPr="00215594" w:rsidRDefault="00400398">
            <w:pPr>
              <w:tabs>
                <w:tab w:val="left" w:pos="142"/>
              </w:tabs>
              <w:ind w:left="567" w:hanging="567"/>
              <w:rPr>
                <w:b/>
              </w:rPr>
            </w:pPr>
            <w:r w:rsidRPr="00215594">
              <w:rPr>
                <w:b/>
              </w:rPr>
              <w:t>2.</w:t>
            </w:r>
            <w:r w:rsidRPr="00215594">
              <w:rPr>
                <w:b/>
              </w:rPr>
              <w:tab/>
              <w:t>MODO DE ADMINISTRAÇÃO</w:t>
            </w:r>
          </w:p>
        </w:tc>
      </w:tr>
    </w:tbl>
    <w:p w14:paraId="524EAB1A" w14:textId="77777777" w:rsidR="00400398" w:rsidRPr="007232E4" w:rsidRDefault="00400398">
      <w:pPr>
        <w:rPr>
          <w:b/>
        </w:rPr>
      </w:pPr>
    </w:p>
    <w:p w14:paraId="2F06D871" w14:textId="77777777" w:rsidR="00400398" w:rsidRPr="007232E4" w:rsidRDefault="00400398"/>
    <w:p w14:paraId="34AA3248"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3FE32B36" w14:textId="77777777">
        <w:tc>
          <w:tcPr>
            <w:tcW w:w="9287" w:type="dxa"/>
          </w:tcPr>
          <w:p w14:paraId="0057B5B9" w14:textId="77777777" w:rsidR="00400398" w:rsidRPr="00215594" w:rsidRDefault="00400398">
            <w:pPr>
              <w:tabs>
                <w:tab w:val="left" w:pos="142"/>
              </w:tabs>
              <w:ind w:left="567" w:hanging="567"/>
              <w:rPr>
                <w:b/>
              </w:rPr>
            </w:pPr>
            <w:r w:rsidRPr="00215594">
              <w:rPr>
                <w:b/>
              </w:rPr>
              <w:t>3.</w:t>
            </w:r>
            <w:r w:rsidRPr="00215594">
              <w:rPr>
                <w:b/>
              </w:rPr>
              <w:tab/>
              <w:t>PRAZO DE VALIDADE</w:t>
            </w:r>
          </w:p>
        </w:tc>
      </w:tr>
    </w:tbl>
    <w:p w14:paraId="08FD8885" w14:textId="77777777" w:rsidR="00400398" w:rsidRPr="007232E4" w:rsidRDefault="00400398"/>
    <w:p w14:paraId="016B0646" w14:textId="77777777" w:rsidR="00400398" w:rsidRPr="007232E4" w:rsidRDefault="00400398">
      <w:r w:rsidRPr="007232E4">
        <w:t xml:space="preserve">EXP </w:t>
      </w:r>
    </w:p>
    <w:p w14:paraId="01DC6880" w14:textId="77777777" w:rsidR="00400398" w:rsidRPr="007232E4" w:rsidRDefault="00400398">
      <w:pPr>
        <w:rPr>
          <w:b/>
        </w:rPr>
      </w:pPr>
    </w:p>
    <w:p w14:paraId="7FA1AB66" w14:textId="77777777" w:rsidR="00400398" w:rsidRPr="007232E4"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4AB99545" w14:textId="77777777">
        <w:tc>
          <w:tcPr>
            <w:tcW w:w="9287" w:type="dxa"/>
          </w:tcPr>
          <w:p w14:paraId="78395688" w14:textId="77777777" w:rsidR="00400398" w:rsidRPr="00215594" w:rsidRDefault="00400398">
            <w:pPr>
              <w:tabs>
                <w:tab w:val="left" w:pos="142"/>
              </w:tabs>
              <w:ind w:left="567" w:hanging="567"/>
              <w:rPr>
                <w:b/>
              </w:rPr>
            </w:pPr>
            <w:r w:rsidRPr="00215594">
              <w:rPr>
                <w:b/>
              </w:rPr>
              <w:t>4.</w:t>
            </w:r>
            <w:r w:rsidRPr="00215594">
              <w:rPr>
                <w:b/>
              </w:rPr>
              <w:tab/>
              <w:t>NÚMERO DO LOTE</w:t>
            </w:r>
          </w:p>
        </w:tc>
      </w:tr>
    </w:tbl>
    <w:p w14:paraId="4CA04744" w14:textId="77777777" w:rsidR="00400398" w:rsidRPr="007232E4" w:rsidRDefault="00400398"/>
    <w:p w14:paraId="3BDAD551" w14:textId="77777777" w:rsidR="00400398" w:rsidRPr="007232E4" w:rsidRDefault="00400398">
      <w:pPr>
        <w:ind w:right="113"/>
      </w:pPr>
      <w:r w:rsidRPr="007232E4">
        <w:t>Lot</w:t>
      </w:r>
    </w:p>
    <w:p w14:paraId="5536678E" w14:textId="77777777" w:rsidR="00400398" w:rsidRPr="007232E4" w:rsidRDefault="00400398">
      <w:pPr>
        <w:ind w:right="113"/>
      </w:pPr>
    </w:p>
    <w:p w14:paraId="232F9857" w14:textId="77777777" w:rsidR="00400398" w:rsidRPr="007232E4" w:rsidRDefault="00400398">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74E50C12" w14:textId="77777777">
        <w:tc>
          <w:tcPr>
            <w:tcW w:w="9287" w:type="dxa"/>
          </w:tcPr>
          <w:p w14:paraId="73F40EB4" w14:textId="77777777" w:rsidR="00400398" w:rsidRPr="00215594" w:rsidRDefault="00400398">
            <w:pPr>
              <w:tabs>
                <w:tab w:val="left" w:pos="142"/>
              </w:tabs>
              <w:ind w:left="567" w:hanging="567"/>
              <w:rPr>
                <w:b/>
              </w:rPr>
            </w:pPr>
            <w:r w:rsidRPr="00215594">
              <w:rPr>
                <w:b/>
              </w:rPr>
              <w:t>5.</w:t>
            </w:r>
            <w:r w:rsidRPr="00215594">
              <w:rPr>
                <w:b/>
              </w:rPr>
              <w:tab/>
              <w:t>CONTEÚDO EM PESO, VOLUME OU UNIDADE</w:t>
            </w:r>
          </w:p>
        </w:tc>
      </w:tr>
    </w:tbl>
    <w:p w14:paraId="120CF1F9" w14:textId="77777777" w:rsidR="00400398" w:rsidRPr="007232E4" w:rsidRDefault="00400398">
      <w:pPr>
        <w:rPr>
          <w:b/>
        </w:rPr>
      </w:pPr>
    </w:p>
    <w:p w14:paraId="15AB926F" w14:textId="77777777" w:rsidR="00400398" w:rsidRPr="007232E4" w:rsidRDefault="00400398">
      <w:r w:rsidRPr="007232E4">
        <w:t>400 mg/16 ml</w:t>
      </w:r>
    </w:p>
    <w:p w14:paraId="721D6FE8" w14:textId="77777777" w:rsidR="00400398" w:rsidRPr="007232E4" w:rsidRDefault="00400398"/>
    <w:p w14:paraId="6E5B1156" w14:textId="77777777" w:rsidR="00400398" w:rsidRPr="007232E4" w:rsidRDefault="00400398">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215594" w14:paraId="5AA97E25" w14:textId="77777777">
        <w:tc>
          <w:tcPr>
            <w:tcW w:w="9287" w:type="dxa"/>
          </w:tcPr>
          <w:p w14:paraId="36B50C66" w14:textId="77777777" w:rsidR="00400398" w:rsidRPr="00215594" w:rsidRDefault="00400398">
            <w:pPr>
              <w:tabs>
                <w:tab w:val="left" w:pos="142"/>
              </w:tabs>
              <w:ind w:left="567" w:hanging="567"/>
              <w:rPr>
                <w:b/>
              </w:rPr>
            </w:pPr>
            <w:r w:rsidRPr="00215594">
              <w:rPr>
                <w:b/>
              </w:rPr>
              <w:t>6.</w:t>
            </w:r>
            <w:r w:rsidRPr="00215594">
              <w:rPr>
                <w:b/>
              </w:rPr>
              <w:tab/>
              <w:t>OUTR</w:t>
            </w:r>
            <w:r w:rsidR="005769C3">
              <w:rPr>
                <w:b/>
              </w:rPr>
              <w:t>O</w:t>
            </w:r>
            <w:r w:rsidRPr="00215594">
              <w:rPr>
                <w:b/>
              </w:rPr>
              <w:t>S</w:t>
            </w:r>
          </w:p>
        </w:tc>
      </w:tr>
    </w:tbl>
    <w:p w14:paraId="33592A28" w14:textId="77777777" w:rsidR="00400398" w:rsidRDefault="00400398">
      <w:pPr>
        <w:rPr>
          <w:b/>
        </w:rPr>
      </w:pPr>
    </w:p>
    <w:p w14:paraId="7EB31CC4" w14:textId="77777777" w:rsidR="00B90A6C" w:rsidRPr="007232E4" w:rsidRDefault="00B90A6C">
      <w:pPr>
        <w:rPr>
          <w:b/>
        </w:rPr>
      </w:pPr>
    </w:p>
    <w:p w14:paraId="38637C0C" w14:textId="77777777" w:rsidR="00400398" w:rsidRPr="007232E4" w:rsidRDefault="00400398">
      <w:r w:rsidRPr="007232E4">
        <w:br w:type="page"/>
      </w:r>
    </w:p>
    <w:p w14:paraId="5B9AA11D" w14:textId="77777777" w:rsidR="00400398" w:rsidRPr="007232E4" w:rsidRDefault="00400398"/>
    <w:p w14:paraId="5623BDAF" w14:textId="77777777" w:rsidR="00400398" w:rsidRPr="007232E4" w:rsidRDefault="00400398"/>
    <w:p w14:paraId="3430CED9" w14:textId="77777777" w:rsidR="00400398" w:rsidRPr="007232E4" w:rsidRDefault="00400398"/>
    <w:p w14:paraId="4F7C205D" w14:textId="77777777" w:rsidR="00400398" w:rsidRPr="007232E4" w:rsidRDefault="00400398"/>
    <w:p w14:paraId="67F27F34" w14:textId="77777777" w:rsidR="00400398" w:rsidRPr="007232E4" w:rsidRDefault="00400398"/>
    <w:p w14:paraId="5D06CB8D" w14:textId="77777777" w:rsidR="00400398" w:rsidRPr="007232E4" w:rsidRDefault="00400398"/>
    <w:p w14:paraId="68BBBC02" w14:textId="77777777" w:rsidR="00400398" w:rsidRPr="007232E4" w:rsidRDefault="00400398"/>
    <w:p w14:paraId="05288620" w14:textId="77777777" w:rsidR="00400398" w:rsidRPr="007232E4" w:rsidRDefault="00400398"/>
    <w:p w14:paraId="7EAE3497" w14:textId="77777777" w:rsidR="00400398" w:rsidRPr="007232E4" w:rsidRDefault="00400398"/>
    <w:p w14:paraId="7C24832E" w14:textId="77777777" w:rsidR="00400398" w:rsidRPr="007232E4" w:rsidRDefault="00400398"/>
    <w:p w14:paraId="1FC98582" w14:textId="77777777" w:rsidR="00400398" w:rsidRPr="007232E4" w:rsidRDefault="00400398"/>
    <w:p w14:paraId="11138134" w14:textId="77777777" w:rsidR="00400398" w:rsidRPr="007232E4" w:rsidRDefault="00400398"/>
    <w:p w14:paraId="34506B7A" w14:textId="77777777" w:rsidR="00400398" w:rsidRPr="007232E4" w:rsidRDefault="00400398"/>
    <w:p w14:paraId="0C37FB05" w14:textId="77777777" w:rsidR="00400398" w:rsidRPr="007232E4" w:rsidRDefault="00400398"/>
    <w:p w14:paraId="5AA59E2B" w14:textId="77777777" w:rsidR="00400398" w:rsidRPr="007232E4" w:rsidRDefault="00400398"/>
    <w:p w14:paraId="1EB1D009" w14:textId="77777777" w:rsidR="00400398" w:rsidRPr="007232E4" w:rsidRDefault="00400398"/>
    <w:p w14:paraId="268698C7" w14:textId="77777777" w:rsidR="00400398" w:rsidRPr="007232E4" w:rsidRDefault="00400398"/>
    <w:p w14:paraId="149FC3EA" w14:textId="77777777" w:rsidR="00400398" w:rsidRPr="007232E4" w:rsidRDefault="00400398"/>
    <w:p w14:paraId="502BB5A2" w14:textId="77777777" w:rsidR="00400398" w:rsidRPr="007232E4" w:rsidRDefault="00400398"/>
    <w:p w14:paraId="37E3E896" w14:textId="77777777" w:rsidR="00400398" w:rsidRPr="007232E4" w:rsidRDefault="00400398"/>
    <w:p w14:paraId="3D5E8913" w14:textId="77777777" w:rsidR="00400398" w:rsidRPr="007232E4" w:rsidRDefault="00400398"/>
    <w:p w14:paraId="6EBD7BC9" w14:textId="77777777" w:rsidR="00400398" w:rsidRPr="007232E4" w:rsidRDefault="00400398"/>
    <w:p w14:paraId="7642BEB5" w14:textId="77777777" w:rsidR="00400398" w:rsidRPr="007232E4" w:rsidRDefault="00400398">
      <w:pPr>
        <w:pStyle w:val="Annex"/>
      </w:pPr>
      <w:r w:rsidRPr="007232E4">
        <w:t>B. FOLHETO INFORMATIVO</w:t>
      </w:r>
    </w:p>
    <w:p w14:paraId="799B2D25" w14:textId="77777777" w:rsidR="00400398" w:rsidRPr="007232E4" w:rsidRDefault="00400398"/>
    <w:p w14:paraId="511FED56" w14:textId="77777777" w:rsidR="00400398" w:rsidRPr="007232E4" w:rsidRDefault="00400398"/>
    <w:p w14:paraId="50E0D0B0" w14:textId="77777777" w:rsidR="00400398" w:rsidRPr="007232E4" w:rsidRDefault="00400398">
      <w:pPr>
        <w:jc w:val="center"/>
        <w:outlineLvl w:val="0"/>
        <w:rPr>
          <w:b/>
        </w:rPr>
      </w:pPr>
      <w:r w:rsidRPr="007232E4">
        <w:br w:type="page"/>
      </w:r>
      <w:r w:rsidRPr="007232E4">
        <w:rPr>
          <w:b/>
        </w:rPr>
        <w:lastRenderedPageBreak/>
        <w:t>Folheto informativo: Informação para o utilizador</w:t>
      </w:r>
    </w:p>
    <w:p w14:paraId="5BB2BE9C" w14:textId="77777777" w:rsidR="00400398" w:rsidRPr="007232E4" w:rsidRDefault="00400398">
      <w:pPr>
        <w:jc w:val="center"/>
        <w:outlineLvl w:val="0"/>
        <w:rPr>
          <w:b/>
        </w:rPr>
      </w:pPr>
    </w:p>
    <w:p w14:paraId="73475C3B" w14:textId="77777777" w:rsidR="00400398" w:rsidRPr="007232E4" w:rsidRDefault="009F6BAD">
      <w:pPr>
        <w:jc w:val="center"/>
        <w:outlineLvl w:val="0"/>
        <w:rPr>
          <w:b/>
        </w:rPr>
      </w:pPr>
      <w:r>
        <w:rPr>
          <w:b/>
        </w:rPr>
        <w:t xml:space="preserve">Aybintio </w:t>
      </w:r>
      <w:r w:rsidR="00400398" w:rsidRPr="007232E4">
        <w:rPr>
          <w:b/>
        </w:rPr>
        <w:t>25 mg/ml concentrado para solução para perfusão</w:t>
      </w:r>
    </w:p>
    <w:p w14:paraId="13AA436A" w14:textId="77777777" w:rsidR="00400398" w:rsidRPr="007232E4" w:rsidRDefault="000D0309">
      <w:pPr>
        <w:jc w:val="center"/>
        <w:outlineLvl w:val="0"/>
      </w:pPr>
      <w:r>
        <w:t>b</w:t>
      </w:r>
      <w:r w:rsidR="00400398" w:rsidRPr="007232E4">
        <w:t>evacizumab</w:t>
      </w:r>
    </w:p>
    <w:p w14:paraId="05E8F647" w14:textId="77777777" w:rsidR="005769C3" w:rsidRPr="001E05C2" w:rsidRDefault="005769C3">
      <w:pPr>
        <w:numPr>
          <w:ilvl w:val="12"/>
          <w:numId w:val="0"/>
        </w:numPr>
        <w:ind w:right="-2"/>
        <w:rPr>
          <w:rFonts w:eastAsia="Yu Mincho"/>
        </w:rPr>
      </w:pPr>
    </w:p>
    <w:p w14:paraId="553CC12E" w14:textId="77777777" w:rsidR="00400398" w:rsidRPr="00C82494" w:rsidRDefault="00400398" w:rsidP="00B53B43">
      <w:pPr>
        <w:ind w:right="-2"/>
        <w:rPr>
          <w:lang w:val="es-ES"/>
        </w:rPr>
      </w:pPr>
      <w:r w:rsidRPr="007232E4">
        <w:rPr>
          <w:b/>
          <w:szCs w:val="24"/>
        </w:rPr>
        <w:t>Leia com atenção todo este folheto antes de começar a utilizar este medicamento, pois contém informação importante para si.</w:t>
      </w:r>
    </w:p>
    <w:p w14:paraId="16CBF52E" w14:textId="77777777" w:rsidR="00400398" w:rsidRPr="007232E4" w:rsidRDefault="00157612">
      <w:pPr>
        <w:ind w:left="567" w:right="-2" w:hanging="567"/>
      </w:pPr>
      <w:r>
        <w:rPr>
          <w:noProof/>
          <w:szCs w:val="22"/>
        </w:rPr>
        <w:t>-</w:t>
      </w:r>
      <w:r w:rsidR="00400398" w:rsidRPr="007232E4">
        <w:tab/>
        <w:t xml:space="preserve">Conserve este folheto. Pode ter necessidade de </w:t>
      </w:r>
      <w:r w:rsidR="00400398" w:rsidRPr="007232E4">
        <w:rPr>
          <w:szCs w:val="24"/>
        </w:rPr>
        <w:t>o ler novamente</w:t>
      </w:r>
      <w:r w:rsidR="00400398" w:rsidRPr="007232E4">
        <w:t>.</w:t>
      </w:r>
    </w:p>
    <w:p w14:paraId="298995AB" w14:textId="77777777" w:rsidR="00400398" w:rsidRPr="007232E4" w:rsidRDefault="00157612">
      <w:pPr>
        <w:ind w:left="567" w:right="-2" w:hanging="567"/>
      </w:pPr>
      <w:r>
        <w:rPr>
          <w:noProof/>
          <w:szCs w:val="22"/>
        </w:rPr>
        <w:t>-</w:t>
      </w:r>
      <w:r w:rsidR="00400398" w:rsidRPr="007232E4">
        <w:tab/>
        <w:t>Caso ainda tenha dúvidas, fale com o seu médico, farmacêutico ou enfermeiro.</w:t>
      </w:r>
    </w:p>
    <w:p w14:paraId="1E3F7E31" w14:textId="77777777" w:rsidR="00400398" w:rsidRPr="007232E4" w:rsidRDefault="00157612">
      <w:pPr>
        <w:ind w:left="567" w:right="-2" w:hanging="567"/>
        <w:rPr>
          <w:b/>
        </w:rPr>
      </w:pPr>
      <w:r>
        <w:rPr>
          <w:noProof/>
          <w:szCs w:val="22"/>
        </w:rPr>
        <w:t>-</w:t>
      </w:r>
      <w:r w:rsidR="00400398" w:rsidRPr="007232E4">
        <w:tab/>
        <w:t xml:space="preserve">Se </w:t>
      </w:r>
      <w:r w:rsidR="00400398" w:rsidRPr="007232E4">
        <w:rPr>
          <w:szCs w:val="24"/>
        </w:rPr>
        <w:t xml:space="preserve">tiver quaisquer </w:t>
      </w:r>
      <w:r w:rsidR="00400398" w:rsidRPr="007232E4">
        <w:t xml:space="preserve">efeitos </w:t>
      </w:r>
      <w:r w:rsidR="005769C3">
        <w:t>indesejáveis</w:t>
      </w:r>
      <w:r w:rsidR="00400398" w:rsidRPr="007232E4">
        <w:t xml:space="preserve">, </w:t>
      </w:r>
      <w:r w:rsidR="00400398" w:rsidRPr="007232E4">
        <w:rPr>
          <w:szCs w:val="24"/>
        </w:rPr>
        <w:t xml:space="preserve">incluindo possíveis efeitos </w:t>
      </w:r>
      <w:r w:rsidR="005769C3">
        <w:t>indesejáveis</w:t>
      </w:r>
      <w:r w:rsidR="00400398" w:rsidRPr="007232E4">
        <w:rPr>
          <w:szCs w:val="24"/>
        </w:rPr>
        <w:t xml:space="preserve"> não indicados neste folheto, </w:t>
      </w:r>
      <w:r w:rsidR="005769C3">
        <w:rPr>
          <w:szCs w:val="24"/>
        </w:rPr>
        <w:t>fale com</w:t>
      </w:r>
      <w:r w:rsidR="00400398" w:rsidRPr="007232E4">
        <w:t xml:space="preserve"> o seu médico, farmacêutico ou enfermeiro.</w:t>
      </w:r>
      <w:r w:rsidR="005769C3">
        <w:t xml:space="preserve"> Ver </w:t>
      </w:r>
      <w:r w:rsidR="005769C3" w:rsidRPr="00D91337">
        <w:rPr>
          <w:lang w:val="es-ES"/>
        </w:rPr>
        <w:t>secção 4.</w:t>
      </w:r>
    </w:p>
    <w:p w14:paraId="04D8D2B4" w14:textId="77777777" w:rsidR="00400398" w:rsidRPr="007232E4" w:rsidRDefault="00400398">
      <w:pPr>
        <w:numPr>
          <w:ilvl w:val="12"/>
          <w:numId w:val="0"/>
        </w:numPr>
        <w:ind w:right="-2"/>
      </w:pPr>
    </w:p>
    <w:p w14:paraId="0D180003" w14:textId="77777777" w:rsidR="00400398" w:rsidRPr="007232E4" w:rsidRDefault="00400398" w:rsidP="00B53B43">
      <w:pPr>
        <w:numPr>
          <w:ilvl w:val="12"/>
          <w:numId w:val="0"/>
        </w:numPr>
        <w:suppressAutoHyphens/>
        <w:rPr>
          <w:szCs w:val="24"/>
        </w:rPr>
      </w:pPr>
      <w:r w:rsidRPr="007232E4">
        <w:rPr>
          <w:b/>
          <w:szCs w:val="24"/>
        </w:rPr>
        <w:t>O que contém este folheto:</w:t>
      </w:r>
      <w:r w:rsidRPr="007232E4">
        <w:t xml:space="preserve"> </w:t>
      </w:r>
    </w:p>
    <w:p w14:paraId="6CC5248A" w14:textId="77777777" w:rsidR="00400398" w:rsidRPr="007232E4" w:rsidRDefault="00400398">
      <w:pPr>
        <w:numPr>
          <w:ilvl w:val="12"/>
          <w:numId w:val="0"/>
        </w:numPr>
        <w:ind w:right="-2"/>
        <w:outlineLvl w:val="0"/>
      </w:pPr>
    </w:p>
    <w:p w14:paraId="6217BDD6" w14:textId="77777777" w:rsidR="00400398" w:rsidRPr="007232E4" w:rsidRDefault="00400398">
      <w:pPr>
        <w:ind w:left="567" w:right="-29" w:hanging="567"/>
      </w:pPr>
      <w:r w:rsidRPr="007232E4">
        <w:t>1.</w:t>
      </w:r>
      <w:r w:rsidRPr="007232E4">
        <w:tab/>
        <w:t xml:space="preserve">O que é </w:t>
      </w:r>
      <w:r w:rsidR="00BF1F02">
        <w:t>Aybintio</w:t>
      </w:r>
      <w:r w:rsidR="00BF1F02" w:rsidRPr="007232E4">
        <w:t xml:space="preserve"> </w:t>
      </w:r>
      <w:r w:rsidRPr="007232E4">
        <w:t>e para que é utilizado</w:t>
      </w:r>
    </w:p>
    <w:p w14:paraId="43DAB6C0" w14:textId="77777777" w:rsidR="00400398" w:rsidRPr="007232E4" w:rsidRDefault="00400398">
      <w:pPr>
        <w:ind w:left="567" w:right="-29" w:hanging="567"/>
      </w:pPr>
      <w:r w:rsidRPr="007232E4">
        <w:t>2.</w:t>
      </w:r>
      <w:r w:rsidRPr="007232E4">
        <w:tab/>
      </w:r>
      <w:r w:rsidRPr="007232E4">
        <w:rPr>
          <w:snapToGrid w:val="0"/>
          <w:szCs w:val="24"/>
        </w:rPr>
        <w:t xml:space="preserve">O que precisa de saber </w:t>
      </w:r>
      <w:r w:rsidRPr="007232E4">
        <w:t xml:space="preserve">antes de utilizar </w:t>
      </w:r>
      <w:r w:rsidR="00BF1F02">
        <w:t>Aybintio</w:t>
      </w:r>
    </w:p>
    <w:p w14:paraId="38A1AED4" w14:textId="77777777" w:rsidR="00400398" w:rsidRPr="007232E4" w:rsidRDefault="00400398">
      <w:pPr>
        <w:ind w:left="567" w:right="-29" w:hanging="567"/>
      </w:pPr>
      <w:r w:rsidRPr="007232E4">
        <w:t>3.</w:t>
      </w:r>
      <w:r w:rsidRPr="007232E4">
        <w:tab/>
        <w:t xml:space="preserve">Como utilizar </w:t>
      </w:r>
      <w:r w:rsidR="00BF1F02">
        <w:t>Aybintio</w:t>
      </w:r>
    </w:p>
    <w:p w14:paraId="2DBCD502" w14:textId="77777777" w:rsidR="00400398" w:rsidRPr="007232E4" w:rsidRDefault="00400398">
      <w:pPr>
        <w:ind w:left="567" w:right="-29" w:hanging="567"/>
      </w:pPr>
      <w:r w:rsidRPr="007232E4">
        <w:t>4.</w:t>
      </w:r>
      <w:r w:rsidRPr="007232E4">
        <w:tab/>
        <w:t xml:space="preserve">Efeitos </w:t>
      </w:r>
      <w:r w:rsidR="00FF48C6">
        <w:t>indesejáveis</w:t>
      </w:r>
      <w:r w:rsidRPr="007232E4">
        <w:t xml:space="preserve"> possíveis</w:t>
      </w:r>
    </w:p>
    <w:p w14:paraId="404466F9" w14:textId="77777777" w:rsidR="00400398" w:rsidRPr="007232E4" w:rsidRDefault="00400398">
      <w:pPr>
        <w:ind w:left="567" w:right="-29" w:hanging="567"/>
      </w:pPr>
      <w:r w:rsidRPr="007232E4">
        <w:t>5.</w:t>
      </w:r>
      <w:r w:rsidRPr="007232E4">
        <w:tab/>
        <w:t xml:space="preserve">Como conservar </w:t>
      </w:r>
      <w:r w:rsidR="00BF1F02">
        <w:t>Aybintio</w:t>
      </w:r>
    </w:p>
    <w:p w14:paraId="1B2F2F9B" w14:textId="77777777" w:rsidR="00400398" w:rsidRPr="007232E4" w:rsidRDefault="00400398">
      <w:pPr>
        <w:ind w:left="567" w:right="-29" w:hanging="567"/>
      </w:pPr>
      <w:r w:rsidRPr="007232E4">
        <w:t>6.</w:t>
      </w:r>
      <w:r w:rsidRPr="007232E4">
        <w:tab/>
      </w:r>
      <w:r w:rsidRPr="007232E4">
        <w:rPr>
          <w:snapToGrid w:val="0"/>
          <w:szCs w:val="24"/>
        </w:rPr>
        <w:t xml:space="preserve">Conteúdo da embalagem e </w:t>
      </w:r>
      <w:r w:rsidRPr="007232E4">
        <w:t>outras informações</w:t>
      </w:r>
    </w:p>
    <w:p w14:paraId="7C421C48" w14:textId="77777777" w:rsidR="00400398" w:rsidRPr="007232E4" w:rsidRDefault="00400398">
      <w:pPr>
        <w:numPr>
          <w:ilvl w:val="12"/>
          <w:numId w:val="0"/>
        </w:numPr>
        <w:ind w:right="-2"/>
      </w:pPr>
    </w:p>
    <w:p w14:paraId="0F43E13B" w14:textId="77777777" w:rsidR="00400398" w:rsidRPr="007232E4" w:rsidRDefault="00400398">
      <w:pPr>
        <w:numPr>
          <w:ilvl w:val="12"/>
          <w:numId w:val="0"/>
        </w:numPr>
        <w:ind w:right="-2"/>
      </w:pPr>
    </w:p>
    <w:p w14:paraId="3A245DA4" w14:textId="77777777" w:rsidR="00400398" w:rsidRPr="007232E4" w:rsidRDefault="00400398">
      <w:pPr>
        <w:numPr>
          <w:ilvl w:val="12"/>
          <w:numId w:val="0"/>
        </w:numPr>
        <w:ind w:left="567" w:right="-2" w:hanging="567"/>
      </w:pPr>
      <w:r w:rsidRPr="007232E4">
        <w:rPr>
          <w:b/>
        </w:rPr>
        <w:t>1.</w:t>
      </w:r>
      <w:r w:rsidRPr="007232E4">
        <w:rPr>
          <w:b/>
        </w:rPr>
        <w:tab/>
        <w:t xml:space="preserve">O que é </w:t>
      </w:r>
      <w:r w:rsidR="00BF1F02">
        <w:rPr>
          <w:b/>
        </w:rPr>
        <w:t>Aybintio</w:t>
      </w:r>
      <w:r w:rsidR="00BF1F02" w:rsidRPr="007232E4">
        <w:rPr>
          <w:b/>
        </w:rPr>
        <w:t xml:space="preserve"> </w:t>
      </w:r>
      <w:r w:rsidRPr="007232E4">
        <w:rPr>
          <w:b/>
        </w:rPr>
        <w:t>e para que é utilizado</w:t>
      </w:r>
    </w:p>
    <w:p w14:paraId="202921D0" w14:textId="77777777" w:rsidR="00400398" w:rsidRPr="007232E4" w:rsidRDefault="00400398">
      <w:pPr>
        <w:numPr>
          <w:ilvl w:val="12"/>
          <w:numId w:val="0"/>
        </w:numPr>
        <w:ind w:right="-2"/>
      </w:pPr>
    </w:p>
    <w:p w14:paraId="6502FC1B" w14:textId="77777777" w:rsidR="00400398" w:rsidRPr="007232E4" w:rsidRDefault="00BF1F02">
      <w:pPr>
        <w:numPr>
          <w:ilvl w:val="12"/>
          <w:numId w:val="0"/>
        </w:numPr>
        <w:ind w:right="-2"/>
      </w:pPr>
      <w:r>
        <w:t>Aybintio</w:t>
      </w:r>
      <w:r w:rsidRPr="007232E4">
        <w:t xml:space="preserve"> </w:t>
      </w:r>
      <w:r w:rsidR="00400398" w:rsidRPr="007232E4">
        <w:t>contém a substância ativa bevacizumab, que é um anticorpo monoclonal humanizado (um tipo de proteína que é normalmente produzido pelo sistema imunitário para ajudar a defender o organismo de infeção e cancro). O bevacizumab liga</w:t>
      </w:r>
      <w:r w:rsidR="00400398" w:rsidRPr="007232E4">
        <w:noBreakHyphen/>
        <w:t>se seletivamente a uma proteína designada por fator de crescimento do endotélio vascular humano (VEGF), que se encontra no revestimento dos vasos sanguíneos e linfáticos do organismo. A proteína VEGF causa o crescimento dos vasos sanguíneos nos tumores, estes vasos sanguíneos abastecem o tumor de nutrientes e oxigénio. Quando o bevacizumab se liga ao VEGF, impede o crescimento do tumor através do bloqueio do crescimento dos vasos sanguíneos que fornecem nutrientes e oxigénio ao tumor.</w:t>
      </w:r>
    </w:p>
    <w:p w14:paraId="3E8E85F4" w14:textId="77777777" w:rsidR="00400398" w:rsidRPr="007232E4" w:rsidRDefault="00400398">
      <w:pPr>
        <w:numPr>
          <w:ilvl w:val="12"/>
          <w:numId w:val="0"/>
        </w:numPr>
        <w:ind w:right="-2"/>
      </w:pPr>
    </w:p>
    <w:p w14:paraId="7CB5BBED" w14:textId="77777777" w:rsidR="00400398" w:rsidRPr="007232E4" w:rsidRDefault="00BF1F02">
      <w:pPr>
        <w:numPr>
          <w:ilvl w:val="12"/>
          <w:numId w:val="0"/>
        </w:numPr>
        <w:ind w:right="-2"/>
      </w:pPr>
      <w:r>
        <w:t>Aybintio</w:t>
      </w:r>
      <w:r w:rsidRPr="007232E4">
        <w:t xml:space="preserve"> </w:t>
      </w:r>
      <w:r w:rsidR="00400398" w:rsidRPr="007232E4">
        <w:t xml:space="preserve">é um medicamento utilizado para o tratamento </w:t>
      </w:r>
      <w:r w:rsidR="00400398">
        <w:t>de doentes adultos com</w:t>
      </w:r>
      <w:r w:rsidR="00400398" w:rsidRPr="007232E4">
        <w:t xml:space="preserve"> cancro avançado do intestino grosso, isto é, do cólon ou reto. </w:t>
      </w:r>
      <w:r>
        <w:t>Aybintio</w:t>
      </w:r>
      <w:r w:rsidRPr="007232E4">
        <w:t xml:space="preserve"> </w:t>
      </w:r>
      <w:r w:rsidR="00400398" w:rsidRPr="007232E4">
        <w:t>será administrado juntamente com quimioterapia que contém medicamentos com fluoropirimidinas.</w:t>
      </w:r>
    </w:p>
    <w:p w14:paraId="62F76E94" w14:textId="77777777" w:rsidR="00400398" w:rsidRPr="007232E4" w:rsidRDefault="00400398">
      <w:pPr>
        <w:numPr>
          <w:ilvl w:val="12"/>
          <w:numId w:val="0"/>
        </w:numPr>
        <w:ind w:right="-2"/>
      </w:pPr>
    </w:p>
    <w:p w14:paraId="495A0ACB" w14:textId="77777777" w:rsidR="00400398" w:rsidRPr="007232E4" w:rsidRDefault="00BF1F02">
      <w:pPr>
        <w:numPr>
          <w:ilvl w:val="12"/>
          <w:numId w:val="0"/>
        </w:numPr>
        <w:ind w:right="-2"/>
      </w:pPr>
      <w:r>
        <w:t>Aybintio</w:t>
      </w:r>
      <w:r w:rsidRPr="007232E4">
        <w:t xml:space="preserve"> </w:t>
      </w:r>
      <w:r w:rsidR="00400398" w:rsidRPr="007232E4">
        <w:t>também é utilizado para o tratamento d</w:t>
      </w:r>
      <w:r w:rsidR="00400398">
        <w:t>e doentes adultos com</w:t>
      </w:r>
      <w:r w:rsidR="00400398" w:rsidRPr="007232E4">
        <w:t xml:space="preserve"> cancro da mama </w:t>
      </w:r>
      <w:r w:rsidR="00400398" w:rsidRPr="007232E4">
        <w:rPr>
          <w:rFonts w:eastAsia="SimSun"/>
          <w:szCs w:val="22"/>
          <w:lang w:eastAsia="zh-CN"/>
        </w:rPr>
        <w:t>metastizado</w:t>
      </w:r>
      <w:r w:rsidR="00400398" w:rsidRPr="007232E4">
        <w:t>. Quando utilizado em doentes com cancro da mama, será administrado com um medicamento para quimioterapia denominado paclitaxel ou capecitabina.</w:t>
      </w:r>
    </w:p>
    <w:p w14:paraId="1E5CDE39" w14:textId="77777777" w:rsidR="00400398" w:rsidRPr="007232E4" w:rsidRDefault="00400398">
      <w:pPr>
        <w:numPr>
          <w:ilvl w:val="12"/>
          <w:numId w:val="0"/>
        </w:numPr>
        <w:ind w:right="-2"/>
      </w:pPr>
    </w:p>
    <w:p w14:paraId="6BC5E754" w14:textId="77777777" w:rsidR="00400398" w:rsidRPr="007232E4" w:rsidRDefault="00BF1F02">
      <w:pPr>
        <w:numPr>
          <w:ilvl w:val="12"/>
          <w:numId w:val="0"/>
        </w:numPr>
        <w:ind w:right="-2"/>
      </w:pPr>
      <w:r>
        <w:t>Aybintio</w:t>
      </w:r>
      <w:r w:rsidRPr="007232E4">
        <w:t xml:space="preserve"> </w:t>
      </w:r>
      <w:r w:rsidR="00400398" w:rsidRPr="007232E4">
        <w:t>também é utilizado para o tratamento d</w:t>
      </w:r>
      <w:r w:rsidR="00400398">
        <w:t>e</w:t>
      </w:r>
      <w:r w:rsidR="00400398" w:rsidRPr="000E7494">
        <w:t xml:space="preserve"> </w:t>
      </w:r>
      <w:r w:rsidR="00400398">
        <w:t>doentes adultos com</w:t>
      </w:r>
      <w:r w:rsidR="00400398" w:rsidRPr="007232E4">
        <w:t xml:space="preserve"> cancro do pulmão de células não pequenas avançado. </w:t>
      </w:r>
      <w:r>
        <w:t>Aybintio</w:t>
      </w:r>
      <w:r w:rsidRPr="007232E4">
        <w:t xml:space="preserve"> </w:t>
      </w:r>
      <w:r w:rsidR="00400398" w:rsidRPr="007232E4">
        <w:t xml:space="preserve">será administrado em associação com um regime de quimioterapia contendo </w:t>
      </w:r>
      <w:r w:rsidR="00233EB7">
        <w:t>platina</w:t>
      </w:r>
      <w:r w:rsidR="00400398" w:rsidRPr="007232E4">
        <w:t>.</w:t>
      </w:r>
    </w:p>
    <w:p w14:paraId="22486B51" w14:textId="77777777" w:rsidR="00400398" w:rsidRDefault="00400398">
      <w:pPr>
        <w:numPr>
          <w:ilvl w:val="12"/>
          <w:numId w:val="0"/>
        </w:numPr>
        <w:ind w:right="-2"/>
      </w:pPr>
    </w:p>
    <w:p w14:paraId="4F49C82F" w14:textId="77777777" w:rsidR="00835CCD" w:rsidRDefault="00BF1F02">
      <w:pPr>
        <w:numPr>
          <w:ilvl w:val="12"/>
          <w:numId w:val="0"/>
        </w:numPr>
        <w:ind w:right="-2"/>
      </w:pPr>
      <w:r>
        <w:t>Aybintio</w:t>
      </w:r>
      <w:r w:rsidRPr="007232E4">
        <w:t xml:space="preserve"> </w:t>
      </w:r>
      <w:r w:rsidR="00835CCD" w:rsidRPr="007232E4">
        <w:t>também é utilizado para o tratamento d</w:t>
      </w:r>
      <w:r w:rsidR="00835CCD">
        <w:t>e</w:t>
      </w:r>
      <w:r w:rsidR="00835CCD" w:rsidRPr="000E7494">
        <w:t xml:space="preserve"> </w:t>
      </w:r>
      <w:r w:rsidR="00835CCD">
        <w:t>doentes adultos com</w:t>
      </w:r>
      <w:r w:rsidR="00835CCD" w:rsidRPr="007232E4">
        <w:t xml:space="preserve"> cancro do pulmão de células não pequenas avançado</w:t>
      </w:r>
      <w:r w:rsidR="00835CCD">
        <w:t xml:space="preserve"> quando as células cancerígenas têm mutações específicas de uma proteína chamada recetor do fator de crescimento epidérmico (EGFR)</w:t>
      </w:r>
      <w:r w:rsidR="00835CCD" w:rsidRPr="007232E4">
        <w:t xml:space="preserve">. </w:t>
      </w:r>
      <w:r>
        <w:t>Aybintio</w:t>
      </w:r>
      <w:r w:rsidRPr="007232E4">
        <w:t xml:space="preserve"> </w:t>
      </w:r>
      <w:r w:rsidR="00835CCD" w:rsidRPr="007232E4">
        <w:t xml:space="preserve">será administrado em associação com </w:t>
      </w:r>
      <w:r w:rsidR="00835CCD">
        <w:t>erlotinib</w:t>
      </w:r>
      <w:r w:rsidR="00835CCD" w:rsidRPr="007232E4">
        <w:t>.</w:t>
      </w:r>
    </w:p>
    <w:p w14:paraId="5C919108" w14:textId="77777777" w:rsidR="00835CCD" w:rsidRPr="007232E4" w:rsidRDefault="00835CCD">
      <w:pPr>
        <w:numPr>
          <w:ilvl w:val="12"/>
          <w:numId w:val="0"/>
        </w:numPr>
        <w:ind w:right="-2"/>
      </w:pPr>
    </w:p>
    <w:p w14:paraId="5775D791" w14:textId="77777777" w:rsidR="00400398" w:rsidRPr="007232E4" w:rsidRDefault="00BF1F02">
      <w:pPr>
        <w:numPr>
          <w:ilvl w:val="12"/>
          <w:numId w:val="0"/>
        </w:numPr>
        <w:ind w:right="-2"/>
      </w:pPr>
      <w:r>
        <w:t>Aybintio</w:t>
      </w:r>
      <w:r w:rsidRPr="007232E4">
        <w:t xml:space="preserve"> </w:t>
      </w:r>
      <w:r w:rsidR="00400398" w:rsidRPr="007232E4">
        <w:t>também é utilizado para o tratamento d</w:t>
      </w:r>
      <w:r w:rsidR="00400398">
        <w:t>e doentes adultos com</w:t>
      </w:r>
      <w:r w:rsidR="00400398" w:rsidRPr="007232E4">
        <w:t xml:space="preserve"> cancro renal avançado. Quando utilizado em doentes com cancro renal, será administrado com outro tipo de medicamento denominado interferão.</w:t>
      </w:r>
    </w:p>
    <w:p w14:paraId="5EDBB296" w14:textId="77777777" w:rsidR="00400398" w:rsidRPr="007232E4" w:rsidRDefault="00400398">
      <w:pPr>
        <w:numPr>
          <w:ilvl w:val="12"/>
          <w:numId w:val="0"/>
        </w:numPr>
        <w:ind w:right="-2"/>
      </w:pPr>
    </w:p>
    <w:p w14:paraId="2D5F0753" w14:textId="77777777" w:rsidR="00400398" w:rsidRPr="007232E4" w:rsidRDefault="00BF1F02" w:rsidP="00F2698A">
      <w:pPr>
        <w:autoSpaceDE w:val="0"/>
        <w:autoSpaceDN w:val="0"/>
        <w:adjustRightInd w:val="0"/>
        <w:rPr>
          <w:szCs w:val="22"/>
        </w:rPr>
      </w:pPr>
      <w:r>
        <w:rPr>
          <w:szCs w:val="22"/>
        </w:rPr>
        <w:t>Aybintio</w:t>
      </w:r>
      <w:r w:rsidRPr="007232E4">
        <w:rPr>
          <w:szCs w:val="22"/>
        </w:rPr>
        <w:t xml:space="preserve"> </w:t>
      </w:r>
      <w:r w:rsidR="00400398" w:rsidRPr="007232E4">
        <w:rPr>
          <w:szCs w:val="22"/>
        </w:rPr>
        <w:t>é também usado no tratamento d</w:t>
      </w:r>
      <w:r w:rsidR="00400398">
        <w:rPr>
          <w:szCs w:val="22"/>
        </w:rPr>
        <w:t xml:space="preserve">e </w:t>
      </w:r>
      <w:r w:rsidR="00400398">
        <w:t>doentes adultos com</w:t>
      </w:r>
      <w:r w:rsidR="00400398" w:rsidRPr="007232E4">
        <w:rPr>
          <w:szCs w:val="22"/>
        </w:rPr>
        <w:t xml:space="preserve"> cancro epitelial do ovário, da trompa de Falópio ou cancro peritoneal primário, avançados. Quando usado em doentes com cancro epitelial </w:t>
      </w:r>
      <w:r w:rsidR="00400398" w:rsidRPr="007232E4">
        <w:rPr>
          <w:szCs w:val="22"/>
        </w:rPr>
        <w:lastRenderedPageBreak/>
        <w:t>do ovário, da trompa de Falópio ou peritoneal primário, será administrado em associação com carboplatina e paclitaxel.</w:t>
      </w:r>
    </w:p>
    <w:p w14:paraId="31A8C508" w14:textId="77777777" w:rsidR="00400398" w:rsidRPr="007232E4" w:rsidRDefault="00400398">
      <w:pPr>
        <w:numPr>
          <w:ilvl w:val="12"/>
          <w:numId w:val="0"/>
        </w:numPr>
        <w:ind w:right="-2"/>
      </w:pPr>
    </w:p>
    <w:p w14:paraId="329BA17E" w14:textId="77777777" w:rsidR="00400398" w:rsidRDefault="00400398" w:rsidP="00711068">
      <w:pPr>
        <w:autoSpaceDE w:val="0"/>
        <w:autoSpaceDN w:val="0"/>
        <w:adjustRightInd w:val="0"/>
        <w:rPr>
          <w:szCs w:val="22"/>
        </w:rPr>
      </w:pPr>
      <w:r w:rsidRPr="007232E4">
        <w:t>Quando usado</w:t>
      </w:r>
      <w:r w:rsidRPr="007232E4">
        <w:rPr>
          <w:szCs w:val="22"/>
        </w:rPr>
        <w:t xml:space="preserve"> nos doentes</w:t>
      </w:r>
      <w:r>
        <w:rPr>
          <w:szCs w:val="22"/>
        </w:rPr>
        <w:t xml:space="preserve"> adultos com cancro </w:t>
      </w:r>
      <w:r w:rsidRPr="007232E4">
        <w:rPr>
          <w:szCs w:val="22"/>
        </w:rPr>
        <w:t>epitelial do ovário, da trompa de Falópio ou cancro peritoneal primário</w:t>
      </w:r>
      <w:r>
        <w:rPr>
          <w:szCs w:val="22"/>
        </w:rPr>
        <w:t>, avançados,</w:t>
      </w:r>
      <w:r w:rsidRPr="007232E4">
        <w:rPr>
          <w:szCs w:val="22"/>
        </w:rPr>
        <w:t xml:space="preserve"> em que a doença reapareceu pelo menos 6 meses após a última vez que foram tratados com um regime de quimioterapia contendo um </w:t>
      </w:r>
      <w:r>
        <w:rPr>
          <w:szCs w:val="22"/>
        </w:rPr>
        <w:t xml:space="preserve">agente de </w:t>
      </w:r>
      <w:r w:rsidRPr="007232E4">
        <w:rPr>
          <w:szCs w:val="22"/>
        </w:rPr>
        <w:t xml:space="preserve">platino, o </w:t>
      </w:r>
      <w:r w:rsidR="00BF1F02">
        <w:rPr>
          <w:szCs w:val="22"/>
        </w:rPr>
        <w:t>Aybintio</w:t>
      </w:r>
      <w:r w:rsidR="00BF1F02" w:rsidRPr="007232E4">
        <w:rPr>
          <w:szCs w:val="22"/>
        </w:rPr>
        <w:t xml:space="preserve"> </w:t>
      </w:r>
      <w:r w:rsidRPr="007232E4">
        <w:rPr>
          <w:szCs w:val="22"/>
        </w:rPr>
        <w:t>será administrado em associação com carboplatina e gemcitabina</w:t>
      </w:r>
      <w:r w:rsidR="002166F9">
        <w:rPr>
          <w:szCs w:val="22"/>
        </w:rPr>
        <w:t xml:space="preserve"> ou com carboplatina e paclitaxel</w:t>
      </w:r>
      <w:r w:rsidRPr="007232E4">
        <w:rPr>
          <w:szCs w:val="22"/>
        </w:rPr>
        <w:t xml:space="preserve">. </w:t>
      </w:r>
    </w:p>
    <w:p w14:paraId="178F3398" w14:textId="77777777" w:rsidR="00400398" w:rsidRDefault="00400398" w:rsidP="00711068">
      <w:pPr>
        <w:autoSpaceDE w:val="0"/>
        <w:autoSpaceDN w:val="0"/>
        <w:adjustRightInd w:val="0"/>
        <w:rPr>
          <w:szCs w:val="22"/>
        </w:rPr>
      </w:pPr>
    </w:p>
    <w:p w14:paraId="6BBB195F" w14:textId="77777777" w:rsidR="00400398" w:rsidRPr="007232E4" w:rsidRDefault="00400398" w:rsidP="00711068">
      <w:pPr>
        <w:autoSpaceDE w:val="0"/>
        <w:autoSpaceDN w:val="0"/>
        <w:adjustRightInd w:val="0"/>
        <w:rPr>
          <w:szCs w:val="22"/>
        </w:rPr>
      </w:pPr>
      <w:r>
        <w:rPr>
          <w:szCs w:val="22"/>
        </w:rPr>
        <w:t xml:space="preserve">Quando usado nos doentes adultos com cancro </w:t>
      </w:r>
      <w:r w:rsidRPr="007232E4">
        <w:rPr>
          <w:szCs w:val="22"/>
        </w:rPr>
        <w:t>epitelial do ovário, da trompa de Falópio ou cancro peritoneal primário</w:t>
      </w:r>
      <w:r>
        <w:rPr>
          <w:szCs w:val="22"/>
        </w:rPr>
        <w:t>, avançados,</w:t>
      </w:r>
      <w:r w:rsidRPr="007232E4">
        <w:rPr>
          <w:szCs w:val="22"/>
        </w:rPr>
        <w:t xml:space="preserve"> em que a doença reapareceu </w:t>
      </w:r>
      <w:r>
        <w:rPr>
          <w:szCs w:val="22"/>
        </w:rPr>
        <w:t>até</w:t>
      </w:r>
      <w:r w:rsidRPr="007232E4">
        <w:rPr>
          <w:szCs w:val="22"/>
        </w:rPr>
        <w:t xml:space="preserve"> 6 meses após a última vez que foram tratados com um regime de quimioterapia contendo um </w:t>
      </w:r>
      <w:r>
        <w:rPr>
          <w:szCs w:val="22"/>
        </w:rPr>
        <w:t xml:space="preserve">agente de </w:t>
      </w:r>
      <w:r w:rsidRPr="007232E4">
        <w:rPr>
          <w:szCs w:val="22"/>
        </w:rPr>
        <w:t xml:space="preserve">platino, o </w:t>
      </w:r>
      <w:r w:rsidR="00BF1F02">
        <w:rPr>
          <w:szCs w:val="22"/>
        </w:rPr>
        <w:t>Aybintio</w:t>
      </w:r>
      <w:r w:rsidR="00BF1F02" w:rsidRPr="007232E4">
        <w:rPr>
          <w:szCs w:val="22"/>
        </w:rPr>
        <w:t xml:space="preserve"> </w:t>
      </w:r>
      <w:r w:rsidRPr="007232E4">
        <w:rPr>
          <w:szCs w:val="22"/>
        </w:rPr>
        <w:t>será administrado em associação com</w:t>
      </w:r>
      <w:r>
        <w:rPr>
          <w:szCs w:val="22"/>
        </w:rPr>
        <w:t xml:space="preserve"> </w:t>
      </w:r>
      <w:r w:rsidR="00E47633">
        <w:rPr>
          <w:szCs w:val="22"/>
        </w:rPr>
        <w:t xml:space="preserve">paclitaxel, ou </w:t>
      </w:r>
      <w:r>
        <w:rPr>
          <w:szCs w:val="22"/>
        </w:rPr>
        <w:t>topotecano</w:t>
      </w:r>
      <w:r w:rsidR="00E47633">
        <w:rPr>
          <w:szCs w:val="22"/>
        </w:rPr>
        <w:t>,</w:t>
      </w:r>
      <w:r>
        <w:rPr>
          <w:szCs w:val="22"/>
        </w:rPr>
        <w:t xml:space="preserve"> ou doxorrubicina lipossómica peguilada</w:t>
      </w:r>
      <w:r w:rsidRPr="007232E4">
        <w:rPr>
          <w:szCs w:val="22"/>
        </w:rPr>
        <w:t>.</w:t>
      </w:r>
    </w:p>
    <w:p w14:paraId="03C93279" w14:textId="77777777" w:rsidR="00400398" w:rsidRDefault="00400398" w:rsidP="00C82494">
      <w:pPr>
        <w:autoSpaceDE w:val="0"/>
        <w:autoSpaceDN w:val="0"/>
        <w:adjustRightInd w:val="0"/>
      </w:pPr>
    </w:p>
    <w:p w14:paraId="58A2013B" w14:textId="77777777" w:rsidR="00400398" w:rsidRPr="00526E0A" w:rsidRDefault="005F5ED9" w:rsidP="00711068">
      <w:pPr>
        <w:autoSpaceDE w:val="0"/>
        <w:autoSpaceDN w:val="0"/>
        <w:adjustRightInd w:val="0"/>
        <w:rPr>
          <w:szCs w:val="22"/>
        </w:rPr>
      </w:pPr>
      <w:r>
        <w:rPr>
          <w:szCs w:val="22"/>
        </w:rPr>
        <w:t xml:space="preserve">Aybintio </w:t>
      </w:r>
      <w:r w:rsidR="00400398">
        <w:rPr>
          <w:szCs w:val="22"/>
        </w:rPr>
        <w:t xml:space="preserve">também é utilizado no tratamento de doentes adultos com cancro do colo do útero com doença persistente, recorrente ou metastizada. </w:t>
      </w:r>
      <w:r>
        <w:rPr>
          <w:szCs w:val="22"/>
        </w:rPr>
        <w:t xml:space="preserve">Aybintio </w:t>
      </w:r>
      <w:r w:rsidR="00400398">
        <w:rPr>
          <w:szCs w:val="22"/>
        </w:rPr>
        <w:t xml:space="preserve">será administrado em associação com paclitaxel e cisplatina, ou, alternativamente, paclitaxel e topotecano em doentes que não podem receber tratamento com </w:t>
      </w:r>
      <w:r w:rsidR="00233EB7">
        <w:rPr>
          <w:szCs w:val="22"/>
        </w:rPr>
        <w:t>platina</w:t>
      </w:r>
      <w:r w:rsidR="00400398">
        <w:rPr>
          <w:szCs w:val="22"/>
        </w:rPr>
        <w:t>.</w:t>
      </w:r>
    </w:p>
    <w:p w14:paraId="5A1613E4" w14:textId="77777777" w:rsidR="00400398" w:rsidRPr="00526E0A" w:rsidRDefault="00400398">
      <w:pPr>
        <w:numPr>
          <w:ilvl w:val="12"/>
          <w:numId w:val="0"/>
        </w:numPr>
        <w:ind w:right="-2"/>
      </w:pPr>
    </w:p>
    <w:p w14:paraId="1C05FB68" w14:textId="77777777" w:rsidR="00400398" w:rsidRPr="007232E4" w:rsidRDefault="00400398">
      <w:pPr>
        <w:numPr>
          <w:ilvl w:val="12"/>
          <w:numId w:val="0"/>
        </w:numPr>
        <w:ind w:right="-2"/>
      </w:pPr>
    </w:p>
    <w:p w14:paraId="2C8A75A3" w14:textId="77777777" w:rsidR="00400398" w:rsidRPr="007232E4" w:rsidRDefault="00400398">
      <w:pPr>
        <w:keepNext/>
        <w:keepLines/>
        <w:numPr>
          <w:ilvl w:val="12"/>
          <w:numId w:val="0"/>
        </w:numPr>
        <w:ind w:left="562" w:hanging="562"/>
      </w:pPr>
      <w:r w:rsidRPr="007232E4">
        <w:rPr>
          <w:b/>
        </w:rPr>
        <w:t>2.</w:t>
      </w:r>
      <w:r w:rsidRPr="007232E4">
        <w:rPr>
          <w:b/>
        </w:rPr>
        <w:tab/>
      </w:r>
      <w:r w:rsidRPr="007232E4">
        <w:rPr>
          <w:b/>
          <w:snapToGrid w:val="0"/>
          <w:szCs w:val="24"/>
        </w:rPr>
        <w:t xml:space="preserve">O que precisa de saber </w:t>
      </w:r>
      <w:r w:rsidRPr="007232E4">
        <w:rPr>
          <w:b/>
        </w:rPr>
        <w:t xml:space="preserve">antes de utilizar </w:t>
      </w:r>
      <w:r w:rsidR="005F5ED9">
        <w:rPr>
          <w:b/>
        </w:rPr>
        <w:t>Aybintio</w:t>
      </w:r>
    </w:p>
    <w:p w14:paraId="56CFB22C" w14:textId="77777777" w:rsidR="00400398" w:rsidRPr="007232E4" w:rsidRDefault="00400398">
      <w:pPr>
        <w:keepNext/>
        <w:keepLines/>
        <w:numPr>
          <w:ilvl w:val="12"/>
          <w:numId w:val="0"/>
        </w:numPr>
        <w:ind w:right="-2"/>
      </w:pPr>
    </w:p>
    <w:p w14:paraId="78F33885" w14:textId="77777777" w:rsidR="00400398" w:rsidRDefault="00400398">
      <w:pPr>
        <w:keepNext/>
        <w:keepLines/>
        <w:numPr>
          <w:ilvl w:val="12"/>
          <w:numId w:val="0"/>
        </w:numPr>
        <w:outlineLvl w:val="0"/>
        <w:rPr>
          <w:b/>
        </w:rPr>
      </w:pPr>
      <w:r w:rsidRPr="007232E4">
        <w:rPr>
          <w:b/>
        </w:rPr>
        <w:t xml:space="preserve">Não utilize </w:t>
      </w:r>
      <w:r w:rsidR="005F5ED9">
        <w:rPr>
          <w:b/>
        </w:rPr>
        <w:t>Aybintio</w:t>
      </w:r>
    </w:p>
    <w:p w14:paraId="25CC2DCB" w14:textId="77777777" w:rsidR="004D6674" w:rsidRPr="007232E4" w:rsidRDefault="004D6674">
      <w:pPr>
        <w:keepNext/>
        <w:keepLines/>
        <w:numPr>
          <w:ilvl w:val="12"/>
          <w:numId w:val="0"/>
        </w:numPr>
        <w:outlineLvl w:val="0"/>
      </w:pPr>
    </w:p>
    <w:p w14:paraId="250598BE" w14:textId="77777777" w:rsidR="00400398" w:rsidRPr="007232E4" w:rsidRDefault="00400398" w:rsidP="001E05C2">
      <w:pPr>
        <w:keepNext/>
        <w:keepLines/>
        <w:numPr>
          <w:ilvl w:val="0"/>
          <w:numId w:val="16"/>
        </w:numPr>
        <w:ind w:left="426" w:hanging="426"/>
      </w:pPr>
      <w:r w:rsidRPr="007232E4">
        <w:t>tem alergia (hipersensibilidade) ao bevacizumab ou a qualquer outro componente deste medicamento (indicados na secção 6).</w:t>
      </w:r>
    </w:p>
    <w:p w14:paraId="62C17C40" w14:textId="77777777" w:rsidR="00400398" w:rsidRPr="007232E4" w:rsidRDefault="00400398" w:rsidP="001E05C2">
      <w:pPr>
        <w:keepNext/>
        <w:keepLines/>
        <w:numPr>
          <w:ilvl w:val="0"/>
          <w:numId w:val="16"/>
        </w:numPr>
        <w:ind w:left="426" w:hanging="426"/>
      </w:pPr>
      <w:r w:rsidRPr="007232E4">
        <w:t>tem alergia (hipersensibilidade) a derivados de células de ovário de hamster Chinês (CHO) ou a outros anticorpos recombinantes humanos ou humanizados.</w:t>
      </w:r>
    </w:p>
    <w:p w14:paraId="33C88B2D" w14:textId="77777777" w:rsidR="00400398" w:rsidRPr="007232E4" w:rsidRDefault="00400398" w:rsidP="001E05C2">
      <w:pPr>
        <w:keepNext/>
        <w:keepLines/>
        <w:numPr>
          <w:ilvl w:val="0"/>
          <w:numId w:val="16"/>
        </w:numPr>
        <w:ind w:left="426" w:hanging="426"/>
      </w:pPr>
      <w:r w:rsidRPr="007232E4">
        <w:t xml:space="preserve">está grávida. </w:t>
      </w:r>
    </w:p>
    <w:p w14:paraId="2F9014B7" w14:textId="77777777" w:rsidR="00400398" w:rsidRPr="007232E4" w:rsidRDefault="00400398" w:rsidP="00E4083B">
      <w:pPr>
        <w:numPr>
          <w:ilvl w:val="12"/>
          <w:numId w:val="0"/>
        </w:numPr>
        <w:ind w:left="426" w:right="-2" w:hanging="426"/>
      </w:pPr>
    </w:p>
    <w:p w14:paraId="45778261" w14:textId="77777777" w:rsidR="00400398" w:rsidRDefault="00400398">
      <w:pPr>
        <w:numPr>
          <w:ilvl w:val="12"/>
          <w:numId w:val="0"/>
        </w:numPr>
        <w:ind w:right="-2"/>
        <w:outlineLvl w:val="0"/>
        <w:rPr>
          <w:b/>
        </w:rPr>
      </w:pPr>
      <w:r w:rsidRPr="007232E4">
        <w:rPr>
          <w:b/>
        </w:rPr>
        <w:t>Advertências e precauções</w:t>
      </w:r>
    </w:p>
    <w:p w14:paraId="14D18B2C" w14:textId="77777777" w:rsidR="004D6674" w:rsidRPr="007232E4" w:rsidRDefault="004D6674">
      <w:pPr>
        <w:numPr>
          <w:ilvl w:val="12"/>
          <w:numId w:val="0"/>
        </w:numPr>
        <w:ind w:right="-2"/>
        <w:outlineLvl w:val="0"/>
        <w:rPr>
          <w:b/>
        </w:rPr>
      </w:pPr>
    </w:p>
    <w:p w14:paraId="45D4D8D9" w14:textId="77777777" w:rsidR="00400398" w:rsidRPr="007232E4" w:rsidRDefault="00400398" w:rsidP="00816695">
      <w:pPr>
        <w:numPr>
          <w:ilvl w:val="12"/>
          <w:numId w:val="0"/>
        </w:numPr>
        <w:ind w:right="-2"/>
      </w:pPr>
      <w:r w:rsidRPr="007232E4">
        <w:t xml:space="preserve">Fale com o seu médico, farmacêutico ou enfermeiro antes de utilizar </w:t>
      </w:r>
      <w:r w:rsidR="005F5ED9">
        <w:t>Aybintio</w:t>
      </w:r>
    </w:p>
    <w:p w14:paraId="118FC9B6" w14:textId="77777777" w:rsidR="00400398" w:rsidRPr="007232E4" w:rsidRDefault="00400398">
      <w:pPr>
        <w:numPr>
          <w:ilvl w:val="12"/>
          <w:numId w:val="0"/>
        </w:numPr>
        <w:ind w:right="-2"/>
      </w:pPr>
    </w:p>
    <w:p w14:paraId="543A0C87" w14:textId="77777777" w:rsidR="00400398" w:rsidRPr="007232E4" w:rsidRDefault="00400398">
      <w:pPr>
        <w:numPr>
          <w:ilvl w:val="12"/>
          <w:numId w:val="0"/>
        </w:numPr>
        <w:ind w:left="567" w:hanging="567"/>
      </w:pPr>
      <w:r>
        <w:rPr>
          <w:noProof/>
          <w:szCs w:val="22"/>
        </w:rPr>
        <w:sym w:font="Symbol" w:char="F0B7"/>
      </w:r>
      <w:r w:rsidRPr="007232E4">
        <w:tab/>
        <w:t xml:space="preserve">É possível que </w:t>
      </w:r>
      <w:r w:rsidR="005F5ED9">
        <w:t>Aybintio</w:t>
      </w:r>
      <w:r w:rsidR="005F5ED9" w:rsidRPr="007232E4">
        <w:t xml:space="preserve"> </w:t>
      </w:r>
      <w:r w:rsidRPr="007232E4">
        <w:t>aumente o risco de desenvolvimento de orifícios na parede do intestino. Se tiver doenças que causem inflamação no interior do abdómen (ex. diverticulite, úlceras no estômago, colite associada à quimioterapia), fale com o seu médico sobre o assunto.</w:t>
      </w:r>
    </w:p>
    <w:p w14:paraId="51FF86D6" w14:textId="77777777" w:rsidR="00400398" w:rsidRPr="007232E4" w:rsidRDefault="00400398" w:rsidP="00816695">
      <w:pPr>
        <w:numPr>
          <w:ilvl w:val="12"/>
          <w:numId w:val="0"/>
        </w:numPr>
        <w:ind w:right="-2"/>
      </w:pPr>
    </w:p>
    <w:p w14:paraId="52E499E1" w14:textId="77777777" w:rsidR="00400398" w:rsidRPr="007232E4" w:rsidRDefault="00400398" w:rsidP="00816695">
      <w:pPr>
        <w:numPr>
          <w:ilvl w:val="12"/>
          <w:numId w:val="0"/>
        </w:numPr>
        <w:ind w:left="567" w:hanging="567"/>
      </w:pPr>
      <w:r>
        <w:rPr>
          <w:noProof/>
          <w:szCs w:val="22"/>
        </w:rPr>
        <w:sym w:font="Symbol" w:char="F0B7"/>
      </w:r>
      <w:r w:rsidRPr="007232E4">
        <w:tab/>
      </w:r>
      <w:r w:rsidR="005F5ED9">
        <w:t>Aybintio</w:t>
      </w:r>
      <w:r w:rsidR="005F5ED9" w:rsidRPr="007232E4">
        <w:t xml:space="preserve"> </w:t>
      </w:r>
      <w:r w:rsidRPr="007232E4">
        <w:t xml:space="preserve">pode aumentar o risco de desenvolvimento de uma ligação anormal ou passagem </w:t>
      </w:r>
      <w:r w:rsidRPr="007232E4">
        <w:rPr>
          <w:rFonts w:eastAsia="MS Mincho"/>
        </w:rPr>
        <w:t>entre dois órgãos ou vasos.</w:t>
      </w:r>
      <w:r>
        <w:rPr>
          <w:rFonts w:eastAsia="MS Mincho"/>
        </w:rPr>
        <w:t xml:space="preserve"> O risco de desenvolvimento de ligações entre a vagina e quaisquer partes do intestino pode aumentar caso tenha cancro do colo do útero com doença persistente, recorrente ou metastizada.</w:t>
      </w:r>
    </w:p>
    <w:p w14:paraId="26F03A49" w14:textId="77777777" w:rsidR="00400398" w:rsidRPr="007232E4" w:rsidRDefault="00400398">
      <w:pPr>
        <w:numPr>
          <w:ilvl w:val="12"/>
          <w:numId w:val="0"/>
        </w:numPr>
        <w:ind w:left="567" w:hanging="567"/>
      </w:pPr>
    </w:p>
    <w:p w14:paraId="68F8CB6C" w14:textId="77777777" w:rsidR="00400398" w:rsidRDefault="00400398">
      <w:pPr>
        <w:ind w:left="567" w:hanging="567"/>
      </w:pPr>
      <w:r>
        <w:rPr>
          <w:noProof/>
          <w:szCs w:val="22"/>
        </w:rPr>
        <w:sym w:font="Symbol" w:char="F0B7"/>
      </w:r>
      <w:r w:rsidRPr="007232E4">
        <w:tab/>
        <w:t>Este medicamento pode aumentar o risco de hemorragia ou aumentar o risco de problemas com a cicatrização após cirurgia. Se vai ser submetido a uma operação cirúrgica, se tiver sido submetido a uma grande intervenção cirúrgica nos 28 dias anteriores ou se tiver uma ferida cirúrgica não cicatrizada, não deve ser tratado com este medicamento.</w:t>
      </w:r>
    </w:p>
    <w:p w14:paraId="2BA0E453" w14:textId="77777777" w:rsidR="00400398" w:rsidRDefault="00400398">
      <w:pPr>
        <w:ind w:left="567" w:hanging="567"/>
      </w:pPr>
    </w:p>
    <w:p w14:paraId="566401D1" w14:textId="77777777" w:rsidR="00400398" w:rsidRPr="00C82494" w:rsidRDefault="00400398" w:rsidP="0035083F">
      <w:pPr>
        <w:ind w:left="567" w:hanging="567"/>
        <w:rPr>
          <w:noProof/>
        </w:rPr>
      </w:pPr>
      <w:r>
        <w:rPr>
          <w:noProof/>
          <w:szCs w:val="22"/>
        </w:rPr>
        <w:sym w:font="Symbol" w:char="F0B7"/>
      </w:r>
      <w:r>
        <w:rPr>
          <w:noProof/>
        </w:rPr>
        <w:tab/>
      </w:r>
      <w:r w:rsidR="005F5ED9">
        <w:rPr>
          <w:noProof/>
        </w:rPr>
        <w:t>Aybintio</w:t>
      </w:r>
      <w:r w:rsidR="005F5ED9" w:rsidRPr="00C82494">
        <w:rPr>
          <w:noProof/>
        </w:rPr>
        <w:t xml:space="preserve"> </w:t>
      </w:r>
      <w:r w:rsidRPr="00C82494">
        <w:rPr>
          <w:noProof/>
        </w:rPr>
        <w:t>pode aumentar o risco de desenvolvimento de infeções graves da pele ou em camadas profundas debaixo da pele, especialmente se teve perfurações na parede do intestino ou problemas com a cicatrização de feridas.</w:t>
      </w:r>
    </w:p>
    <w:p w14:paraId="55A69B92" w14:textId="77777777" w:rsidR="00400398" w:rsidRPr="007232E4" w:rsidRDefault="00400398">
      <w:pPr>
        <w:ind w:left="567" w:hanging="567"/>
      </w:pPr>
    </w:p>
    <w:p w14:paraId="73AB1869" w14:textId="77777777" w:rsidR="00400398" w:rsidRDefault="00400398">
      <w:pPr>
        <w:ind w:left="567" w:hanging="567"/>
      </w:pPr>
      <w:r>
        <w:rPr>
          <w:noProof/>
          <w:szCs w:val="22"/>
        </w:rPr>
        <w:sym w:font="Symbol" w:char="F0B7"/>
      </w:r>
      <w:r w:rsidRPr="007232E4">
        <w:tab/>
      </w:r>
      <w:r w:rsidR="005F5ED9">
        <w:t>Aybintio</w:t>
      </w:r>
      <w:r w:rsidR="005F5ED9" w:rsidRPr="007232E4">
        <w:t xml:space="preserve"> </w:t>
      </w:r>
      <w:r w:rsidRPr="007232E4">
        <w:t>pode aumentar a incidência de tensão arterial elevada. Se tem tensão arterial elevada que não é controlada com anti</w:t>
      </w:r>
      <w:r w:rsidRPr="007232E4">
        <w:noBreakHyphen/>
        <w:t xml:space="preserve">hipertensores, por favor contacte o seu médico dado que é importante certificar que a sua tensão arterial está controlada antes de iniciar o tratamento com </w:t>
      </w:r>
      <w:r w:rsidR="005F5ED9">
        <w:t>Aybintio</w:t>
      </w:r>
      <w:r w:rsidRPr="007232E4">
        <w:t>.</w:t>
      </w:r>
    </w:p>
    <w:p w14:paraId="05D47553" w14:textId="77777777" w:rsidR="00B117F5" w:rsidRDefault="00B117F5">
      <w:pPr>
        <w:ind w:left="567" w:hanging="567"/>
      </w:pPr>
    </w:p>
    <w:p w14:paraId="42A5AA53" w14:textId="77777777" w:rsidR="00B117F5" w:rsidRPr="007232E4" w:rsidRDefault="003E0170" w:rsidP="004D491C">
      <w:pPr>
        <w:ind w:left="567" w:hanging="567"/>
      </w:pPr>
      <w:r>
        <w:rPr>
          <w:noProof/>
          <w:szCs w:val="22"/>
        </w:rPr>
        <w:lastRenderedPageBreak/>
        <w:sym w:font="Symbol" w:char="F0B7"/>
      </w:r>
      <w:r w:rsidRPr="007232E4">
        <w:tab/>
      </w:r>
      <w:r w:rsidR="004D491C" w:rsidRPr="004D491C">
        <w:t>Se tiver ou tiver tido um aneurisma (dilatação ou enfraquecimento da parede de um vaso sanguíneo) ou uma rotura na parede de um vaso sanguíneo.</w:t>
      </w:r>
    </w:p>
    <w:p w14:paraId="6883FC54" w14:textId="77777777" w:rsidR="00400398" w:rsidRPr="007232E4" w:rsidRDefault="00400398">
      <w:pPr>
        <w:ind w:left="567" w:hanging="567"/>
      </w:pPr>
    </w:p>
    <w:p w14:paraId="2A741BFA" w14:textId="77777777" w:rsidR="00400398" w:rsidRPr="007232E4" w:rsidRDefault="00400398">
      <w:pPr>
        <w:ind w:left="567" w:hanging="567"/>
      </w:pPr>
      <w:r>
        <w:rPr>
          <w:noProof/>
          <w:szCs w:val="22"/>
        </w:rPr>
        <w:sym w:font="Symbol" w:char="F0B7"/>
      </w:r>
      <w:r w:rsidRPr="007232E4">
        <w:tab/>
        <w:t>Este medicamento aumenta o risco de ter proteínas na sua urina, em especial se já tem tensão arterial elevada.</w:t>
      </w:r>
    </w:p>
    <w:p w14:paraId="43620A28" w14:textId="77777777" w:rsidR="00400398" w:rsidRPr="007232E4" w:rsidRDefault="00400398">
      <w:pPr>
        <w:ind w:left="567" w:hanging="567"/>
      </w:pPr>
    </w:p>
    <w:p w14:paraId="232C6D2F" w14:textId="77777777" w:rsidR="00400398" w:rsidRDefault="00400398">
      <w:pPr>
        <w:keepNext/>
        <w:keepLines/>
        <w:ind w:left="567" w:hanging="567"/>
      </w:pPr>
      <w:r>
        <w:rPr>
          <w:noProof/>
          <w:szCs w:val="22"/>
        </w:rPr>
        <w:sym w:font="Symbol" w:char="F0B7"/>
      </w:r>
      <w:r w:rsidRPr="007232E4">
        <w:tab/>
        <w:t>O risco de desenvolver coágulos sanguíneos nas suas artérias (um tipo de vaso sanguíneo) pode aumentar se tem mais de 65 anos de id</w:t>
      </w:r>
      <w:r w:rsidRPr="00C82494">
        <w:t>ade, se tem diabetes, ou se</w:t>
      </w:r>
      <w:r w:rsidRPr="007232E4">
        <w:t xml:space="preserve"> teve uma situação prévia de coágulos sanguíneos nas suas artérias. Por favor fale com o seu médico dado que os coágulos sanguíneos podem resultar em enfarte do mioc</w:t>
      </w:r>
      <w:r>
        <w:t>á</w:t>
      </w:r>
      <w:r w:rsidRPr="007232E4">
        <w:t>rdio (ataque cardíaco) e acidente vascular cerebral.</w:t>
      </w:r>
    </w:p>
    <w:p w14:paraId="7A6576F1" w14:textId="77777777" w:rsidR="00400398" w:rsidRPr="007232E4" w:rsidRDefault="00400398" w:rsidP="003F0EBF">
      <w:pPr>
        <w:ind w:left="567" w:hanging="567"/>
      </w:pPr>
    </w:p>
    <w:p w14:paraId="2190F7B6" w14:textId="77777777" w:rsidR="00400398" w:rsidRPr="007232E4" w:rsidRDefault="00400398" w:rsidP="003F0EBF">
      <w:pPr>
        <w:ind w:left="567" w:hanging="567"/>
      </w:pPr>
      <w:r>
        <w:rPr>
          <w:noProof/>
          <w:szCs w:val="22"/>
        </w:rPr>
        <w:sym w:font="Symbol" w:char="F0B7"/>
      </w:r>
      <w:r w:rsidRPr="007232E4">
        <w:tab/>
      </w:r>
      <w:r w:rsidR="005F5ED9">
        <w:t>Aybintio</w:t>
      </w:r>
      <w:r w:rsidR="005F5ED9" w:rsidRPr="007232E4">
        <w:t xml:space="preserve"> </w:t>
      </w:r>
      <w:r w:rsidRPr="007232E4">
        <w:t>pode também aumentar o risco de desenvolver coágulos sanguíneos nas suas veias (um tipo de vaso sanguíneo).</w:t>
      </w:r>
    </w:p>
    <w:p w14:paraId="517BB3D8" w14:textId="77777777" w:rsidR="00400398" w:rsidRPr="007232E4" w:rsidRDefault="00400398">
      <w:pPr>
        <w:ind w:left="567" w:hanging="567"/>
      </w:pPr>
    </w:p>
    <w:p w14:paraId="11AF3E30" w14:textId="77777777" w:rsidR="00400398" w:rsidRPr="007232E4" w:rsidRDefault="00400398" w:rsidP="00E8295C">
      <w:pPr>
        <w:keepNext/>
        <w:keepLines/>
        <w:ind w:left="567" w:hanging="567"/>
      </w:pPr>
      <w:r>
        <w:rPr>
          <w:noProof/>
          <w:szCs w:val="22"/>
        </w:rPr>
        <w:sym w:font="Symbol" w:char="F0B7"/>
      </w:r>
      <w:r w:rsidRPr="007232E4">
        <w:tab/>
        <w:t>Este medicamento pode causar hemorragia, especialmente hemorragia relacionada com o tumor. Por favor consulte o seu médico se tiver, ou alguém da sua família tiver tendência para ter problemas de hemorragias ou se, por qualquer razão, estiver a tomar medicamentos que tornam o sangue menos espesso.</w:t>
      </w:r>
    </w:p>
    <w:p w14:paraId="0AF16D51" w14:textId="77777777" w:rsidR="00400398" w:rsidRPr="007232E4" w:rsidRDefault="00400398" w:rsidP="003F0EBF">
      <w:pPr>
        <w:ind w:left="567" w:hanging="567"/>
      </w:pPr>
    </w:p>
    <w:p w14:paraId="6AFB608A" w14:textId="77777777" w:rsidR="00400398" w:rsidRPr="007232E4" w:rsidRDefault="00400398" w:rsidP="003F0EBF">
      <w:pPr>
        <w:ind w:left="567" w:hanging="567"/>
      </w:pPr>
      <w:r>
        <w:rPr>
          <w:noProof/>
          <w:szCs w:val="22"/>
        </w:rPr>
        <w:sym w:font="Symbol" w:char="F0B7"/>
      </w:r>
      <w:r w:rsidRPr="007232E4">
        <w:tab/>
        <w:t xml:space="preserve">É possível que </w:t>
      </w:r>
      <w:r w:rsidR="005F5ED9">
        <w:t>Aybintio</w:t>
      </w:r>
      <w:r w:rsidR="005F5ED9" w:rsidRPr="007232E4">
        <w:t xml:space="preserve"> </w:t>
      </w:r>
      <w:r w:rsidRPr="007232E4">
        <w:t>cause hemorragia dentro ou à volta do seu cérebro. Por favor discuta o assunto com o seu médico se tiver cancro metastizado que afete o seu cérebro.</w:t>
      </w:r>
    </w:p>
    <w:p w14:paraId="48B37D1A" w14:textId="77777777" w:rsidR="00400398" w:rsidRPr="007232E4" w:rsidRDefault="00400398">
      <w:pPr>
        <w:ind w:left="567" w:hanging="567"/>
      </w:pPr>
    </w:p>
    <w:p w14:paraId="28D328BC" w14:textId="77777777" w:rsidR="00400398" w:rsidRPr="007232E4" w:rsidRDefault="00400398">
      <w:pPr>
        <w:ind w:left="567" w:hanging="567"/>
      </w:pPr>
      <w:r>
        <w:rPr>
          <w:noProof/>
          <w:szCs w:val="22"/>
        </w:rPr>
        <w:sym w:font="Symbol" w:char="F0B7"/>
      </w:r>
      <w:r w:rsidRPr="007232E4">
        <w:tab/>
        <w:t xml:space="preserve">É possível que </w:t>
      </w:r>
      <w:r w:rsidR="005F5ED9">
        <w:t>Aybintio</w:t>
      </w:r>
      <w:r w:rsidR="005F5ED9" w:rsidRPr="007232E4">
        <w:t xml:space="preserve"> </w:t>
      </w:r>
      <w:r w:rsidRPr="007232E4">
        <w:t xml:space="preserve">aumente o risco de hemorragia nos seus pulmões, incluindo tosse ou expetoração com sangue. Por favor discuta o assunto com o seu médico se tiver notado esta situação antes. </w:t>
      </w:r>
    </w:p>
    <w:p w14:paraId="47CE896A" w14:textId="77777777" w:rsidR="00400398" w:rsidRPr="007232E4" w:rsidRDefault="00400398">
      <w:pPr>
        <w:ind w:left="567" w:hanging="567"/>
      </w:pPr>
    </w:p>
    <w:p w14:paraId="597A8E88" w14:textId="77777777" w:rsidR="00400398" w:rsidRPr="007232E4" w:rsidRDefault="00400398" w:rsidP="00084FF9">
      <w:pPr>
        <w:keepNext/>
        <w:keepLines/>
        <w:ind w:left="562" w:hanging="562"/>
      </w:pPr>
      <w:r>
        <w:rPr>
          <w:noProof/>
          <w:szCs w:val="22"/>
        </w:rPr>
        <w:sym w:font="Symbol" w:char="F0B7"/>
      </w:r>
      <w:r w:rsidRPr="007232E4">
        <w:tab/>
      </w:r>
      <w:r w:rsidR="005F5ED9">
        <w:t>Aybintio</w:t>
      </w:r>
      <w:r w:rsidR="005F5ED9" w:rsidRPr="007232E4">
        <w:t xml:space="preserve"> </w:t>
      </w:r>
      <w:r w:rsidRPr="007232E4">
        <w:t>pode aumentar o risco de desenvolvimento de problemas de coração. É importante que o seu médico saiba se foi alguma vez submetido a tratamento com antraciclinas (por exemplo doxorrubicina, um tipo específico de quimioterapia utilizada para o tratamento de alguns cancros) ou foi submetido a radioterapia no tórax ou se tem alguma doença de coração.</w:t>
      </w:r>
    </w:p>
    <w:p w14:paraId="4DBAEE3E" w14:textId="77777777" w:rsidR="00400398" w:rsidRPr="007232E4" w:rsidRDefault="00400398" w:rsidP="00DD4043">
      <w:pPr>
        <w:ind w:left="567" w:hanging="567"/>
      </w:pPr>
    </w:p>
    <w:p w14:paraId="17529D83" w14:textId="77777777" w:rsidR="00400398" w:rsidRPr="007232E4" w:rsidRDefault="00400398" w:rsidP="00DD4043">
      <w:pPr>
        <w:ind w:left="567" w:hanging="567"/>
      </w:pPr>
      <w:r>
        <w:rPr>
          <w:noProof/>
          <w:szCs w:val="22"/>
        </w:rPr>
        <w:sym w:font="Symbol" w:char="F0B7"/>
      </w:r>
      <w:r w:rsidRPr="007232E4">
        <w:tab/>
        <w:t>Este medicamento pode causar infeções e uma diminuição do número de neutrófilos (um tipo de célula sanguínea importante na sua proteção contra bactérias).</w:t>
      </w:r>
    </w:p>
    <w:p w14:paraId="57716E06" w14:textId="77777777" w:rsidR="00400398" w:rsidRPr="007232E4" w:rsidRDefault="00400398" w:rsidP="00DD4043">
      <w:pPr>
        <w:ind w:left="567" w:hanging="567"/>
      </w:pPr>
    </w:p>
    <w:p w14:paraId="3596C84D" w14:textId="77777777" w:rsidR="00400398" w:rsidRPr="007232E4" w:rsidRDefault="00400398" w:rsidP="00DD4043">
      <w:pPr>
        <w:ind w:left="567" w:hanging="567"/>
      </w:pPr>
      <w:r>
        <w:rPr>
          <w:noProof/>
          <w:szCs w:val="22"/>
        </w:rPr>
        <w:sym w:font="Symbol" w:char="F0B7"/>
      </w:r>
      <w:r w:rsidRPr="007232E4">
        <w:tab/>
        <w:t xml:space="preserve">É possível que </w:t>
      </w:r>
      <w:r w:rsidR="005F5ED9">
        <w:t>Aybintio</w:t>
      </w:r>
      <w:r w:rsidR="005F5ED9" w:rsidRPr="007232E4">
        <w:t xml:space="preserve"> </w:t>
      </w:r>
      <w:r w:rsidRPr="007232E4">
        <w:t xml:space="preserve">possa causar reações de hipersensibilidade </w:t>
      </w:r>
      <w:r w:rsidR="00185520">
        <w:t xml:space="preserve">(incluindo choque anafilático) </w:t>
      </w:r>
      <w:r w:rsidRPr="007232E4">
        <w:t xml:space="preserve">e/ou à perfusão (reações relacionadas com a injeção do medicamento). Por favor informe o seu médico, farmacêutico ou enfermeiro se tiver tido problemas após injeções, tais como tonturas/sensação de desmaio, falta de ar, inchaço (edema) ou erupção da pele. </w:t>
      </w:r>
    </w:p>
    <w:p w14:paraId="748F0FEE" w14:textId="77777777" w:rsidR="00400398" w:rsidRPr="007232E4" w:rsidRDefault="00400398">
      <w:pPr>
        <w:ind w:left="567" w:hanging="567"/>
      </w:pPr>
    </w:p>
    <w:p w14:paraId="2F63151F" w14:textId="77777777" w:rsidR="00400398" w:rsidRPr="007232E4" w:rsidRDefault="00400398">
      <w:pPr>
        <w:ind w:left="567" w:hanging="567"/>
      </w:pPr>
      <w:r>
        <w:rPr>
          <w:noProof/>
          <w:szCs w:val="22"/>
        </w:rPr>
        <w:sym w:font="Symbol" w:char="F0B7"/>
      </w:r>
      <w:r w:rsidRPr="007232E4">
        <w:tab/>
        <w:t xml:space="preserve">Foi associado ao tratamento com </w:t>
      </w:r>
      <w:r w:rsidR="005F5ED9">
        <w:t>Aybintio</w:t>
      </w:r>
      <w:r w:rsidR="005F5ED9" w:rsidRPr="007232E4">
        <w:t xml:space="preserve"> </w:t>
      </w:r>
      <w:r w:rsidRPr="007232E4">
        <w:t xml:space="preserve">um efeito </w:t>
      </w:r>
      <w:r w:rsidR="00171A40">
        <w:t>indesejável</w:t>
      </w:r>
      <w:r w:rsidR="00171A40" w:rsidRPr="007232E4">
        <w:t xml:space="preserve"> </w:t>
      </w:r>
      <w:r w:rsidRPr="007232E4">
        <w:t>neurológico raro denominado síndrome de encefalopatia posterior reversível</w:t>
      </w:r>
      <w:r w:rsidR="00F21DB6">
        <w:t xml:space="preserve"> (SEPR)</w:t>
      </w:r>
      <w:r w:rsidRPr="007232E4">
        <w:t xml:space="preserve">. Se tiver dor de cabeça, alterações na visão, confusão ou convulsão, com ou sem aumento da tensão arterial, por favor contacte o seu médico. </w:t>
      </w:r>
    </w:p>
    <w:p w14:paraId="072E2340" w14:textId="77777777" w:rsidR="00400398" w:rsidRPr="007232E4" w:rsidRDefault="00400398"/>
    <w:p w14:paraId="100B11B0" w14:textId="77777777" w:rsidR="00400398" w:rsidRPr="007232E4" w:rsidRDefault="00400398" w:rsidP="00377778">
      <w:pPr>
        <w:outlineLvl w:val="0"/>
      </w:pPr>
      <w:r w:rsidRPr="007232E4">
        <w:t>Não deixe de informar o médico, mesmo que algum dos problemas descritos acima tenha ocorrido no passado.</w:t>
      </w:r>
      <w:r w:rsidRPr="007232E4">
        <w:tab/>
      </w:r>
    </w:p>
    <w:p w14:paraId="13B252B3" w14:textId="77777777" w:rsidR="00400398" w:rsidRPr="007232E4" w:rsidRDefault="00400398">
      <w:pPr>
        <w:ind w:left="567" w:hanging="567"/>
        <w:outlineLvl w:val="0"/>
      </w:pPr>
    </w:p>
    <w:p w14:paraId="3B1B54A0" w14:textId="77777777" w:rsidR="00400398" w:rsidRPr="007232E4" w:rsidRDefault="00400398">
      <w:pPr>
        <w:rPr>
          <w:rStyle w:val="Emphasis"/>
          <w:bCs/>
          <w:i w:val="0"/>
          <w:iCs/>
          <w:szCs w:val="22"/>
        </w:rPr>
      </w:pPr>
      <w:r w:rsidRPr="007232E4">
        <w:rPr>
          <w:rStyle w:val="Emphasis"/>
          <w:bCs/>
          <w:i w:val="0"/>
          <w:iCs/>
          <w:szCs w:val="22"/>
        </w:rPr>
        <w:t xml:space="preserve">Antes de ser tratado com </w:t>
      </w:r>
      <w:r w:rsidR="005F5ED9">
        <w:rPr>
          <w:rStyle w:val="Emphasis"/>
          <w:bCs/>
          <w:i w:val="0"/>
          <w:iCs/>
          <w:szCs w:val="22"/>
        </w:rPr>
        <w:t>Aybintio</w:t>
      </w:r>
      <w:r w:rsidR="005F5ED9" w:rsidRPr="007232E4">
        <w:rPr>
          <w:rStyle w:val="Emphasis"/>
          <w:bCs/>
          <w:i w:val="0"/>
          <w:iCs/>
          <w:szCs w:val="22"/>
        </w:rPr>
        <w:t xml:space="preserve"> </w:t>
      </w:r>
      <w:r w:rsidRPr="007232E4">
        <w:rPr>
          <w:rStyle w:val="Emphasis"/>
          <w:bCs/>
          <w:i w:val="0"/>
          <w:iCs/>
          <w:szCs w:val="22"/>
        </w:rPr>
        <w:t xml:space="preserve">ou enquanto estiver a ser tratado com </w:t>
      </w:r>
      <w:r w:rsidR="005F5ED9">
        <w:rPr>
          <w:rStyle w:val="Emphasis"/>
          <w:bCs/>
          <w:i w:val="0"/>
          <w:iCs/>
          <w:szCs w:val="22"/>
        </w:rPr>
        <w:t>Aybintio</w:t>
      </w:r>
      <w:r w:rsidRPr="007232E4">
        <w:rPr>
          <w:rStyle w:val="Emphasis"/>
          <w:bCs/>
          <w:i w:val="0"/>
          <w:iCs/>
          <w:szCs w:val="22"/>
        </w:rPr>
        <w:t>:</w:t>
      </w:r>
    </w:p>
    <w:p w14:paraId="228A4F6D" w14:textId="77777777" w:rsidR="00400398" w:rsidRPr="007232E4" w:rsidRDefault="00400398">
      <w:pPr>
        <w:ind w:left="600" w:hanging="600"/>
        <w:rPr>
          <w:szCs w:val="22"/>
        </w:rPr>
      </w:pPr>
      <w:r>
        <w:rPr>
          <w:noProof/>
          <w:szCs w:val="22"/>
        </w:rPr>
        <w:sym w:font="Symbol" w:char="F0B7"/>
      </w:r>
      <w:r w:rsidRPr="007232E4">
        <w:rPr>
          <w:szCs w:val="22"/>
        </w:rPr>
        <w:tab/>
        <w:t xml:space="preserve">se tiver ou tiver tido dor na boca, dentes e/ou maxilar, inchaço ou feridas no interior da boca, adormecimento ou sensação de peso no maxilar ou desprendimento de um dente, informe o seu médico e o dentista imediatamente. </w:t>
      </w:r>
    </w:p>
    <w:p w14:paraId="2F15BF26" w14:textId="77777777" w:rsidR="00400398" w:rsidRPr="007232E4" w:rsidRDefault="00400398">
      <w:pPr>
        <w:ind w:left="567" w:hanging="567"/>
        <w:rPr>
          <w:szCs w:val="22"/>
        </w:rPr>
      </w:pPr>
      <w:r>
        <w:rPr>
          <w:noProof/>
          <w:szCs w:val="22"/>
        </w:rPr>
        <w:sym w:font="Symbol" w:char="F0B7"/>
      </w:r>
      <w:r w:rsidRPr="007232E4">
        <w:rPr>
          <w:szCs w:val="22"/>
        </w:rPr>
        <w:tab/>
        <w:t xml:space="preserve">se precisar de ser submetido a um tratamento dentário invasivo ou cirurgia dentária, informe o seu dentista de que está a ser tratado com </w:t>
      </w:r>
      <w:r w:rsidR="005F5ED9">
        <w:rPr>
          <w:szCs w:val="22"/>
        </w:rPr>
        <w:t>Aybintio</w:t>
      </w:r>
      <w:r w:rsidRPr="007232E4">
        <w:rPr>
          <w:szCs w:val="22"/>
        </w:rPr>
        <w:t xml:space="preserve">, particularmente quando está também a receber ou se recebeu uma injeção de bifosfonato no seu sangue. </w:t>
      </w:r>
    </w:p>
    <w:p w14:paraId="7052D145" w14:textId="77777777" w:rsidR="00400398" w:rsidRPr="007232E4" w:rsidRDefault="00400398">
      <w:pPr>
        <w:rPr>
          <w:i/>
          <w:snapToGrid w:val="0"/>
          <w:szCs w:val="22"/>
        </w:rPr>
      </w:pPr>
    </w:p>
    <w:p w14:paraId="3433344F" w14:textId="77777777" w:rsidR="00400398" w:rsidRPr="007232E4" w:rsidRDefault="00400398">
      <w:pPr>
        <w:rPr>
          <w:snapToGrid w:val="0"/>
          <w:szCs w:val="22"/>
        </w:rPr>
      </w:pPr>
      <w:r w:rsidRPr="007232E4">
        <w:rPr>
          <w:snapToGrid w:val="0"/>
          <w:szCs w:val="22"/>
        </w:rPr>
        <w:lastRenderedPageBreak/>
        <w:t xml:space="preserve">Poderá ser aconselhado a fazer uma consulta de revisão do estado dentário antes de iniciar o tratamento com </w:t>
      </w:r>
      <w:r w:rsidR="005F5ED9">
        <w:rPr>
          <w:snapToGrid w:val="0"/>
          <w:szCs w:val="22"/>
        </w:rPr>
        <w:t>Aybintio</w:t>
      </w:r>
      <w:r w:rsidRPr="007232E4">
        <w:rPr>
          <w:snapToGrid w:val="0"/>
          <w:szCs w:val="22"/>
        </w:rPr>
        <w:t>.</w:t>
      </w:r>
    </w:p>
    <w:p w14:paraId="2B6A9870" w14:textId="77777777" w:rsidR="00400398" w:rsidRPr="007232E4" w:rsidRDefault="00400398">
      <w:pPr>
        <w:numPr>
          <w:ilvl w:val="12"/>
          <w:numId w:val="0"/>
        </w:numPr>
        <w:ind w:right="-2"/>
        <w:outlineLvl w:val="0"/>
        <w:rPr>
          <w:b/>
        </w:rPr>
      </w:pPr>
    </w:p>
    <w:p w14:paraId="3366BD15" w14:textId="77777777" w:rsidR="00400398" w:rsidRPr="007232E4" w:rsidRDefault="00400398">
      <w:pPr>
        <w:numPr>
          <w:ilvl w:val="12"/>
          <w:numId w:val="0"/>
        </w:numPr>
        <w:ind w:right="-2"/>
        <w:outlineLvl w:val="0"/>
        <w:rPr>
          <w:b/>
        </w:rPr>
      </w:pPr>
      <w:r w:rsidRPr="007232E4">
        <w:rPr>
          <w:b/>
        </w:rPr>
        <w:t>Crianças e adolescentes</w:t>
      </w:r>
    </w:p>
    <w:p w14:paraId="0770918B" w14:textId="77777777" w:rsidR="00400398" w:rsidRDefault="00400398">
      <w:pPr>
        <w:numPr>
          <w:ilvl w:val="12"/>
          <w:numId w:val="0"/>
        </w:numPr>
        <w:ind w:right="-2"/>
        <w:outlineLvl w:val="0"/>
      </w:pPr>
      <w:r>
        <w:t xml:space="preserve">O uso de </w:t>
      </w:r>
      <w:r w:rsidR="005F5ED9">
        <w:t xml:space="preserve">Aybintio </w:t>
      </w:r>
      <w:r>
        <w:t xml:space="preserve">em crianças e adolescentes com idade inferior a 18 anos não é recomendado porque a segurança e o benefício não foram estabelecidos nestas populações de doentes. </w:t>
      </w:r>
    </w:p>
    <w:p w14:paraId="048C3CD8" w14:textId="77777777" w:rsidR="00400398" w:rsidRDefault="00400398">
      <w:pPr>
        <w:numPr>
          <w:ilvl w:val="12"/>
          <w:numId w:val="0"/>
        </w:numPr>
        <w:ind w:right="-2"/>
        <w:outlineLvl w:val="0"/>
      </w:pPr>
    </w:p>
    <w:p w14:paraId="1306D88D" w14:textId="77777777" w:rsidR="00400398" w:rsidRPr="00F21DB6" w:rsidRDefault="00F21DB6">
      <w:pPr>
        <w:numPr>
          <w:ilvl w:val="12"/>
          <w:numId w:val="0"/>
        </w:numPr>
        <w:ind w:right="-2"/>
        <w:outlineLvl w:val="0"/>
      </w:pPr>
      <w:r w:rsidRPr="00F21DB6">
        <w:t>Foi notificada</w:t>
      </w:r>
      <w:r>
        <w:t>,</w:t>
      </w:r>
      <w:r w:rsidRPr="00F21DB6">
        <w:t xml:space="preserve"> em doentes com idade inferior a 18 anos</w:t>
      </w:r>
      <w:r w:rsidR="004F155C">
        <w:t xml:space="preserve"> quando tratados com </w:t>
      </w:r>
      <w:r w:rsidR="005F5ED9">
        <w:t>Aybintio</w:t>
      </w:r>
      <w:r w:rsidRPr="00F21DB6">
        <w:t>,</w:t>
      </w:r>
      <w:r w:rsidR="008C26D2">
        <w:t xml:space="preserve"> a</w:t>
      </w:r>
      <w:r w:rsidRPr="00F21DB6">
        <w:t xml:space="preserve"> morte do tecido do osso (osteonecrose) em ossos que não a mandíbula.</w:t>
      </w:r>
    </w:p>
    <w:p w14:paraId="08AE67E7" w14:textId="77777777" w:rsidR="00F21DB6" w:rsidRPr="007232E4" w:rsidRDefault="00F21DB6">
      <w:pPr>
        <w:numPr>
          <w:ilvl w:val="12"/>
          <w:numId w:val="0"/>
        </w:numPr>
        <w:ind w:right="-2"/>
        <w:outlineLvl w:val="0"/>
        <w:rPr>
          <w:b/>
        </w:rPr>
      </w:pPr>
    </w:p>
    <w:p w14:paraId="25D4B1C1" w14:textId="77777777" w:rsidR="00400398" w:rsidRPr="007232E4" w:rsidRDefault="00400398">
      <w:pPr>
        <w:numPr>
          <w:ilvl w:val="12"/>
          <w:numId w:val="0"/>
        </w:numPr>
        <w:ind w:right="-2"/>
        <w:outlineLvl w:val="0"/>
      </w:pPr>
      <w:r w:rsidRPr="007232E4">
        <w:rPr>
          <w:b/>
        </w:rPr>
        <w:t xml:space="preserve">Outros medicamentos e </w:t>
      </w:r>
      <w:r w:rsidR="005F5ED9">
        <w:rPr>
          <w:b/>
        </w:rPr>
        <w:t>Aybintio</w:t>
      </w:r>
    </w:p>
    <w:p w14:paraId="6BB412BA" w14:textId="77777777" w:rsidR="00400398" w:rsidRPr="007232E4" w:rsidRDefault="00400398">
      <w:pPr>
        <w:numPr>
          <w:ilvl w:val="12"/>
          <w:numId w:val="0"/>
        </w:numPr>
        <w:ind w:right="-2"/>
      </w:pPr>
      <w:r w:rsidRPr="007232E4">
        <w:t>Informe o seu médico, farmacêutico ou enfermeiro se estiver a tomar,</w:t>
      </w:r>
      <w:r>
        <w:t xml:space="preserve"> tiver tomado recentemente</w:t>
      </w:r>
      <w:r w:rsidRPr="007232E4">
        <w:t>, ou se vier a tomar outros medicamentos.</w:t>
      </w:r>
    </w:p>
    <w:p w14:paraId="763F4CB3" w14:textId="77777777" w:rsidR="00400398" w:rsidRPr="007232E4" w:rsidRDefault="00400398">
      <w:pPr>
        <w:numPr>
          <w:ilvl w:val="12"/>
          <w:numId w:val="0"/>
        </w:numPr>
      </w:pPr>
    </w:p>
    <w:p w14:paraId="756E54DA" w14:textId="77777777" w:rsidR="00400398" w:rsidRPr="007232E4" w:rsidRDefault="00400398" w:rsidP="00D70A8C">
      <w:pPr>
        <w:outlineLvl w:val="0"/>
      </w:pPr>
      <w:r w:rsidRPr="007232E4">
        <w:t xml:space="preserve">A combinação de </w:t>
      </w:r>
      <w:r w:rsidR="005F5ED9">
        <w:t>Aybintio</w:t>
      </w:r>
      <w:r w:rsidR="005F5ED9" w:rsidRPr="007232E4">
        <w:t xml:space="preserve"> </w:t>
      </w:r>
      <w:r w:rsidRPr="007232E4">
        <w:t xml:space="preserve">com outro medicamento chamado malato de sunitinib (prescrito para o cancro renal e gastrointestinal) pode causar graves efeitos </w:t>
      </w:r>
      <w:r w:rsidR="00171A40">
        <w:t>indesejáveis</w:t>
      </w:r>
      <w:r w:rsidRPr="007232E4">
        <w:t xml:space="preserve">. Fale com o seu médico para se certificar que não há combinação destes medicamentos. </w:t>
      </w:r>
    </w:p>
    <w:p w14:paraId="24BA29B4" w14:textId="77777777" w:rsidR="00400398" w:rsidRPr="007232E4" w:rsidRDefault="00400398" w:rsidP="00D70A8C">
      <w:pPr>
        <w:outlineLvl w:val="0"/>
      </w:pPr>
    </w:p>
    <w:p w14:paraId="14DEB7A2" w14:textId="77777777" w:rsidR="00400398" w:rsidRPr="007232E4" w:rsidRDefault="00400398" w:rsidP="00D70A8C">
      <w:pPr>
        <w:outlineLvl w:val="0"/>
      </w:pPr>
      <w:r w:rsidRPr="007232E4">
        <w:t xml:space="preserve">Informe o seu médico se estiver a usar terapêuticas com base em </w:t>
      </w:r>
      <w:r w:rsidR="00233EB7">
        <w:t>platina</w:t>
      </w:r>
      <w:r w:rsidRPr="007232E4">
        <w:t xml:space="preserve"> ou taxanos para o cancro do pulmão ou o cancro da mama metastizado. Estas terapêuticas em combinação com </w:t>
      </w:r>
      <w:r w:rsidR="005F5ED9">
        <w:t>Aybintio</w:t>
      </w:r>
      <w:r w:rsidR="005F5ED9" w:rsidRPr="007232E4">
        <w:t xml:space="preserve"> </w:t>
      </w:r>
      <w:r w:rsidRPr="007232E4">
        <w:t xml:space="preserve">podem aumentar o risco de efeitos </w:t>
      </w:r>
      <w:r w:rsidR="00171A40">
        <w:t>indesejáveis</w:t>
      </w:r>
      <w:r w:rsidR="00171A40" w:rsidRPr="007232E4">
        <w:t xml:space="preserve"> </w:t>
      </w:r>
      <w:r w:rsidRPr="007232E4">
        <w:t xml:space="preserve">graves. </w:t>
      </w:r>
    </w:p>
    <w:p w14:paraId="3F378224" w14:textId="77777777" w:rsidR="00400398" w:rsidRPr="007232E4" w:rsidRDefault="00400398">
      <w:pPr>
        <w:numPr>
          <w:ilvl w:val="12"/>
          <w:numId w:val="0"/>
        </w:numPr>
      </w:pPr>
    </w:p>
    <w:p w14:paraId="4F887312" w14:textId="77777777" w:rsidR="00400398" w:rsidRPr="007232E4" w:rsidRDefault="00400398">
      <w:pPr>
        <w:numPr>
          <w:ilvl w:val="12"/>
          <w:numId w:val="0"/>
        </w:numPr>
      </w:pPr>
      <w:r w:rsidRPr="007232E4">
        <w:t>Informe o seu médico se fez recentemente ou está a fazer radioterapia.</w:t>
      </w:r>
    </w:p>
    <w:p w14:paraId="40B36B21" w14:textId="77777777" w:rsidR="00400398" w:rsidRPr="007232E4" w:rsidRDefault="00400398">
      <w:pPr>
        <w:numPr>
          <w:ilvl w:val="12"/>
          <w:numId w:val="0"/>
        </w:numPr>
      </w:pPr>
    </w:p>
    <w:p w14:paraId="3E21B8EA" w14:textId="77777777" w:rsidR="00400398" w:rsidRPr="007232E4" w:rsidRDefault="00400398" w:rsidP="00055D69">
      <w:pPr>
        <w:keepNext/>
        <w:keepLines/>
        <w:numPr>
          <w:ilvl w:val="12"/>
          <w:numId w:val="0"/>
        </w:numPr>
        <w:rPr>
          <w:b/>
        </w:rPr>
      </w:pPr>
      <w:r w:rsidRPr="007232E4">
        <w:rPr>
          <w:b/>
        </w:rPr>
        <w:t>Gravidez, amamentação e fertilidade</w:t>
      </w:r>
    </w:p>
    <w:p w14:paraId="2EBFC060" w14:textId="77777777" w:rsidR="00400398" w:rsidRPr="007232E4" w:rsidRDefault="00400398" w:rsidP="00055D69">
      <w:pPr>
        <w:keepNext/>
        <w:keepLines/>
      </w:pPr>
      <w:r w:rsidRPr="007232E4">
        <w:t xml:space="preserve">Não pode usar este medicamento se estiver grávida. </w:t>
      </w:r>
      <w:r w:rsidR="005F5ED9">
        <w:t>Aybintio</w:t>
      </w:r>
      <w:r w:rsidR="005F5ED9" w:rsidRPr="007232E4">
        <w:t xml:space="preserve"> </w:t>
      </w:r>
      <w:r w:rsidRPr="007232E4">
        <w:t>pode afetar o bebé que se está a desenvolver no útero uma vez que pode parar a formação de novos vasos sanguíneos. O seu médico deve aconselhá</w:t>
      </w:r>
      <w:r w:rsidRPr="007232E4">
        <w:noBreakHyphen/>
        <w:t xml:space="preserve">la a utilizar contraceção durante o tratamento com </w:t>
      </w:r>
      <w:r w:rsidR="005F5ED9">
        <w:t>Aybintio</w:t>
      </w:r>
      <w:r w:rsidR="005F5ED9" w:rsidRPr="007232E4">
        <w:t xml:space="preserve"> </w:t>
      </w:r>
      <w:r w:rsidRPr="007232E4">
        <w:t xml:space="preserve">e durante pelo menos 6 meses após a última dose de </w:t>
      </w:r>
      <w:r w:rsidR="005F5ED9">
        <w:t>Aybintio</w:t>
      </w:r>
      <w:r w:rsidRPr="007232E4">
        <w:t xml:space="preserve">. </w:t>
      </w:r>
    </w:p>
    <w:p w14:paraId="0D43F4C6" w14:textId="77777777" w:rsidR="00400398" w:rsidRPr="007232E4" w:rsidRDefault="00400398"/>
    <w:p w14:paraId="031217DD" w14:textId="77777777" w:rsidR="00400398" w:rsidRPr="007232E4" w:rsidRDefault="00400398">
      <w:r w:rsidRPr="007232E4">
        <w:t xml:space="preserve">Informe de imediato o seu médico se estiver grávida, se engravidar durante o tratamento com este medicamento ou se pretende engravidar num futuro próximo. </w:t>
      </w:r>
    </w:p>
    <w:p w14:paraId="682A3B25" w14:textId="77777777" w:rsidR="00400398" w:rsidRPr="007232E4" w:rsidRDefault="00400398">
      <w:pPr>
        <w:numPr>
          <w:ilvl w:val="12"/>
          <w:numId w:val="0"/>
        </w:numPr>
        <w:rPr>
          <w:b/>
        </w:rPr>
      </w:pPr>
    </w:p>
    <w:p w14:paraId="372BEDAF" w14:textId="77777777" w:rsidR="00400398" w:rsidRDefault="00400398">
      <w:r w:rsidRPr="007232E4">
        <w:t xml:space="preserve">Não pode amamentar o seu filho durante o tratamento com </w:t>
      </w:r>
      <w:r w:rsidR="005F5ED9">
        <w:t>Aybintio</w:t>
      </w:r>
      <w:r w:rsidR="005F5ED9" w:rsidRPr="007232E4">
        <w:t xml:space="preserve"> </w:t>
      </w:r>
      <w:r w:rsidRPr="007232E4">
        <w:t xml:space="preserve">e durante pelo menos 6 meses após a última dose de </w:t>
      </w:r>
      <w:r w:rsidR="005F5ED9">
        <w:t>Aybintio</w:t>
      </w:r>
      <w:r w:rsidRPr="007232E4">
        <w:t>, uma vez que este pode interferir com o crescimento e desenvolvimento do seu bebé.</w:t>
      </w:r>
    </w:p>
    <w:p w14:paraId="2B4A2AFE" w14:textId="77777777" w:rsidR="00400398" w:rsidRPr="007232E4" w:rsidRDefault="00400398"/>
    <w:p w14:paraId="576012A3" w14:textId="77777777" w:rsidR="00400398" w:rsidRDefault="005F5ED9">
      <w:r>
        <w:t>Aybintio</w:t>
      </w:r>
      <w:r w:rsidR="00400398" w:rsidRPr="007232E4">
        <w:t xml:space="preserve"> pode prejudicar a fertilidade feminina. Para mais informação, por favor consulte o seu médico.</w:t>
      </w:r>
    </w:p>
    <w:p w14:paraId="1BB7D22E" w14:textId="77777777" w:rsidR="00400398" w:rsidRPr="007232E4" w:rsidRDefault="00400398"/>
    <w:p w14:paraId="7606F5D1" w14:textId="77777777" w:rsidR="00400398" w:rsidRPr="007232E4" w:rsidRDefault="00400398">
      <w:r w:rsidRPr="007232E4">
        <w:t>Consulte o seu médico, farmacêutico ou enfermeiro antes de tomar qualquer medicamento.</w:t>
      </w:r>
    </w:p>
    <w:p w14:paraId="04113B3B" w14:textId="77777777" w:rsidR="00400398" w:rsidRPr="007232E4" w:rsidRDefault="00400398">
      <w:pPr>
        <w:numPr>
          <w:ilvl w:val="12"/>
          <w:numId w:val="0"/>
        </w:numPr>
        <w:rPr>
          <w:b/>
        </w:rPr>
      </w:pPr>
    </w:p>
    <w:p w14:paraId="2419F3EB" w14:textId="77777777" w:rsidR="00400398" w:rsidRPr="007232E4" w:rsidRDefault="00400398">
      <w:pPr>
        <w:numPr>
          <w:ilvl w:val="12"/>
          <w:numId w:val="0"/>
        </w:numPr>
        <w:ind w:right="-2"/>
        <w:outlineLvl w:val="0"/>
      </w:pPr>
      <w:r w:rsidRPr="007232E4">
        <w:rPr>
          <w:b/>
        </w:rPr>
        <w:t>Condução de veículos e utilização de máquinas</w:t>
      </w:r>
    </w:p>
    <w:p w14:paraId="12AF3BAA" w14:textId="77777777" w:rsidR="00400398" w:rsidRPr="007232E4" w:rsidRDefault="005F5ED9">
      <w:pPr>
        <w:numPr>
          <w:ilvl w:val="12"/>
          <w:numId w:val="0"/>
        </w:numPr>
        <w:ind w:right="-29"/>
        <w:outlineLvl w:val="0"/>
      </w:pPr>
      <w:r>
        <w:t>Aybintio</w:t>
      </w:r>
      <w:r w:rsidRPr="007232E4">
        <w:t xml:space="preserve"> </w:t>
      </w:r>
      <w:r w:rsidR="00400398" w:rsidRPr="007232E4">
        <w:t>não mostrou</w:t>
      </w:r>
      <w:r w:rsidR="00400398">
        <w:t xml:space="preserve"> reduzir </w:t>
      </w:r>
      <w:r w:rsidR="00673AED">
        <w:t xml:space="preserve">a </w:t>
      </w:r>
      <w:r w:rsidR="00400398">
        <w:t xml:space="preserve">sua </w:t>
      </w:r>
      <w:r w:rsidR="00400398" w:rsidRPr="007232E4">
        <w:t>capacidade de conduzir ou utilizar quaisquer ferramentas ou máquinas.</w:t>
      </w:r>
      <w:r w:rsidR="00400398">
        <w:t xml:space="preserve"> No entanto, foram notificad</w:t>
      </w:r>
      <w:r w:rsidR="00C54EA4">
        <w:t>o</w:t>
      </w:r>
      <w:r w:rsidR="00400398">
        <w:t xml:space="preserve">s sonolência e desmaios com o uso de </w:t>
      </w:r>
      <w:r>
        <w:t>Aybintio</w:t>
      </w:r>
      <w:r w:rsidR="00400398">
        <w:t xml:space="preserve">. Se teve sintomas que afetam a sua visão ou de concentração, ou a sua capacidade de reagir, não conduza ou utilize máquinas até que os sintomas desapareçam. </w:t>
      </w:r>
    </w:p>
    <w:p w14:paraId="6790B28F" w14:textId="77777777" w:rsidR="00FC31B0" w:rsidRDefault="00FC31B0" w:rsidP="00FC31B0">
      <w:pPr>
        <w:numPr>
          <w:ilvl w:val="12"/>
          <w:numId w:val="0"/>
        </w:numPr>
        <w:ind w:right="-2"/>
      </w:pPr>
    </w:p>
    <w:p w14:paraId="351F14EE" w14:textId="69488DA1" w:rsidR="00FC31B0" w:rsidRDefault="005F5ED9" w:rsidP="00FC31B0">
      <w:pPr>
        <w:numPr>
          <w:ilvl w:val="12"/>
          <w:numId w:val="0"/>
        </w:numPr>
        <w:ind w:right="-2"/>
      </w:pPr>
      <w:r>
        <w:rPr>
          <w:b/>
        </w:rPr>
        <w:t>Aybintio</w:t>
      </w:r>
      <w:r w:rsidR="00F36D72">
        <w:rPr>
          <w:b/>
        </w:rPr>
        <w:t xml:space="preserve"> contém sódio e polissorbato 20</w:t>
      </w:r>
    </w:p>
    <w:p w14:paraId="0472C768" w14:textId="77777777" w:rsidR="00FC31B0" w:rsidRDefault="00FC31B0" w:rsidP="00FC31B0">
      <w:r>
        <w:t>Este medicamento contém menos do que 1 mmol (23 mg) de sódio por frasco para injetáveis ou seja, é praticamente “isento de sódio”.</w:t>
      </w:r>
    </w:p>
    <w:p w14:paraId="42588532" w14:textId="77777777" w:rsidR="00400398" w:rsidRPr="007232E4" w:rsidRDefault="00400398">
      <w:pPr>
        <w:numPr>
          <w:ilvl w:val="12"/>
          <w:numId w:val="0"/>
        </w:numPr>
        <w:ind w:right="-2"/>
      </w:pPr>
    </w:p>
    <w:p w14:paraId="58FAB3A4" w14:textId="395C8293" w:rsidR="00400398" w:rsidRDefault="00F36D72">
      <w:pPr>
        <w:numPr>
          <w:ilvl w:val="12"/>
          <w:numId w:val="0"/>
        </w:numPr>
        <w:ind w:right="-2"/>
      </w:pPr>
      <w:r>
        <w:t>Este medicamento contém 1,6 </w:t>
      </w:r>
      <w:r w:rsidRPr="008159B7">
        <w:t>mg de polissorbato</w:t>
      </w:r>
      <w:r>
        <w:t> 20</w:t>
      </w:r>
      <w:r w:rsidRPr="008159B7">
        <w:t xml:space="preserve"> em cada </w:t>
      </w:r>
      <w:r>
        <w:t xml:space="preserve">frasco para injetáveis de 100 mg/4 ml e </w:t>
      </w:r>
      <w:r>
        <w:rPr>
          <w:lang w:eastAsia="en-US"/>
        </w:rPr>
        <w:t>6,</w:t>
      </w:r>
      <w:r w:rsidRPr="000E4C7B">
        <w:rPr>
          <w:lang w:eastAsia="en-US"/>
        </w:rPr>
        <w:t xml:space="preserve">4 mg </w:t>
      </w:r>
      <w:r w:rsidRPr="008159B7">
        <w:t xml:space="preserve">em cada </w:t>
      </w:r>
      <w:r>
        <w:t>frasco para injetáveis de</w:t>
      </w:r>
      <w:r w:rsidRPr="000E4C7B">
        <w:rPr>
          <w:lang w:eastAsia="en-US"/>
        </w:rPr>
        <w:t xml:space="preserve"> 400 mg/16 ml</w:t>
      </w:r>
      <w:r>
        <w:t>, o que</w:t>
      </w:r>
      <w:r w:rsidRPr="008159B7">
        <w:t xml:space="preserve"> equivale a </w:t>
      </w:r>
      <w:r>
        <w:t>0,4 </w:t>
      </w:r>
      <w:r w:rsidRPr="008159B7">
        <w:t>mg/</w:t>
      </w:r>
      <w:r>
        <w:t>ml</w:t>
      </w:r>
      <w:r w:rsidRPr="008159B7">
        <w:t>. Os polissorbatos podem causar reações alérgicas.</w:t>
      </w:r>
      <w:r>
        <w:t xml:space="preserve"> </w:t>
      </w:r>
      <w:r w:rsidRPr="00F637C8">
        <w:t>Informe o seu médico se tem alguma alergia.</w:t>
      </w:r>
    </w:p>
    <w:p w14:paraId="4F40D29F" w14:textId="77777777" w:rsidR="00F36D72" w:rsidRDefault="00F36D72">
      <w:pPr>
        <w:numPr>
          <w:ilvl w:val="12"/>
          <w:numId w:val="0"/>
        </w:numPr>
        <w:ind w:right="-2"/>
      </w:pPr>
    </w:p>
    <w:p w14:paraId="5318F5E8" w14:textId="77777777" w:rsidR="00F36D72" w:rsidRPr="007232E4" w:rsidRDefault="00F36D72">
      <w:pPr>
        <w:numPr>
          <w:ilvl w:val="12"/>
          <w:numId w:val="0"/>
        </w:numPr>
        <w:ind w:right="-2"/>
      </w:pPr>
    </w:p>
    <w:p w14:paraId="24CA8AAC" w14:textId="77777777" w:rsidR="00400398" w:rsidRPr="007232E4" w:rsidRDefault="00400398">
      <w:pPr>
        <w:ind w:right="-2"/>
        <w:rPr>
          <w:b/>
        </w:rPr>
      </w:pPr>
      <w:r w:rsidRPr="007232E4">
        <w:rPr>
          <w:b/>
        </w:rPr>
        <w:lastRenderedPageBreak/>
        <w:t>3.</w:t>
      </w:r>
      <w:r w:rsidRPr="007232E4">
        <w:rPr>
          <w:b/>
        </w:rPr>
        <w:tab/>
        <w:t xml:space="preserve">Como utilizar </w:t>
      </w:r>
      <w:r w:rsidR="005F5ED9">
        <w:rPr>
          <w:b/>
        </w:rPr>
        <w:t>Aybintio</w:t>
      </w:r>
    </w:p>
    <w:p w14:paraId="0936B823" w14:textId="77777777" w:rsidR="00400398" w:rsidRPr="007232E4" w:rsidRDefault="00400398">
      <w:pPr>
        <w:numPr>
          <w:ilvl w:val="12"/>
          <w:numId w:val="0"/>
        </w:numPr>
        <w:ind w:right="-2"/>
      </w:pPr>
    </w:p>
    <w:p w14:paraId="1342CD6A" w14:textId="77777777" w:rsidR="00400398" w:rsidRPr="007232E4" w:rsidRDefault="00400398">
      <w:pPr>
        <w:numPr>
          <w:ilvl w:val="12"/>
          <w:numId w:val="0"/>
        </w:numPr>
        <w:ind w:right="-2"/>
        <w:outlineLvl w:val="0"/>
        <w:rPr>
          <w:b/>
        </w:rPr>
      </w:pPr>
      <w:r w:rsidRPr="007232E4">
        <w:rPr>
          <w:b/>
        </w:rPr>
        <w:t>Dose e frequência de administração</w:t>
      </w:r>
    </w:p>
    <w:p w14:paraId="04CF25EA" w14:textId="77777777" w:rsidR="00400398" w:rsidRPr="007232E4" w:rsidRDefault="00400398">
      <w:pPr>
        <w:autoSpaceDE w:val="0"/>
        <w:autoSpaceDN w:val="0"/>
        <w:adjustRightInd w:val="0"/>
        <w:rPr>
          <w:rFonts w:eastAsia="MS Mincho"/>
          <w:szCs w:val="22"/>
        </w:rPr>
      </w:pPr>
      <w:r w:rsidRPr="007232E4">
        <w:rPr>
          <w:rFonts w:eastAsia="MS Mincho"/>
          <w:szCs w:val="22"/>
        </w:rPr>
        <w:t xml:space="preserve">A dose necessária de </w:t>
      </w:r>
      <w:r w:rsidR="005F5ED9">
        <w:rPr>
          <w:rFonts w:eastAsia="MS Mincho"/>
          <w:szCs w:val="22"/>
        </w:rPr>
        <w:t>Aybintio</w:t>
      </w:r>
      <w:r w:rsidR="005F5ED9" w:rsidRPr="007232E4">
        <w:rPr>
          <w:rFonts w:eastAsia="MS Mincho"/>
          <w:szCs w:val="22"/>
        </w:rPr>
        <w:t xml:space="preserve"> </w:t>
      </w:r>
      <w:r w:rsidRPr="007232E4">
        <w:rPr>
          <w:rFonts w:eastAsia="MS Mincho"/>
          <w:szCs w:val="22"/>
        </w:rPr>
        <w:t xml:space="preserve">depende do seu peso corporal e do tipo de cancro que está a ser tratado. A dose recomendada é de 5 mg, 7,5 mg, 10 mg ou 15 mg por quilograma do seu peso corporal. O seu médico vai prescrever a dose de </w:t>
      </w:r>
      <w:r w:rsidR="005F5ED9">
        <w:rPr>
          <w:rFonts w:eastAsia="MS Mincho"/>
          <w:szCs w:val="22"/>
        </w:rPr>
        <w:t>Aybintio</w:t>
      </w:r>
      <w:r w:rsidR="005F5ED9" w:rsidRPr="007232E4">
        <w:rPr>
          <w:rFonts w:eastAsia="MS Mincho"/>
          <w:szCs w:val="22"/>
        </w:rPr>
        <w:t xml:space="preserve"> </w:t>
      </w:r>
      <w:r w:rsidRPr="007232E4">
        <w:rPr>
          <w:rFonts w:eastAsia="MS Mincho"/>
          <w:szCs w:val="22"/>
        </w:rPr>
        <w:t xml:space="preserve">adequada ao seu caso. A administração de </w:t>
      </w:r>
      <w:r w:rsidR="005F5ED9">
        <w:rPr>
          <w:rFonts w:eastAsia="MS Mincho"/>
          <w:szCs w:val="22"/>
        </w:rPr>
        <w:t>Aybintio</w:t>
      </w:r>
      <w:r w:rsidR="005F5ED9" w:rsidRPr="007232E4">
        <w:rPr>
          <w:rFonts w:eastAsia="MS Mincho"/>
          <w:szCs w:val="22"/>
        </w:rPr>
        <w:t xml:space="preserve"> </w:t>
      </w:r>
      <w:r w:rsidRPr="007232E4">
        <w:rPr>
          <w:rFonts w:eastAsia="MS Mincho"/>
          <w:szCs w:val="22"/>
        </w:rPr>
        <w:t xml:space="preserve">vai ser feita 1 vez, de 2 em 2 ou de 3 em 3 semanas. O número de perfusões vai depender da forma como responder ao tratamento; deve prosseguir o tratamento até o </w:t>
      </w:r>
      <w:r w:rsidR="005F5ED9">
        <w:rPr>
          <w:rFonts w:eastAsia="MS Mincho"/>
          <w:szCs w:val="22"/>
        </w:rPr>
        <w:t>Aybintio</w:t>
      </w:r>
      <w:r w:rsidR="005F5ED9" w:rsidRPr="007232E4">
        <w:rPr>
          <w:rFonts w:eastAsia="MS Mincho"/>
          <w:szCs w:val="22"/>
        </w:rPr>
        <w:t xml:space="preserve"> </w:t>
      </w:r>
      <w:r w:rsidRPr="007232E4">
        <w:rPr>
          <w:rFonts w:eastAsia="MS Mincho"/>
          <w:szCs w:val="22"/>
        </w:rPr>
        <w:t>deixar de conseguir impedir o crescimento do tumor. O seu médico irá discutir este assunto consigo.</w:t>
      </w:r>
    </w:p>
    <w:p w14:paraId="19EE43A6" w14:textId="77777777" w:rsidR="00400398" w:rsidRPr="007232E4" w:rsidRDefault="00400398">
      <w:pPr>
        <w:numPr>
          <w:ilvl w:val="12"/>
          <w:numId w:val="0"/>
        </w:numPr>
        <w:ind w:right="-2"/>
      </w:pPr>
    </w:p>
    <w:p w14:paraId="64A5EF46" w14:textId="77777777" w:rsidR="00400398" w:rsidRPr="007232E4" w:rsidRDefault="00400398" w:rsidP="00BF07DC">
      <w:pPr>
        <w:keepNext/>
        <w:keepLines/>
        <w:numPr>
          <w:ilvl w:val="12"/>
          <w:numId w:val="0"/>
        </w:numPr>
        <w:ind w:right="-2"/>
        <w:outlineLvl w:val="0"/>
        <w:rPr>
          <w:b/>
        </w:rPr>
      </w:pPr>
      <w:r w:rsidRPr="007232E4">
        <w:rPr>
          <w:b/>
        </w:rPr>
        <w:t>Modo e via de administração</w:t>
      </w:r>
    </w:p>
    <w:p w14:paraId="4CD94491" w14:textId="77777777" w:rsidR="00400398" w:rsidRPr="007232E4" w:rsidRDefault="00C03411" w:rsidP="00BF07DC">
      <w:pPr>
        <w:keepNext/>
        <w:keepLines/>
        <w:autoSpaceDE w:val="0"/>
        <w:autoSpaceDN w:val="0"/>
        <w:adjustRightInd w:val="0"/>
        <w:rPr>
          <w:rFonts w:eastAsia="MS Mincho"/>
          <w:szCs w:val="22"/>
        </w:rPr>
      </w:pPr>
      <w:r>
        <w:t>Não agit</w:t>
      </w:r>
      <w:r w:rsidR="00F33CFD">
        <w:t>e</w:t>
      </w:r>
      <w:r>
        <w:t xml:space="preserve"> o frasco para injetáveis. </w:t>
      </w:r>
      <w:r w:rsidR="005F5ED9">
        <w:rPr>
          <w:rFonts w:eastAsia="MS Mincho"/>
          <w:szCs w:val="22"/>
        </w:rPr>
        <w:t>Aybintio</w:t>
      </w:r>
      <w:r w:rsidR="005F5ED9" w:rsidRPr="007232E4">
        <w:rPr>
          <w:rFonts w:eastAsia="MS Mincho"/>
          <w:szCs w:val="22"/>
        </w:rPr>
        <w:t xml:space="preserve"> </w:t>
      </w:r>
      <w:r w:rsidR="00400398" w:rsidRPr="007232E4">
        <w:rPr>
          <w:rFonts w:eastAsia="MS Mincho"/>
          <w:szCs w:val="22"/>
        </w:rPr>
        <w:t xml:space="preserve">é um concentrado para solução para perfusão. Antes da utilização, uma parte ou a totalidade, consoante a dose que lhe foi prescrita, do conteúdo do frasco para injetáveis de </w:t>
      </w:r>
      <w:r w:rsidR="005F5ED9">
        <w:rPr>
          <w:rFonts w:eastAsia="MS Mincho"/>
          <w:szCs w:val="22"/>
        </w:rPr>
        <w:t>Aybintio</w:t>
      </w:r>
      <w:r w:rsidR="005F5ED9" w:rsidRPr="007232E4">
        <w:rPr>
          <w:rFonts w:eastAsia="MS Mincho"/>
          <w:szCs w:val="22"/>
        </w:rPr>
        <w:t xml:space="preserve"> </w:t>
      </w:r>
      <w:r w:rsidR="00400398" w:rsidRPr="007232E4">
        <w:rPr>
          <w:rFonts w:eastAsia="MS Mincho"/>
          <w:szCs w:val="22"/>
        </w:rPr>
        <w:t>será diluída com uma solução de cloreto de sódio. Um médico ou enfermeiro irá administrar</w:t>
      </w:r>
      <w:r w:rsidR="00400398" w:rsidRPr="007232E4">
        <w:rPr>
          <w:rFonts w:eastAsia="MS Mincho"/>
          <w:szCs w:val="22"/>
        </w:rPr>
        <w:noBreakHyphen/>
        <w:t xml:space="preserve">lhe a solução diluída de </w:t>
      </w:r>
      <w:r w:rsidR="005F5ED9">
        <w:rPr>
          <w:rFonts w:eastAsia="MS Mincho"/>
          <w:szCs w:val="22"/>
        </w:rPr>
        <w:t>Aybintio</w:t>
      </w:r>
      <w:r w:rsidR="005F5ED9" w:rsidRPr="007232E4">
        <w:rPr>
          <w:rFonts w:eastAsia="MS Mincho"/>
          <w:szCs w:val="22"/>
        </w:rPr>
        <w:t xml:space="preserve"> </w:t>
      </w:r>
      <w:r w:rsidR="00400398" w:rsidRPr="007232E4">
        <w:rPr>
          <w:rFonts w:eastAsia="MS Mincho"/>
          <w:szCs w:val="22"/>
        </w:rPr>
        <w:t>por meio de perfusão intravenosa (um gotejamento para a sua veia). A primeira perfusão ser</w:t>
      </w:r>
      <w:r w:rsidR="00400398" w:rsidRPr="007232E4">
        <w:rPr>
          <w:rFonts w:eastAsia="MS Mincho"/>
          <w:szCs w:val="22"/>
        </w:rPr>
        <w:noBreakHyphen/>
        <w:t>lhe</w:t>
      </w:r>
      <w:r w:rsidR="00400398" w:rsidRPr="007232E4">
        <w:rPr>
          <w:rFonts w:eastAsia="MS Mincho"/>
          <w:szCs w:val="22"/>
        </w:rPr>
        <w:noBreakHyphen/>
        <w:t>á administrada durante 90 minutos. Se esta for bem tolerada, a segunda perfusão pode ser administrada durante 60 minutos. As perfusões seguintes podem ser administradas durante 30 minutos.</w:t>
      </w:r>
    </w:p>
    <w:p w14:paraId="46285D58" w14:textId="77777777" w:rsidR="00400398" w:rsidRPr="007232E4" w:rsidRDefault="00400398">
      <w:pPr>
        <w:numPr>
          <w:ilvl w:val="12"/>
          <w:numId w:val="0"/>
        </w:numPr>
        <w:ind w:right="-2"/>
      </w:pPr>
    </w:p>
    <w:p w14:paraId="1591DDAD" w14:textId="77777777" w:rsidR="00400398" w:rsidRPr="007232E4" w:rsidRDefault="00400398">
      <w:pPr>
        <w:autoSpaceDE w:val="0"/>
        <w:autoSpaceDN w:val="0"/>
        <w:adjustRightInd w:val="0"/>
        <w:rPr>
          <w:rFonts w:eastAsia="MS Mincho"/>
          <w:b/>
          <w:szCs w:val="22"/>
        </w:rPr>
      </w:pPr>
      <w:r w:rsidRPr="007232E4">
        <w:rPr>
          <w:rFonts w:eastAsia="MS Mincho"/>
          <w:b/>
          <w:szCs w:val="22"/>
        </w:rPr>
        <w:t xml:space="preserve">A administração de </w:t>
      </w:r>
      <w:r w:rsidR="005F5ED9">
        <w:rPr>
          <w:rFonts w:eastAsia="MS Mincho"/>
          <w:b/>
          <w:szCs w:val="22"/>
        </w:rPr>
        <w:t>Aybintio</w:t>
      </w:r>
      <w:r w:rsidR="005F5ED9" w:rsidRPr="007232E4">
        <w:rPr>
          <w:rFonts w:eastAsia="MS Mincho"/>
          <w:b/>
          <w:szCs w:val="22"/>
        </w:rPr>
        <w:t xml:space="preserve"> </w:t>
      </w:r>
      <w:r w:rsidRPr="007232E4">
        <w:rPr>
          <w:rFonts w:eastAsia="MS Mincho"/>
          <w:b/>
          <w:szCs w:val="22"/>
        </w:rPr>
        <w:t>deve ser temporariamente interrompida</w:t>
      </w:r>
    </w:p>
    <w:p w14:paraId="17F1EE1F" w14:textId="77777777" w:rsidR="00400398" w:rsidRPr="007232E4" w:rsidRDefault="00400398">
      <w:pPr>
        <w:ind w:left="567" w:hanging="567"/>
        <w:rPr>
          <w:rFonts w:eastAsia="MS Mincho"/>
          <w:szCs w:val="22"/>
        </w:rPr>
      </w:pPr>
      <w:r>
        <w:rPr>
          <w:noProof/>
          <w:szCs w:val="22"/>
        </w:rPr>
        <w:sym w:font="Symbol" w:char="F0B7"/>
      </w:r>
      <w:r w:rsidRPr="007232E4">
        <w:rPr>
          <w:rFonts w:eastAsia="MS Mincho"/>
          <w:szCs w:val="22"/>
        </w:rPr>
        <w:tab/>
        <w:t xml:space="preserve">se desenvolver </w:t>
      </w:r>
      <w:r>
        <w:rPr>
          <w:rFonts w:eastAsia="MS Mincho"/>
          <w:szCs w:val="22"/>
        </w:rPr>
        <w:t>tens</w:t>
      </w:r>
      <w:r w:rsidRPr="007232E4">
        <w:rPr>
          <w:rFonts w:eastAsia="MS Mincho"/>
          <w:szCs w:val="22"/>
        </w:rPr>
        <w:t xml:space="preserve">ão arterial elevada grave, </w:t>
      </w:r>
      <w:r w:rsidRPr="007232E4">
        <w:t>que necessite de tratamento com anti</w:t>
      </w:r>
      <w:r w:rsidRPr="007232E4">
        <w:noBreakHyphen/>
        <w:t xml:space="preserve">hipertensores, </w:t>
      </w:r>
    </w:p>
    <w:p w14:paraId="3748DE8C" w14:textId="77777777" w:rsidR="00400398" w:rsidRPr="007232E4" w:rsidRDefault="00400398">
      <w:pPr>
        <w:autoSpaceDE w:val="0"/>
        <w:autoSpaceDN w:val="0"/>
        <w:adjustRightInd w:val="0"/>
        <w:rPr>
          <w:rFonts w:eastAsia="MS Mincho"/>
          <w:szCs w:val="22"/>
        </w:rPr>
      </w:pPr>
      <w:r>
        <w:rPr>
          <w:noProof/>
          <w:szCs w:val="22"/>
        </w:rPr>
        <w:sym w:font="Symbol" w:char="F0B7"/>
      </w:r>
      <w:r w:rsidRPr="007232E4">
        <w:rPr>
          <w:rFonts w:eastAsia="MS Mincho"/>
          <w:szCs w:val="22"/>
        </w:rPr>
        <w:tab/>
        <w:t>se tiver problemas de cicatrização depois de uma cirurgia,</w:t>
      </w:r>
    </w:p>
    <w:p w14:paraId="018E7F0C" w14:textId="77777777" w:rsidR="00400398" w:rsidRPr="007232E4" w:rsidRDefault="00400398">
      <w:pPr>
        <w:autoSpaceDE w:val="0"/>
        <w:autoSpaceDN w:val="0"/>
        <w:adjustRightInd w:val="0"/>
        <w:rPr>
          <w:rFonts w:eastAsia="MS Mincho"/>
          <w:szCs w:val="22"/>
        </w:rPr>
      </w:pPr>
      <w:r>
        <w:rPr>
          <w:noProof/>
          <w:szCs w:val="22"/>
        </w:rPr>
        <w:sym w:font="Symbol" w:char="F0B7"/>
      </w:r>
      <w:r w:rsidRPr="007232E4">
        <w:rPr>
          <w:rFonts w:eastAsia="MS Mincho"/>
          <w:szCs w:val="22"/>
        </w:rPr>
        <w:tab/>
        <w:t>se for submetido a uma cirurgia.</w:t>
      </w:r>
    </w:p>
    <w:p w14:paraId="52ACAF33" w14:textId="77777777" w:rsidR="00400398" w:rsidRPr="007232E4" w:rsidRDefault="00400398">
      <w:pPr>
        <w:autoSpaceDE w:val="0"/>
        <w:autoSpaceDN w:val="0"/>
        <w:adjustRightInd w:val="0"/>
        <w:rPr>
          <w:rFonts w:eastAsia="MS Mincho"/>
          <w:szCs w:val="22"/>
        </w:rPr>
      </w:pPr>
    </w:p>
    <w:p w14:paraId="45CA0814" w14:textId="77777777" w:rsidR="00400398" w:rsidRPr="007232E4" w:rsidRDefault="00400398">
      <w:pPr>
        <w:autoSpaceDE w:val="0"/>
        <w:autoSpaceDN w:val="0"/>
        <w:adjustRightInd w:val="0"/>
        <w:rPr>
          <w:rFonts w:eastAsia="MS Mincho"/>
          <w:b/>
          <w:szCs w:val="22"/>
        </w:rPr>
      </w:pPr>
      <w:r w:rsidRPr="007232E4">
        <w:rPr>
          <w:rFonts w:eastAsia="MS Mincho"/>
          <w:b/>
          <w:szCs w:val="22"/>
        </w:rPr>
        <w:t xml:space="preserve">A administração de </w:t>
      </w:r>
      <w:r w:rsidR="005F5ED9">
        <w:rPr>
          <w:rFonts w:eastAsia="MS Mincho"/>
          <w:b/>
          <w:szCs w:val="22"/>
        </w:rPr>
        <w:t>Aybintio</w:t>
      </w:r>
      <w:r w:rsidR="005F5ED9" w:rsidRPr="007232E4">
        <w:rPr>
          <w:rFonts w:eastAsia="MS Mincho"/>
          <w:b/>
          <w:szCs w:val="22"/>
        </w:rPr>
        <w:t xml:space="preserve"> </w:t>
      </w:r>
      <w:r w:rsidRPr="007232E4">
        <w:rPr>
          <w:rFonts w:eastAsia="MS Mincho"/>
          <w:b/>
          <w:szCs w:val="22"/>
        </w:rPr>
        <w:t>deve ser permanentemente interrompida se tiver</w:t>
      </w:r>
    </w:p>
    <w:p w14:paraId="72A4B051" w14:textId="77777777" w:rsidR="00400398" w:rsidRPr="007232E4" w:rsidRDefault="00400398">
      <w:pPr>
        <w:numPr>
          <w:ilvl w:val="12"/>
          <w:numId w:val="0"/>
        </w:numPr>
        <w:ind w:left="567" w:right="-29" w:hanging="567"/>
      </w:pPr>
      <w:r>
        <w:rPr>
          <w:noProof/>
          <w:szCs w:val="22"/>
        </w:rPr>
        <w:sym w:font="Symbol" w:char="F0B7"/>
      </w:r>
      <w:r w:rsidRPr="007232E4">
        <w:tab/>
      </w:r>
      <w:r>
        <w:rPr>
          <w:rFonts w:eastAsia="MS Mincho"/>
          <w:szCs w:val="22"/>
        </w:rPr>
        <w:t>tens</w:t>
      </w:r>
      <w:r w:rsidRPr="007232E4">
        <w:rPr>
          <w:rFonts w:eastAsia="MS Mincho"/>
          <w:szCs w:val="22"/>
        </w:rPr>
        <w:t>ão arterial elevada grave</w:t>
      </w:r>
      <w:r w:rsidRPr="007232E4">
        <w:t xml:space="preserve"> não controlada pelos medicamentos anti</w:t>
      </w:r>
      <w:r w:rsidRPr="007232E4">
        <w:noBreakHyphen/>
        <w:t xml:space="preserve">hipertensores; ou uma subida grave, súbita, da </w:t>
      </w:r>
      <w:r>
        <w:rPr>
          <w:rFonts w:eastAsia="MS Mincho"/>
          <w:szCs w:val="22"/>
        </w:rPr>
        <w:t>tens</w:t>
      </w:r>
      <w:r w:rsidRPr="007232E4">
        <w:rPr>
          <w:rFonts w:eastAsia="MS Mincho"/>
          <w:szCs w:val="22"/>
        </w:rPr>
        <w:t>ão</w:t>
      </w:r>
      <w:r w:rsidRPr="007232E4">
        <w:t xml:space="preserve"> arterial, </w:t>
      </w:r>
    </w:p>
    <w:p w14:paraId="330D1773" w14:textId="77777777" w:rsidR="00400398" w:rsidRPr="007232E4" w:rsidRDefault="00400398">
      <w:pPr>
        <w:numPr>
          <w:ilvl w:val="12"/>
          <w:numId w:val="0"/>
        </w:numPr>
        <w:ind w:left="567" w:right="-29" w:hanging="567"/>
      </w:pPr>
      <w:r>
        <w:rPr>
          <w:noProof/>
          <w:szCs w:val="22"/>
        </w:rPr>
        <w:sym w:font="Symbol" w:char="F0B7"/>
      </w:r>
      <w:r w:rsidRPr="007232E4">
        <w:tab/>
        <w:t>presença de proteínas na urina, acompanhada por inchaço no seu corpo,</w:t>
      </w:r>
    </w:p>
    <w:p w14:paraId="184972B8" w14:textId="77777777" w:rsidR="00400398" w:rsidRPr="007232E4" w:rsidRDefault="00400398">
      <w:pPr>
        <w:numPr>
          <w:ilvl w:val="12"/>
          <w:numId w:val="0"/>
        </w:numPr>
        <w:ind w:left="567" w:right="-29" w:hanging="567"/>
      </w:pPr>
      <w:r>
        <w:rPr>
          <w:noProof/>
          <w:szCs w:val="22"/>
        </w:rPr>
        <w:sym w:font="Symbol" w:char="F0B7"/>
      </w:r>
      <w:r w:rsidRPr="007232E4">
        <w:tab/>
        <w:t xml:space="preserve">um orifício na parede do seu intestino, </w:t>
      </w:r>
    </w:p>
    <w:p w14:paraId="54C2AB73" w14:textId="77777777" w:rsidR="00400398" w:rsidRDefault="00400398">
      <w:pPr>
        <w:numPr>
          <w:ilvl w:val="12"/>
          <w:numId w:val="0"/>
        </w:numPr>
        <w:ind w:left="567" w:right="-29" w:hanging="567"/>
        <w:rPr>
          <w:rFonts w:eastAsia="MS Mincho"/>
        </w:rPr>
      </w:pPr>
      <w:r>
        <w:rPr>
          <w:noProof/>
          <w:szCs w:val="22"/>
        </w:rPr>
        <w:sym w:font="Symbol" w:char="F0B7"/>
      </w:r>
      <w:r w:rsidRPr="007232E4">
        <w:tab/>
        <w:t xml:space="preserve">uma ligação ou passagem anormal, em forma de tubo, </w:t>
      </w:r>
      <w:r w:rsidRPr="007232E4">
        <w:rPr>
          <w:rFonts w:eastAsia="MS Mincho"/>
        </w:rPr>
        <w:t>entre a traqueia e o esófago</w:t>
      </w:r>
      <w:r>
        <w:rPr>
          <w:rFonts w:eastAsia="MS Mincho"/>
        </w:rPr>
        <w:t>,</w:t>
      </w:r>
      <w:r w:rsidRPr="007232E4">
        <w:rPr>
          <w:rFonts w:eastAsia="MS Mincho"/>
        </w:rPr>
        <w:t xml:space="preserve"> entre órgãos internos e a pele</w:t>
      </w:r>
      <w:r>
        <w:rPr>
          <w:rFonts w:eastAsia="MS Mincho"/>
        </w:rPr>
        <w:t>, entre a vagina e quaisquer partes do intestino ou entre</w:t>
      </w:r>
      <w:r w:rsidRPr="007232E4">
        <w:rPr>
          <w:rFonts w:eastAsia="MS Mincho"/>
        </w:rPr>
        <w:t xml:space="preserve"> outros tecidos que não são normalmente conectados</w:t>
      </w:r>
      <w:r>
        <w:rPr>
          <w:rFonts w:eastAsia="MS Mincho"/>
        </w:rPr>
        <w:t xml:space="preserve"> (fístula)</w:t>
      </w:r>
      <w:r w:rsidRPr="007232E4">
        <w:rPr>
          <w:rFonts w:eastAsia="MS Mincho"/>
        </w:rPr>
        <w:t>, e que seja considerada grave pelo seu médico,</w:t>
      </w:r>
    </w:p>
    <w:p w14:paraId="4B3833DE" w14:textId="77777777" w:rsidR="00400398" w:rsidRPr="007232E4" w:rsidRDefault="00400398" w:rsidP="0035083F">
      <w:pPr>
        <w:ind w:right="-29"/>
      </w:pPr>
      <w:r>
        <w:rPr>
          <w:rFonts w:eastAsia="MS Mincho"/>
          <w:szCs w:val="22"/>
        </w:rPr>
        <w:sym w:font="Symbol" w:char="F0B7"/>
      </w:r>
      <w:r>
        <w:rPr>
          <w:rFonts w:eastAsia="MS Mincho"/>
        </w:rPr>
        <w:tab/>
        <w:t>infeção grave da pele ou em camadas profundas debaixo da pele,</w:t>
      </w:r>
    </w:p>
    <w:p w14:paraId="462AA45D" w14:textId="77777777" w:rsidR="00400398" w:rsidRPr="007232E4" w:rsidRDefault="00400398">
      <w:pPr>
        <w:numPr>
          <w:ilvl w:val="12"/>
          <w:numId w:val="0"/>
        </w:numPr>
        <w:ind w:left="567" w:right="-29" w:hanging="567"/>
      </w:pPr>
      <w:r>
        <w:rPr>
          <w:noProof/>
          <w:szCs w:val="22"/>
        </w:rPr>
        <w:sym w:font="Symbol" w:char="F0B7"/>
      </w:r>
      <w:r w:rsidRPr="007232E4">
        <w:tab/>
        <w:t xml:space="preserve">um coágulo de sangue nas suas artérias, </w:t>
      </w:r>
    </w:p>
    <w:p w14:paraId="6CF06005" w14:textId="77777777" w:rsidR="00400398" w:rsidRPr="007232E4" w:rsidRDefault="00400398">
      <w:pPr>
        <w:numPr>
          <w:ilvl w:val="12"/>
          <w:numId w:val="0"/>
        </w:numPr>
        <w:ind w:left="567" w:right="-29" w:hanging="567"/>
      </w:pPr>
      <w:r>
        <w:rPr>
          <w:noProof/>
          <w:szCs w:val="22"/>
        </w:rPr>
        <w:sym w:font="Symbol" w:char="F0B7"/>
      </w:r>
      <w:r w:rsidRPr="007232E4">
        <w:tab/>
        <w:t>um coágulo nos vasos sanguíneos dos pulmões,</w:t>
      </w:r>
    </w:p>
    <w:p w14:paraId="5CA090A8" w14:textId="77777777" w:rsidR="00400398" w:rsidRPr="007232E4" w:rsidRDefault="00400398">
      <w:pPr>
        <w:numPr>
          <w:ilvl w:val="12"/>
          <w:numId w:val="0"/>
        </w:numPr>
        <w:ind w:left="567" w:right="-29" w:hanging="567"/>
      </w:pPr>
      <w:r>
        <w:rPr>
          <w:noProof/>
          <w:szCs w:val="22"/>
        </w:rPr>
        <w:sym w:font="Symbol" w:char="F0B7"/>
      </w:r>
      <w:r w:rsidRPr="007232E4">
        <w:tab/>
        <w:t>uma hemorragia grave.</w:t>
      </w:r>
    </w:p>
    <w:p w14:paraId="16DA6C27" w14:textId="77777777" w:rsidR="00400398" w:rsidRPr="007232E4" w:rsidRDefault="00400398">
      <w:pPr>
        <w:numPr>
          <w:ilvl w:val="12"/>
          <w:numId w:val="0"/>
        </w:numPr>
        <w:ind w:left="600" w:right="-2" w:hanging="600"/>
        <w:outlineLvl w:val="0"/>
        <w:rPr>
          <w:b/>
        </w:rPr>
      </w:pPr>
    </w:p>
    <w:p w14:paraId="5473D5F4" w14:textId="77777777" w:rsidR="00400398" w:rsidRPr="007232E4" w:rsidRDefault="00400398">
      <w:pPr>
        <w:numPr>
          <w:ilvl w:val="12"/>
          <w:numId w:val="0"/>
        </w:numPr>
        <w:ind w:left="601" w:hanging="601"/>
        <w:outlineLvl w:val="0"/>
        <w:rPr>
          <w:b/>
        </w:rPr>
      </w:pPr>
      <w:r w:rsidRPr="007232E4">
        <w:rPr>
          <w:b/>
        </w:rPr>
        <w:t xml:space="preserve">Se for administrada uma quantidade excessiva de </w:t>
      </w:r>
      <w:r w:rsidR="005F5ED9">
        <w:rPr>
          <w:b/>
        </w:rPr>
        <w:t>Aybintio</w:t>
      </w:r>
    </w:p>
    <w:p w14:paraId="7AE3DDE9" w14:textId="77777777" w:rsidR="00400398" w:rsidRPr="007232E4" w:rsidRDefault="00400398">
      <w:pPr>
        <w:numPr>
          <w:ilvl w:val="12"/>
          <w:numId w:val="0"/>
        </w:numPr>
        <w:ind w:left="567" w:right="-29" w:hanging="567"/>
      </w:pPr>
      <w:r>
        <w:rPr>
          <w:noProof/>
          <w:szCs w:val="22"/>
        </w:rPr>
        <w:sym w:font="Symbol" w:char="F0B7"/>
      </w:r>
      <w:r w:rsidRPr="007232E4">
        <w:tab/>
        <w:t xml:space="preserve">pode ter uma enxaqueca muito forte. Se isto acontecer contacte imediatamente o seu médico, farmacêutico ou enfermeiro. </w:t>
      </w:r>
    </w:p>
    <w:p w14:paraId="12C51F8B" w14:textId="77777777" w:rsidR="00400398" w:rsidRPr="007232E4" w:rsidRDefault="00400398">
      <w:pPr>
        <w:numPr>
          <w:ilvl w:val="12"/>
          <w:numId w:val="0"/>
        </w:numPr>
        <w:ind w:left="567" w:right="-29" w:hanging="567"/>
      </w:pPr>
    </w:p>
    <w:p w14:paraId="2F57E08D" w14:textId="77777777" w:rsidR="00400398" w:rsidRPr="007232E4" w:rsidRDefault="00400398">
      <w:pPr>
        <w:keepNext/>
        <w:keepLines/>
        <w:numPr>
          <w:ilvl w:val="12"/>
          <w:numId w:val="0"/>
        </w:numPr>
        <w:ind w:left="600" w:right="-2" w:hanging="600"/>
        <w:outlineLvl w:val="0"/>
        <w:rPr>
          <w:b/>
        </w:rPr>
      </w:pPr>
      <w:r w:rsidRPr="007232E4">
        <w:rPr>
          <w:b/>
        </w:rPr>
        <w:t xml:space="preserve">Se não for administrada uma dose de </w:t>
      </w:r>
      <w:r w:rsidR="005F5ED9">
        <w:rPr>
          <w:b/>
        </w:rPr>
        <w:t>Aybintio</w:t>
      </w:r>
    </w:p>
    <w:p w14:paraId="594E5EE2" w14:textId="77777777" w:rsidR="00400398" w:rsidRPr="007232E4" w:rsidRDefault="00400398">
      <w:pPr>
        <w:keepNext/>
        <w:keepLines/>
        <w:numPr>
          <w:ilvl w:val="12"/>
          <w:numId w:val="0"/>
        </w:numPr>
        <w:ind w:left="567" w:right="-29" w:hanging="567"/>
      </w:pPr>
      <w:r>
        <w:rPr>
          <w:noProof/>
          <w:szCs w:val="22"/>
        </w:rPr>
        <w:sym w:font="Symbol" w:char="F0B7"/>
      </w:r>
      <w:r w:rsidRPr="007232E4">
        <w:tab/>
        <w:t xml:space="preserve">o seu médico decidirá quando deve receber a próxima dose de </w:t>
      </w:r>
      <w:r w:rsidR="005F5ED9">
        <w:t>Aybintio</w:t>
      </w:r>
      <w:r w:rsidRPr="007232E4">
        <w:t xml:space="preserve">. Deve falar disso com o seu médico. </w:t>
      </w:r>
    </w:p>
    <w:p w14:paraId="2E9ADFE4" w14:textId="77777777" w:rsidR="00400398" w:rsidRPr="007232E4" w:rsidRDefault="00400398">
      <w:pPr>
        <w:numPr>
          <w:ilvl w:val="12"/>
          <w:numId w:val="0"/>
        </w:numPr>
        <w:ind w:right="-2"/>
      </w:pPr>
    </w:p>
    <w:p w14:paraId="068BF4DD" w14:textId="77777777" w:rsidR="00400398" w:rsidRPr="007232E4" w:rsidRDefault="00400398">
      <w:pPr>
        <w:numPr>
          <w:ilvl w:val="12"/>
          <w:numId w:val="0"/>
        </w:numPr>
        <w:outlineLvl w:val="0"/>
        <w:rPr>
          <w:b/>
        </w:rPr>
      </w:pPr>
      <w:r w:rsidRPr="007232E4">
        <w:rPr>
          <w:b/>
        </w:rPr>
        <w:t xml:space="preserve">Se parar de tomar </w:t>
      </w:r>
      <w:r w:rsidR="005F5ED9">
        <w:rPr>
          <w:b/>
        </w:rPr>
        <w:t>Aybintio</w:t>
      </w:r>
    </w:p>
    <w:p w14:paraId="423D7D41" w14:textId="77777777" w:rsidR="00400398" w:rsidRPr="007232E4" w:rsidRDefault="00400398">
      <w:pPr>
        <w:numPr>
          <w:ilvl w:val="12"/>
          <w:numId w:val="0"/>
        </w:numPr>
        <w:ind w:right="-2"/>
      </w:pPr>
      <w:r w:rsidRPr="007232E4">
        <w:t xml:space="preserve">Interromper o tratamento com </w:t>
      </w:r>
      <w:r w:rsidR="005F5ED9">
        <w:t>Aybintio</w:t>
      </w:r>
      <w:r w:rsidR="005F5ED9" w:rsidRPr="007232E4">
        <w:t xml:space="preserve"> </w:t>
      </w:r>
      <w:r w:rsidRPr="007232E4">
        <w:t xml:space="preserve">pode parar o seu efeito no crescimento do tumor. Não pare o tratamento com </w:t>
      </w:r>
      <w:r w:rsidR="005F5ED9">
        <w:t>Aybintio</w:t>
      </w:r>
      <w:r w:rsidR="005F5ED9" w:rsidRPr="007232E4">
        <w:t xml:space="preserve"> </w:t>
      </w:r>
      <w:r w:rsidRPr="007232E4">
        <w:t>exceto se o assunto tiver sido discutido com o seu médico.</w:t>
      </w:r>
    </w:p>
    <w:p w14:paraId="4BFAFE94" w14:textId="77777777" w:rsidR="00400398" w:rsidRPr="007232E4" w:rsidRDefault="00400398">
      <w:pPr>
        <w:numPr>
          <w:ilvl w:val="12"/>
          <w:numId w:val="0"/>
        </w:numPr>
        <w:ind w:right="-2"/>
      </w:pPr>
    </w:p>
    <w:p w14:paraId="7705570B" w14:textId="77777777" w:rsidR="00400398" w:rsidRPr="007232E4" w:rsidRDefault="00400398">
      <w:pPr>
        <w:numPr>
          <w:ilvl w:val="12"/>
          <w:numId w:val="0"/>
        </w:numPr>
        <w:ind w:right="-2"/>
      </w:pPr>
      <w:r w:rsidRPr="007232E4">
        <w:t>Caso ainda tenha dúvidas sobre a utilização deste medicamento, fale com o seu médico, farmacêutico ou enfermeiro.</w:t>
      </w:r>
    </w:p>
    <w:p w14:paraId="22E934B0" w14:textId="77777777" w:rsidR="00400398" w:rsidRDefault="00400398">
      <w:pPr>
        <w:numPr>
          <w:ilvl w:val="12"/>
          <w:numId w:val="0"/>
        </w:numPr>
        <w:ind w:right="-2"/>
      </w:pPr>
    </w:p>
    <w:p w14:paraId="679708CB" w14:textId="77777777" w:rsidR="00400398" w:rsidRPr="007232E4" w:rsidRDefault="00400398">
      <w:pPr>
        <w:numPr>
          <w:ilvl w:val="12"/>
          <w:numId w:val="0"/>
        </w:numPr>
        <w:ind w:right="-2"/>
      </w:pPr>
    </w:p>
    <w:p w14:paraId="2839512E" w14:textId="77777777" w:rsidR="00400398" w:rsidRPr="007232E4" w:rsidRDefault="00400398" w:rsidP="001E05C2">
      <w:pPr>
        <w:keepNext/>
        <w:numPr>
          <w:ilvl w:val="12"/>
          <w:numId w:val="0"/>
        </w:numPr>
        <w:ind w:left="567" w:right="-2" w:hanging="567"/>
      </w:pPr>
      <w:r w:rsidRPr="007232E4">
        <w:rPr>
          <w:b/>
        </w:rPr>
        <w:lastRenderedPageBreak/>
        <w:t>4.</w:t>
      </w:r>
      <w:r w:rsidRPr="007232E4">
        <w:rPr>
          <w:b/>
        </w:rPr>
        <w:tab/>
        <w:t xml:space="preserve">Efeitos </w:t>
      </w:r>
      <w:r w:rsidR="001D576C">
        <w:rPr>
          <w:b/>
        </w:rPr>
        <w:t xml:space="preserve">indesejáveis </w:t>
      </w:r>
      <w:r w:rsidRPr="007232E4">
        <w:rPr>
          <w:b/>
        </w:rPr>
        <w:t>possíveis</w:t>
      </w:r>
    </w:p>
    <w:p w14:paraId="39EC07BC" w14:textId="77777777" w:rsidR="00400398" w:rsidRPr="007232E4" w:rsidRDefault="00400398" w:rsidP="001E05C2">
      <w:pPr>
        <w:keepNext/>
        <w:numPr>
          <w:ilvl w:val="12"/>
          <w:numId w:val="0"/>
        </w:numPr>
        <w:ind w:left="567" w:right="-29" w:hanging="567"/>
      </w:pPr>
    </w:p>
    <w:p w14:paraId="2EF18FB7" w14:textId="77777777" w:rsidR="00400398" w:rsidRPr="007232E4" w:rsidRDefault="00400398" w:rsidP="00DE7916">
      <w:pPr>
        <w:numPr>
          <w:ilvl w:val="12"/>
          <w:numId w:val="0"/>
        </w:numPr>
        <w:ind w:right="-29"/>
        <w:outlineLvl w:val="0"/>
      </w:pPr>
      <w:r w:rsidRPr="007232E4">
        <w:t xml:space="preserve">Como todos os medicamentos, este medicamento pode causar efeitos </w:t>
      </w:r>
      <w:r w:rsidR="00171A40">
        <w:t>indesejáveis</w:t>
      </w:r>
      <w:r w:rsidRPr="007232E4">
        <w:t xml:space="preserve">, embora estes não se manifestem em todas as pessoas. </w:t>
      </w:r>
    </w:p>
    <w:p w14:paraId="04231FD9" w14:textId="77777777" w:rsidR="00400398" w:rsidRPr="007232E4" w:rsidRDefault="00400398" w:rsidP="00DE7916">
      <w:pPr>
        <w:numPr>
          <w:ilvl w:val="12"/>
          <w:numId w:val="0"/>
        </w:numPr>
        <w:ind w:right="-29"/>
        <w:outlineLvl w:val="0"/>
      </w:pPr>
    </w:p>
    <w:p w14:paraId="52897C6E" w14:textId="77777777" w:rsidR="00400398" w:rsidRPr="007232E4" w:rsidRDefault="00400398" w:rsidP="00DE7916">
      <w:pPr>
        <w:numPr>
          <w:ilvl w:val="12"/>
          <w:numId w:val="0"/>
        </w:numPr>
        <w:ind w:right="-29"/>
        <w:outlineLvl w:val="0"/>
      </w:pPr>
      <w:r w:rsidRPr="007232E4">
        <w:t xml:space="preserve">Se tiver quaisquer efeitos </w:t>
      </w:r>
      <w:r w:rsidR="00171A40">
        <w:t>indesejáveis</w:t>
      </w:r>
      <w:r w:rsidR="00171A40" w:rsidRPr="007232E4">
        <w:t xml:space="preserve"> </w:t>
      </w:r>
      <w:r w:rsidRPr="007232E4">
        <w:t xml:space="preserve">incluindo possíveis efeitos </w:t>
      </w:r>
      <w:r w:rsidR="00171A40">
        <w:t>indesejáveis</w:t>
      </w:r>
      <w:r w:rsidR="00171A40" w:rsidRPr="007232E4">
        <w:t xml:space="preserve"> </w:t>
      </w:r>
      <w:r w:rsidRPr="007232E4">
        <w:t>não indicados neste folheto, fale com o seu médico, farmacêutico ou enfermeiro.</w:t>
      </w:r>
    </w:p>
    <w:p w14:paraId="7F77756D" w14:textId="77777777" w:rsidR="00400398" w:rsidRPr="007232E4" w:rsidRDefault="00400398" w:rsidP="00DE7916">
      <w:pPr>
        <w:numPr>
          <w:ilvl w:val="12"/>
          <w:numId w:val="0"/>
        </w:numPr>
        <w:ind w:right="-29"/>
        <w:outlineLvl w:val="0"/>
      </w:pPr>
    </w:p>
    <w:p w14:paraId="24E0E543" w14:textId="77777777" w:rsidR="00400398" w:rsidRPr="007232E4" w:rsidRDefault="00400398" w:rsidP="00DE7916">
      <w:pPr>
        <w:numPr>
          <w:ilvl w:val="12"/>
          <w:numId w:val="0"/>
        </w:numPr>
        <w:ind w:right="-29"/>
        <w:outlineLvl w:val="0"/>
      </w:pPr>
      <w:r w:rsidRPr="007232E4">
        <w:t xml:space="preserve">Os efeitos </w:t>
      </w:r>
      <w:r w:rsidR="00171A40">
        <w:t>indesejáveis</w:t>
      </w:r>
      <w:r w:rsidR="00171A40" w:rsidRPr="007232E4">
        <w:t xml:space="preserve"> </w:t>
      </w:r>
      <w:r w:rsidRPr="007232E4">
        <w:t xml:space="preserve">abaixo descritos foram observados quando </w:t>
      </w:r>
      <w:r w:rsidR="005F5ED9">
        <w:t>Aybintio</w:t>
      </w:r>
      <w:r w:rsidR="005F5ED9" w:rsidRPr="007232E4">
        <w:t xml:space="preserve"> </w:t>
      </w:r>
      <w:r w:rsidRPr="007232E4">
        <w:t xml:space="preserve">foi administrado juntamente com quimioterapia. Isto não significa necessariamente que estes efeitos </w:t>
      </w:r>
      <w:r w:rsidR="00171A40">
        <w:t>indesejáveis</w:t>
      </w:r>
      <w:r w:rsidR="00171A40" w:rsidRPr="007232E4">
        <w:t xml:space="preserve"> </w:t>
      </w:r>
      <w:r w:rsidRPr="007232E4">
        <w:t xml:space="preserve">tenham sido causados unicamente pelo </w:t>
      </w:r>
      <w:r w:rsidR="005F5ED9">
        <w:t>Aybintio</w:t>
      </w:r>
      <w:r w:rsidRPr="007232E4">
        <w:t>.</w:t>
      </w:r>
    </w:p>
    <w:p w14:paraId="62C80F2F" w14:textId="77777777" w:rsidR="00400398" w:rsidRPr="007232E4" w:rsidRDefault="00400398" w:rsidP="00DE7916">
      <w:pPr>
        <w:numPr>
          <w:ilvl w:val="12"/>
          <w:numId w:val="0"/>
        </w:numPr>
        <w:ind w:right="-29"/>
        <w:outlineLvl w:val="0"/>
      </w:pPr>
    </w:p>
    <w:p w14:paraId="2FFB61BB" w14:textId="77777777" w:rsidR="00400398" w:rsidRDefault="00400398" w:rsidP="00C82494">
      <w:pPr>
        <w:keepNext/>
        <w:keepLines/>
        <w:numPr>
          <w:ilvl w:val="12"/>
          <w:numId w:val="0"/>
        </w:numPr>
        <w:ind w:right="-28"/>
        <w:outlineLvl w:val="0"/>
      </w:pPr>
      <w:r w:rsidRPr="007232E4">
        <w:rPr>
          <w:b/>
        </w:rPr>
        <w:t>Reações alérgicas</w:t>
      </w:r>
    </w:p>
    <w:p w14:paraId="59E10CBD" w14:textId="77777777" w:rsidR="00400398" w:rsidRDefault="00400398" w:rsidP="00C82494">
      <w:pPr>
        <w:keepNext/>
        <w:keepLines/>
        <w:numPr>
          <w:ilvl w:val="12"/>
          <w:numId w:val="0"/>
        </w:numPr>
        <w:ind w:right="-28"/>
        <w:outlineLvl w:val="0"/>
        <w:rPr>
          <w:szCs w:val="22"/>
        </w:rPr>
      </w:pPr>
      <w:r w:rsidRPr="007232E4">
        <w:t xml:space="preserve">Se tiver uma reação alérgica, informe de imediato o seu médico ou um elemento da equipa médica. Os sinais podem incluir: dificuldade </w:t>
      </w:r>
      <w:r w:rsidRPr="007232E4">
        <w:rPr>
          <w:szCs w:val="22"/>
        </w:rPr>
        <w:t>em respirar ou dor no peito. Poderá também ter vermelhidão ou rubor da pele ou erupção cutânea,</w:t>
      </w:r>
      <w:r>
        <w:rPr>
          <w:szCs w:val="22"/>
        </w:rPr>
        <w:t xml:space="preserve"> arrepios e calafrios</w:t>
      </w:r>
      <w:r w:rsidRPr="007232E4">
        <w:rPr>
          <w:szCs w:val="22"/>
        </w:rPr>
        <w:t>, mau estar (náuseas) ou má disposição (vómitos)</w:t>
      </w:r>
      <w:r w:rsidR="00185520">
        <w:rPr>
          <w:szCs w:val="22"/>
        </w:rPr>
        <w:t>, tumefação, atordoamento, batimento cardíaco rápido e perda de consciência.</w:t>
      </w:r>
    </w:p>
    <w:p w14:paraId="29B28547" w14:textId="77777777" w:rsidR="00400398" w:rsidRPr="007232E4" w:rsidRDefault="00400398" w:rsidP="00DE7916">
      <w:pPr>
        <w:numPr>
          <w:ilvl w:val="12"/>
          <w:numId w:val="0"/>
        </w:numPr>
        <w:ind w:right="-29"/>
        <w:outlineLvl w:val="0"/>
        <w:rPr>
          <w:b/>
        </w:rPr>
      </w:pPr>
    </w:p>
    <w:p w14:paraId="40AFCDBC" w14:textId="77777777" w:rsidR="00400398" w:rsidRPr="007232E4" w:rsidRDefault="00400398" w:rsidP="00DE7916">
      <w:pPr>
        <w:numPr>
          <w:ilvl w:val="12"/>
          <w:numId w:val="0"/>
        </w:numPr>
        <w:ind w:right="-29"/>
        <w:outlineLvl w:val="0"/>
        <w:rPr>
          <w:b/>
          <w:i/>
        </w:rPr>
      </w:pPr>
      <w:r w:rsidRPr="007232E4">
        <w:rPr>
          <w:b/>
        </w:rPr>
        <w:t xml:space="preserve">Deve procurar ajuda imediatamente se tiver algum dos efeitos </w:t>
      </w:r>
      <w:r w:rsidR="00171A40">
        <w:rPr>
          <w:b/>
        </w:rPr>
        <w:t>indesejáveis</w:t>
      </w:r>
      <w:r w:rsidR="00171A40" w:rsidRPr="007232E4">
        <w:rPr>
          <w:b/>
        </w:rPr>
        <w:t xml:space="preserve"> </w:t>
      </w:r>
      <w:r w:rsidRPr="007232E4">
        <w:rPr>
          <w:b/>
        </w:rPr>
        <w:t>abaixo descritos.</w:t>
      </w:r>
    </w:p>
    <w:p w14:paraId="33747014" w14:textId="77777777" w:rsidR="00400398" w:rsidRPr="007232E4" w:rsidRDefault="00400398" w:rsidP="00DE7916">
      <w:pPr>
        <w:numPr>
          <w:ilvl w:val="12"/>
          <w:numId w:val="0"/>
        </w:numPr>
        <w:ind w:right="-29"/>
      </w:pPr>
    </w:p>
    <w:p w14:paraId="14FC6D62" w14:textId="77777777" w:rsidR="00400398" w:rsidRPr="007232E4" w:rsidRDefault="00400398" w:rsidP="00DE7916">
      <w:pPr>
        <w:numPr>
          <w:ilvl w:val="12"/>
          <w:numId w:val="0"/>
        </w:numPr>
        <w:ind w:right="-29"/>
      </w:pPr>
      <w:r>
        <w:t>E</w:t>
      </w:r>
      <w:r w:rsidRPr="007232E4">
        <w:t xml:space="preserve">feitos </w:t>
      </w:r>
      <w:r w:rsidR="00171A40">
        <w:t>indesejáveis</w:t>
      </w:r>
      <w:r w:rsidR="00171A40" w:rsidRPr="007232E4">
        <w:t xml:space="preserve"> </w:t>
      </w:r>
      <w:r w:rsidRPr="007232E4">
        <w:t>graves</w:t>
      </w:r>
      <w:r>
        <w:t>,</w:t>
      </w:r>
      <w:r w:rsidRPr="007232E4">
        <w:t xml:space="preserve"> que podem ser </w:t>
      </w:r>
      <w:r w:rsidRPr="007232E4">
        <w:rPr>
          <w:b/>
        </w:rPr>
        <w:t xml:space="preserve">muito frequentes </w:t>
      </w:r>
      <w:r w:rsidRPr="00913779">
        <w:t>(</w:t>
      </w:r>
      <w:r w:rsidR="00185520">
        <w:t>podem afetar mais de 1 em cada 10 pessoas</w:t>
      </w:r>
      <w:r w:rsidRPr="00913779">
        <w:t>)</w:t>
      </w:r>
      <w:r>
        <w:t>,</w:t>
      </w:r>
      <w:r>
        <w:rPr>
          <w:b/>
        </w:rPr>
        <w:t xml:space="preserve"> </w:t>
      </w:r>
      <w:r w:rsidRPr="007232E4">
        <w:t>incluem:</w:t>
      </w:r>
    </w:p>
    <w:p w14:paraId="32FD1255" w14:textId="77777777" w:rsidR="00400398" w:rsidRPr="007232E4" w:rsidRDefault="00400398" w:rsidP="00DE7916">
      <w:pPr>
        <w:ind w:left="567" w:right="-29" w:hanging="567"/>
      </w:pPr>
      <w:r>
        <w:rPr>
          <w:noProof/>
          <w:szCs w:val="22"/>
        </w:rPr>
        <w:sym w:font="Symbol" w:char="F0B7"/>
      </w:r>
      <w:r w:rsidRPr="007232E4">
        <w:tab/>
      </w:r>
      <w:r>
        <w:rPr>
          <w:rFonts w:eastAsia="MS Mincho"/>
          <w:szCs w:val="22"/>
        </w:rPr>
        <w:t>tens</w:t>
      </w:r>
      <w:r w:rsidRPr="007232E4">
        <w:rPr>
          <w:rFonts w:eastAsia="MS Mincho"/>
          <w:szCs w:val="22"/>
        </w:rPr>
        <w:t>ão</w:t>
      </w:r>
      <w:r w:rsidRPr="007232E4">
        <w:t xml:space="preserve"> arterial elevada,</w:t>
      </w:r>
    </w:p>
    <w:p w14:paraId="31B51687" w14:textId="77777777" w:rsidR="00400398" w:rsidRPr="007232E4" w:rsidRDefault="00400398" w:rsidP="00DE7916">
      <w:pPr>
        <w:ind w:left="567" w:right="-29" w:hanging="567"/>
      </w:pPr>
      <w:r>
        <w:rPr>
          <w:noProof/>
          <w:szCs w:val="22"/>
        </w:rPr>
        <w:sym w:font="Symbol" w:char="F0B7"/>
      </w:r>
      <w:r w:rsidRPr="007232E4">
        <w:tab/>
        <w:t>sensação de adormecimento ou formigueiro das mãos ou pés,</w:t>
      </w:r>
    </w:p>
    <w:p w14:paraId="0B2E161C" w14:textId="77777777" w:rsidR="00400398" w:rsidRPr="007232E4" w:rsidRDefault="00400398" w:rsidP="00DE7916">
      <w:pPr>
        <w:ind w:left="567" w:right="-29" w:hanging="567"/>
      </w:pPr>
      <w:r>
        <w:rPr>
          <w:noProof/>
          <w:szCs w:val="22"/>
        </w:rPr>
        <w:sym w:font="Symbol" w:char="F0B7"/>
      </w:r>
      <w:r w:rsidRPr="007232E4">
        <w:tab/>
        <w:t>diminuição do número de células sanguíneas, incluindo glóbulos brancos, que ajudam a combater infeções (pode ser acompanhado de febre)</w:t>
      </w:r>
      <w:r w:rsidR="003A5972">
        <w:t>,</w:t>
      </w:r>
      <w:r w:rsidRPr="007232E4">
        <w:t xml:space="preserve"> e células que ajudam na coagulação do sangue,</w:t>
      </w:r>
    </w:p>
    <w:p w14:paraId="0212D437" w14:textId="77777777" w:rsidR="00400398" w:rsidRDefault="00400398" w:rsidP="00DE7916">
      <w:pPr>
        <w:ind w:left="567" w:right="-29" w:hanging="567"/>
      </w:pPr>
      <w:r>
        <w:rPr>
          <w:noProof/>
          <w:szCs w:val="22"/>
        </w:rPr>
        <w:sym w:font="Symbol" w:char="F0B7"/>
      </w:r>
      <w:r w:rsidRPr="007232E4">
        <w:tab/>
      </w:r>
      <w:r>
        <w:t>sentir-se fraco ou sem</w:t>
      </w:r>
      <w:r w:rsidRPr="007232E4">
        <w:t xml:space="preserve"> energia</w:t>
      </w:r>
      <w:r>
        <w:t>,</w:t>
      </w:r>
    </w:p>
    <w:p w14:paraId="2764039F" w14:textId="77777777" w:rsidR="00400398" w:rsidRPr="007232E4" w:rsidRDefault="00400398" w:rsidP="00DE7916">
      <w:pPr>
        <w:ind w:left="574" w:right="-29" w:hanging="588"/>
      </w:pPr>
      <w:r>
        <w:rPr>
          <w:noProof/>
          <w:szCs w:val="22"/>
        </w:rPr>
        <w:sym w:font="Symbol" w:char="F0B7"/>
      </w:r>
      <w:r>
        <w:rPr>
          <w:noProof/>
        </w:rPr>
        <w:tab/>
      </w:r>
      <w:r w:rsidRPr="007232E4">
        <w:t>cansaço,</w:t>
      </w:r>
    </w:p>
    <w:p w14:paraId="42EBA2BC" w14:textId="77777777" w:rsidR="00400398" w:rsidRPr="007232E4" w:rsidRDefault="00400398" w:rsidP="00DE7916">
      <w:pPr>
        <w:ind w:left="567" w:right="-29" w:hanging="567"/>
      </w:pPr>
      <w:r>
        <w:rPr>
          <w:noProof/>
          <w:szCs w:val="22"/>
        </w:rPr>
        <w:sym w:font="Symbol" w:char="F0B7"/>
      </w:r>
      <w:r w:rsidRPr="007232E4">
        <w:tab/>
        <w:t>diarreia, náusea</w:t>
      </w:r>
      <w:r>
        <w:t>,</w:t>
      </w:r>
      <w:r w:rsidRPr="007232E4">
        <w:t xml:space="preserve"> vómito</w:t>
      </w:r>
      <w:r>
        <w:t xml:space="preserve"> e dor abdominal</w:t>
      </w:r>
      <w:r w:rsidRPr="007232E4">
        <w:t>.</w:t>
      </w:r>
    </w:p>
    <w:p w14:paraId="64CEEB13" w14:textId="77777777" w:rsidR="00400398" w:rsidRPr="007232E4" w:rsidRDefault="00400398" w:rsidP="00DE7916">
      <w:pPr>
        <w:ind w:right="-29"/>
      </w:pPr>
    </w:p>
    <w:p w14:paraId="711D1D81" w14:textId="77777777" w:rsidR="00400398" w:rsidRPr="007232E4" w:rsidRDefault="00400398" w:rsidP="00DE7916">
      <w:pPr>
        <w:keepNext/>
        <w:keepLines/>
        <w:ind w:right="-29"/>
      </w:pPr>
      <w:r>
        <w:t>E</w:t>
      </w:r>
      <w:r w:rsidRPr="007232E4">
        <w:t xml:space="preserve">feitos </w:t>
      </w:r>
      <w:r w:rsidR="00171A40">
        <w:t>indesejáveis</w:t>
      </w:r>
      <w:r w:rsidR="00171A40" w:rsidRPr="007232E4">
        <w:t xml:space="preserve"> </w:t>
      </w:r>
      <w:r w:rsidRPr="007232E4">
        <w:t>graves</w:t>
      </w:r>
      <w:r>
        <w:t>,</w:t>
      </w:r>
      <w:r w:rsidRPr="007232E4">
        <w:t xml:space="preserve"> que podem ser </w:t>
      </w:r>
      <w:r w:rsidRPr="007232E4">
        <w:rPr>
          <w:b/>
        </w:rPr>
        <w:t>frequentes</w:t>
      </w:r>
      <w:r>
        <w:rPr>
          <w:b/>
        </w:rPr>
        <w:t xml:space="preserve"> </w:t>
      </w:r>
      <w:r w:rsidRPr="00913779">
        <w:t>(</w:t>
      </w:r>
      <w:r w:rsidR="00185520">
        <w:t>podem afetar até 1 em cada 10 pessoas</w:t>
      </w:r>
      <w:r w:rsidRPr="00913779">
        <w:t>)</w:t>
      </w:r>
      <w:r>
        <w:t>,</w:t>
      </w:r>
      <w:r w:rsidRPr="007232E4">
        <w:rPr>
          <w:b/>
        </w:rPr>
        <w:t xml:space="preserve"> </w:t>
      </w:r>
      <w:r w:rsidRPr="007232E4">
        <w:t>incluem:</w:t>
      </w:r>
    </w:p>
    <w:p w14:paraId="0501C365" w14:textId="77777777" w:rsidR="00400398" w:rsidRPr="007232E4" w:rsidRDefault="00400398" w:rsidP="00DE7916">
      <w:pPr>
        <w:keepNext/>
        <w:keepLines/>
        <w:ind w:left="567" w:right="-29" w:hanging="567"/>
      </w:pPr>
      <w:r>
        <w:rPr>
          <w:noProof/>
          <w:szCs w:val="22"/>
        </w:rPr>
        <w:sym w:font="Symbol" w:char="F0B7"/>
      </w:r>
      <w:r w:rsidRPr="007232E4">
        <w:tab/>
        <w:t>perfuração intestinal,</w:t>
      </w:r>
    </w:p>
    <w:p w14:paraId="2FB1B1F7" w14:textId="77777777" w:rsidR="00400398" w:rsidRPr="007232E4" w:rsidRDefault="00400398" w:rsidP="00DE7916">
      <w:pPr>
        <w:ind w:left="567" w:right="-29" w:hanging="567"/>
      </w:pPr>
      <w:r>
        <w:rPr>
          <w:noProof/>
          <w:szCs w:val="22"/>
        </w:rPr>
        <w:sym w:font="Symbol" w:char="F0B7"/>
      </w:r>
      <w:r w:rsidRPr="007232E4">
        <w:tab/>
        <w:t>hemorragia, incluindo hemorragia do</w:t>
      </w:r>
      <w:r>
        <w:t>s</w:t>
      </w:r>
      <w:r w:rsidRPr="007232E4">
        <w:t xml:space="preserve"> pulm</w:t>
      </w:r>
      <w:r>
        <w:t>ões</w:t>
      </w:r>
      <w:r w:rsidRPr="007232E4">
        <w:t xml:space="preserve"> em doentes com cancro do pulmão de células não pequenas,</w:t>
      </w:r>
    </w:p>
    <w:p w14:paraId="4F051404" w14:textId="77777777" w:rsidR="00400398" w:rsidRDefault="00400398" w:rsidP="00DE7916">
      <w:pPr>
        <w:ind w:left="567" w:right="-29" w:hanging="567"/>
      </w:pPr>
      <w:r>
        <w:rPr>
          <w:noProof/>
          <w:szCs w:val="22"/>
        </w:rPr>
        <w:sym w:font="Symbol" w:char="F0B7"/>
      </w:r>
      <w:r w:rsidRPr="007232E4">
        <w:tab/>
        <w:t>bloqueio de artérias por um coágulo sanguíneo,</w:t>
      </w:r>
    </w:p>
    <w:p w14:paraId="10DDBBA4" w14:textId="77777777" w:rsidR="00400398" w:rsidRPr="007232E4" w:rsidRDefault="00400398" w:rsidP="00DE7916">
      <w:pPr>
        <w:ind w:left="567" w:right="-29" w:hanging="567"/>
      </w:pPr>
      <w:r>
        <w:rPr>
          <w:noProof/>
          <w:szCs w:val="22"/>
        </w:rPr>
        <w:sym w:font="Symbol" w:char="F0B7"/>
      </w:r>
      <w:r w:rsidRPr="007232E4">
        <w:tab/>
      </w:r>
      <w:r>
        <w:t xml:space="preserve">bloqueio das veias por um coágulo sanguíneo, </w:t>
      </w:r>
    </w:p>
    <w:p w14:paraId="2574426B" w14:textId="77777777" w:rsidR="00400398" w:rsidRDefault="00400398" w:rsidP="00DE7916">
      <w:pPr>
        <w:ind w:left="567" w:right="-29" w:hanging="567"/>
      </w:pPr>
      <w:r>
        <w:rPr>
          <w:noProof/>
          <w:szCs w:val="22"/>
        </w:rPr>
        <w:sym w:font="Symbol" w:char="F0B7"/>
      </w:r>
      <w:r w:rsidRPr="007232E4">
        <w:tab/>
        <w:t>bloqueio dos vasos sanguíneos dos pulmões por um coágulo sanguíneo,</w:t>
      </w:r>
    </w:p>
    <w:p w14:paraId="7824D36A" w14:textId="77777777" w:rsidR="00400398" w:rsidRPr="007232E4" w:rsidRDefault="00400398" w:rsidP="00DE7916">
      <w:pPr>
        <w:keepNext/>
        <w:keepLines/>
        <w:ind w:left="567" w:right="-29" w:hanging="567"/>
      </w:pPr>
      <w:r>
        <w:rPr>
          <w:noProof/>
          <w:szCs w:val="22"/>
        </w:rPr>
        <w:sym w:font="Symbol" w:char="F0B7"/>
      </w:r>
      <w:r w:rsidRPr="007232E4">
        <w:tab/>
      </w:r>
      <w:r>
        <w:t>bloqueio das veias das pernas por um coágulo sanguíneo,</w:t>
      </w:r>
    </w:p>
    <w:p w14:paraId="37CF93D4" w14:textId="77777777" w:rsidR="00400398" w:rsidRPr="007232E4" w:rsidRDefault="00400398" w:rsidP="00DE7916">
      <w:pPr>
        <w:ind w:left="567" w:right="-29" w:hanging="567"/>
      </w:pPr>
      <w:r>
        <w:rPr>
          <w:noProof/>
          <w:szCs w:val="22"/>
        </w:rPr>
        <w:sym w:font="Symbol" w:char="F0B7"/>
      </w:r>
      <w:r w:rsidRPr="007232E4">
        <w:tab/>
        <w:t>insuficiência cardíaca,</w:t>
      </w:r>
    </w:p>
    <w:p w14:paraId="3166EB7B" w14:textId="77777777" w:rsidR="00400398" w:rsidRDefault="00400398" w:rsidP="00DE7916">
      <w:pPr>
        <w:ind w:left="567" w:right="-29" w:hanging="567"/>
        <w:rPr>
          <w:rFonts w:eastAsia="MS Mincho"/>
        </w:rPr>
      </w:pPr>
      <w:r>
        <w:rPr>
          <w:noProof/>
          <w:szCs w:val="22"/>
        </w:rPr>
        <w:sym w:font="Symbol" w:char="F0B7"/>
      </w:r>
      <w:r w:rsidRPr="007232E4">
        <w:tab/>
      </w:r>
      <w:r>
        <w:rPr>
          <w:rFonts w:eastAsia="MS Mincho"/>
        </w:rPr>
        <w:t>problemas de cicatrização de feridas após cirurgia,</w:t>
      </w:r>
    </w:p>
    <w:p w14:paraId="5464A1C1" w14:textId="77777777" w:rsidR="00400398" w:rsidRPr="007232E4" w:rsidRDefault="00400398" w:rsidP="00DE7916">
      <w:pPr>
        <w:keepNext/>
        <w:keepLines/>
        <w:ind w:left="567" w:right="-29" w:hanging="567"/>
      </w:pPr>
      <w:r>
        <w:rPr>
          <w:noProof/>
          <w:szCs w:val="22"/>
        </w:rPr>
        <w:sym w:font="Symbol" w:char="F0B7"/>
      </w:r>
      <w:r w:rsidRPr="007232E4">
        <w:tab/>
      </w:r>
      <w:r>
        <w:t>vermelhidão, descamação, sensibilidade ao toque, dor ou formação de bolhas nos dedos ou pés,</w:t>
      </w:r>
    </w:p>
    <w:p w14:paraId="339E3B50" w14:textId="77777777" w:rsidR="00400398" w:rsidRPr="007232E4" w:rsidRDefault="00400398" w:rsidP="00DE7916">
      <w:pPr>
        <w:ind w:left="567" w:right="-29" w:hanging="567"/>
      </w:pPr>
      <w:r>
        <w:rPr>
          <w:noProof/>
          <w:szCs w:val="22"/>
        </w:rPr>
        <w:sym w:font="Symbol" w:char="F0B7"/>
      </w:r>
      <w:r w:rsidRPr="007232E4">
        <w:tab/>
        <w:t>diminuição do número de glóbulos vermelhos no sangue,</w:t>
      </w:r>
    </w:p>
    <w:p w14:paraId="58562981" w14:textId="77777777" w:rsidR="00400398" w:rsidRPr="007232E4" w:rsidRDefault="00400398" w:rsidP="00DE7916">
      <w:pPr>
        <w:ind w:left="567" w:right="-29" w:hanging="567"/>
      </w:pPr>
      <w:r>
        <w:rPr>
          <w:noProof/>
          <w:szCs w:val="22"/>
        </w:rPr>
        <w:sym w:font="Symbol" w:char="F0B7"/>
      </w:r>
      <w:r w:rsidRPr="007232E4">
        <w:tab/>
        <w:t>falta de energia,</w:t>
      </w:r>
    </w:p>
    <w:p w14:paraId="7C83119A" w14:textId="77777777" w:rsidR="00400398" w:rsidRPr="007232E4" w:rsidRDefault="00400398" w:rsidP="00DE7916">
      <w:pPr>
        <w:keepNext/>
        <w:keepLines/>
        <w:ind w:left="567" w:right="-29" w:hanging="567"/>
      </w:pPr>
      <w:r>
        <w:rPr>
          <w:noProof/>
          <w:szCs w:val="22"/>
        </w:rPr>
        <w:sym w:font="Symbol" w:char="F0B7"/>
      </w:r>
      <w:r w:rsidRPr="007232E4">
        <w:tab/>
      </w:r>
      <w:r>
        <w:t>afeções intestinais e do estômago,</w:t>
      </w:r>
    </w:p>
    <w:p w14:paraId="4B4735AF" w14:textId="77777777" w:rsidR="00400398" w:rsidRPr="007232E4" w:rsidRDefault="00400398" w:rsidP="00DE7916">
      <w:pPr>
        <w:ind w:left="567" w:right="-29" w:hanging="567"/>
      </w:pPr>
      <w:r>
        <w:rPr>
          <w:noProof/>
          <w:szCs w:val="22"/>
        </w:rPr>
        <w:sym w:font="Symbol" w:char="F0B7"/>
      </w:r>
      <w:r w:rsidRPr="007232E4">
        <w:tab/>
        <w:t>dor muscular e nas articulações,</w:t>
      </w:r>
      <w:r>
        <w:t xml:space="preserve"> fraqueza muscular,</w:t>
      </w:r>
    </w:p>
    <w:p w14:paraId="05E3546B" w14:textId="77777777" w:rsidR="00400398" w:rsidRPr="007232E4" w:rsidRDefault="00400398" w:rsidP="00DE7916">
      <w:pPr>
        <w:ind w:left="567" w:right="-29" w:hanging="567"/>
      </w:pPr>
      <w:r>
        <w:rPr>
          <w:noProof/>
          <w:szCs w:val="22"/>
        </w:rPr>
        <w:sym w:font="Symbol" w:char="F0B7"/>
      </w:r>
      <w:r w:rsidRPr="007232E4">
        <w:tab/>
        <w:t>boca seca associada a sede e/ou diminuição do volume ou escurecimento da urina,</w:t>
      </w:r>
    </w:p>
    <w:p w14:paraId="7D2A382D" w14:textId="77777777" w:rsidR="00400398" w:rsidRPr="007232E4" w:rsidRDefault="00400398" w:rsidP="00DE7916">
      <w:pPr>
        <w:ind w:left="567" w:right="-29" w:hanging="567"/>
      </w:pPr>
      <w:r>
        <w:rPr>
          <w:noProof/>
          <w:szCs w:val="22"/>
        </w:rPr>
        <w:sym w:font="Symbol" w:char="F0B7"/>
      </w:r>
      <w:r w:rsidRPr="007232E4">
        <w:tab/>
        <w:t xml:space="preserve">inflamação do </w:t>
      </w:r>
      <w:r w:rsidRPr="0005444C">
        <w:t>revestimento</w:t>
      </w:r>
      <w:r w:rsidRPr="00913779">
        <w:t xml:space="preserve"> húmido</w:t>
      </w:r>
      <w:r w:rsidRPr="0005444C">
        <w:t xml:space="preserve"> interior</w:t>
      </w:r>
      <w:r w:rsidRPr="007232E4">
        <w:t xml:space="preserve"> da boca</w:t>
      </w:r>
      <w:r>
        <w:t xml:space="preserve"> e do intestino</w:t>
      </w:r>
      <w:r w:rsidRPr="007232E4">
        <w:t>,</w:t>
      </w:r>
      <w:r>
        <w:t xml:space="preserve"> pulmões e passagens de ar, tratos reprodutor e urinário,</w:t>
      </w:r>
    </w:p>
    <w:p w14:paraId="57BA1619" w14:textId="77777777" w:rsidR="00400398" w:rsidRDefault="00400398" w:rsidP="00DE7916">
      <w:pPr>
        <w:ind w:left="567" w:right="-29" w:hanging="567"/>
      </w:pPr>
      <w:r>
        <w:rPr>
          <w:noProof/>
          <w:szCs w:val="22"/>
        </w:rPr>
        <w:sym w:font="Symbol" w:char="F0B7"/>
      </w:r>
      <w:r w:rsidRPr="007232E4">
        <w:tab/>
      </w:r>
      <w:r>
        <w:t>feridas na boca e no tubo da boca até ao estômago, que poderão ser dolorosas e causar dificuldade em engolir,</w:t>
      </w:r>
    </w:p>
    <w:p w14:paraId="18EEB1C0" w14:textId="77777777" w:rsidR="00400398" w:rsidRPr="00E57E7F" w:rsidRDefault="00400398" w:rsidP="00DE7916">
      <w:pPr>
        <w:ind w:left="574" w:right="-29" w:hanging="574"/>
      </w:pPr>
      <w:r>
        <w:rPr>
          <w:noProof/>
          <w:szCs w:val="22"/>
        </w:rPr>
        <w:sym w:font="Symbol" w:char="F0B7"/>
      </w:r>
      <w:r w:rsidRPr="007232E4">
        <w:tab/>
        <w:t>dor, incluindo dor de cabeça,</w:t>
      </w:r>
      <w:r>
        <w:t xml:space="preserve"> dor de costas e dor na pélvis e região anal,</w:t>
      </w:r>
    </w:p>
    <w:p w14:paraId="1825BF1C" w14:textId="77777777" w:rsidR="00400398" w:rsidRPr="007232E4" w:rsidRDefault="00400398" w:rsidP="00DE7916">
      <w:pPr>
        <w:ind w:left="567" w:right="-29" w:hanging="567"/>
      </w:pPr>
      <w:r>
        <w:rPr>
          <w:noProof/>
          <w:szCs w:val="22"/>
        </w:rPr>
        <w:sym w:font="Symbol" w:char="F0B7"/>
      </w:r>
      <w:r w:rsidRPr="007232E4">
        <w:tab/>
        <w:t>acumulação localizada de pus,</w:t>
      </w:r>
    </w:p>
    <w:p w14:paraId="7B215D06" w14:textId="77777777" w:rsidR="00400398" w:rsidRPr="007232E4" w:rsidRDefault="00400398" w:rsidP="00DE7916">
      <w:pPr>
        <w:ind w:left="567" w:right="-29" w:hanging="567"/>
      </w:pPr>
      <w:r>
        <w:rPr>
          <w:noProof/>
          <w:szCs w:val="22"/>
        </w:rPr>
        <w:sym w:font="Symbol" w:char="F0B7"/>
      </w:r>
      <w:r w:rsidRPr="007232E4">
        <w:tab/>
        <w:t>infeção, em particular infeção no sangue ou na bexiga,</w:t>
      </w:r>
    </w:p>
    <w:p w14:paraId="49FAB6CD" w14:textId="77777777" w:rsidR="00400398" w:rsidRPr="007232E4" w:rsidRDefault="00400398" w:rsidP="00DE7916">
      <w:pPr>
        <w:ind w:left="567" w:right="-29" w:hanging="567"/>
      </w:pPr>
      <w:r>
        <w:rPr>
          <w:noProof/>
          <w:szCs w:val="22"/>
        </w:rPr>
        <w:lastRenderedPageBreak/>
        <w:sym w:font="Symbol" w:char="F0B7"/>
      </w:r>
      <w:r w:rsidRPr="007232E4">
        <w:tab/>
        <w:t>redução da circulação de sangue no cérebro ou acidente vascular cerebral,</w:t>
      </w:r>
    </w:p>
    <w:p w14:paraId="3243A79F" w14:textId="77777777" w:rsidR="00400398" w:rsidRPr="00C82494" w:rsidRDefault="00400398" w:rsidP="00DE7916">
      <w:pPr>
        <w:ind w:left="567" w:right="-29" w:hanging="567"/>
        <w:rPr>
          <w:noProof/>
        </w:rPr>
      </w:pPr>
      <w:r>
        <w:rPr>
          <w:noProof/>
          <w:szCs w:val="22"/>
        </w:rPr>
        <w:sym w:font="Symbol" w:char="F0B7"/>
      </w:r>
      <w:r>
        <w:rPr>
          <w:noProof/>
        </w:rPr>
        <w:tab/>
      </w:r>
      <w:r w:rsidRPr="00C82494">
        <w:rPr>
          <w:noProof/>
        </w:rPr>
        <w:t>sonolência,</w:t>
      </w:r>
    </w:p>
    <w:p w14:paraId="68824DBC" w14:textId="77777777" w:rsidR="00400398" w:rsidRPr="007232E4" w:rsidRDefault="00400398" w:rsidP="00DE7916">
      <w:pPr>
        <w:ind w:right="-29"/>
      </w:pPr>
      <w:r>
        <w:rPr>
          <w:noProof/>
          <w:szCs w:val="22"/>
        </w:rPr>
        <w:sym w:font="Symbol" w:char="F0B7"/>
      </w:r>
      <w:r w:rsidRPr="007232E4">
        <w:tab/>
        <w:t>hemorragia nasal,</w:t>
      </w:r>
    </w:p>
    <w:p w14:paraId="69ED105E" w14:textId="77777777" w:rsidR="00400398" w:rsidRPr="007232E4" w:rsidRDefault="00400398" w:rsidP="00DE7916">
      <w:pPr>
        <w:ind w:left="567" w:right="-29" w:hanging="567"/>
      </w:pPr>
      <w:r>
        <w:rPr>
          <w:noProof/>
          <w:szCs w:val="22"/>
        </w:rPr>
        <w:sym w:font="Symbol" w:char="F0B7"/>
      </w:r>
      <w:r w:rsidRPr="007232E4">
        <w:tab/>
        <w:t>aumento do ritmo cardíaco (pulso),</w:t>
      </w:r>
    </w:p>
    <w:p w14:paraId="4699D5A4" w14:textId="77777777" w:rsidR="00400398" w:rsidRPr="007232E4" w:rsidRDefault="00400398" w:rsidP="00DE7916">
      <w:pPr>
        <w:ind w:left="567" w:right="-29" w:hanging="567"/>
      </w:pPr>
      <w:r>
        <w:rPr>
          <w:noProof/>
          <w:szCs w:val="22"/>
        </w:rPr>
        <w:sym w:font="Symbol" w:char="F0B7"/>
      </w:r>
      <w:r w:rsidRPr="007232E4">
        <w:tab/>
        <w:t>obstrução no intestino,</w:t>
      </w:r>
    </w:p>
    <w:p w14:paraId="16A5D936" w14:textId="77777777" w:rsidR="00400398" w:rsidRPr="007232E4" w:rsidRDefault="00400398" w:rsidP="00DE7916">
      <w:pPr>
        <w:ind w:left="567" w:right="-29" w:hanging="567"/>
      </w:pPr>
      <w:r>
        <w:rPr>
          <w:noProof/>
          <w:szCs w:val="22"/>
        </w:rPr>
        <w:sym w:font="Symbol" w:char="F0B7"/>
      </w:r>
      <w:r w:rsidRPr="007232E4">
        <w:tab/>
        <w:t>resultados anormais no teste da urina (proteínas na urina),</w:t>
      </w:r>
    </w:p>
    <w:p w14:paraId="738A9DEB" w14:textId="77777777" w:rsidR="00400398" w:rsidRPr="007232E4" w:rsidRDefault="00400398" w:rsidP="00DE7916">
      <w:pPr>
        <w:ind w:right="-29"/>
      </w:pPr>
      <w:r>
        <w:rPr>
          <w:noProof/>
          <w:szCs w:val="22"/>
        </w:rPr>
        <w:sym w:font="Symbol" w:char="F0B7"/>
      </w:r>
      <w:r w:rsidRPr="007232E4">
        <w:tab/>
        <w:t>dificuldades respiratórias ou baixos níveis de oxigénio no sangue</w:t>
      </w:r>
      <w:r>
        <w:t>,</w:t>
      </w:r>
    </w:p>
    <w:p w14:paraId="27D92E25" w14:textId="77777777" w:rsidR="00400398" w:rsidRDefault="00400398" w:rsidP="009C779C">
      <w:pPr>
        <w:ind w:left="567" w:right="-28" w:hanging="567"/>
      </w:pPr>
      <w:r w:rsidRPr="007232E4">
        <w:rPr>
          <w:sz w:val="32"/>
          <w:szCs w:val="32"/>
        </w:rPr>
        <w:t>•</w:t>
      </w:r>
      <w:r>
        <w:rPr>
          <w:sz w:val="32"/>
          <w:szCs w:val="32"/>
        </w:rPr>
        <w:tab/>
      </w:r>
      <w:r>
        <w:t>i</w:t>
      </w:r>
      <w:r w:rsidRPr="005124FA">
        <w:t>nfeções</w:t>
      </w:r>
      <w:r w:rsidRPr="002D12ED">
        <w:t xml:space="preserve"> da pele ou camadas mais pro</w:t>
      </w:r>
      <w:r w:rsidRPr="00C876C5">
        <w:t xml:space="preserve">fundas debaixo da pele, </w:t>
      </w:r>
    </w:p>
    <w:p w14:paraId="51CBF8F6" w14:textId="77777777" w:rsidR="00400398" w:rsidRDefault="00400398" w:rsidP="009C779C">
      <w:pPr>
        <w:ind w:left="567" w:right="-28" w:hanging="567"/>
      </w:pPr>
      <w:r w:rsidRPr="007232E4">
        <w:rPr>
          <w:sz w:val="32"/>
          <w:szCs w:val="32"/>
        </w:rPr>
        <w:t>•</w:t>
      </w:r>
      <w:r>
        <w:rPr>
          <w:sz w:val="32"/>
          <w:szCs w:val="32"/>
        </w:rPr>
        <w:tab/>
      </w:r>
      <w:r w:rsidRPr="00C82494">
        <w:rPr>
          <w:szCs w:val="22"/>
        </w:rPr>
        <w:t xml:space="preserve">fístula: </w:t>
      </w:r>
      <w:r w:rsidRPr="00CA4C72">
        <w:t xml:space="preserve">uma ligação anormal, em forma de tubo, entre órgãos internos e a pele ou outros tecidos que não </w:t>
      </w:r>
      <w:r>
        <w:t>estão</w:t>
      </w:r>
      <w:r w:rsidRPr="00CA4C72">
        <w:t xml:space="preserve"> normalmente ligados, incluindo ligações entre a vagina e o intestino em doentes com cancro do colo do útero.</w:t>
      </w:r>
    </w:p>
    <w:p w14:paraId="191AE610" w14:textId="77777777" w:rsidR="00185520" w:rsidRDefault="00185520" w:rsidP="00185520">
      <w:pPr>
        <w:ind w:left="567" w:right="-29" w:hanging="567"/>
      </w:pPr>
      <w:r>
        <w:rPr>
          <w:szCs w:val="22"/>
        </w:rPr>
        <w:sym w:font="Symbol" w:char="F0B7"/>
      </w:r>
      <w:r>
        <w:tab/>
        <w:t xml:space="preserve">reações alérgicas (os sinais podem incluir dificuldade em respirar, vermelhidão da face, erupção da pele, </w:t>
      </w:r>
      <w:r>
        <w:rPr>
          <w:rFonts w:eastAsia="MS Mincho"/>
          <w:szCs w:val="22"/>
        </w:rPr>
        <w:t>tensão</w:t>
      </w:r>
      <w:r>
        <w:t xml:space="preserve"> arterial baixa ou </w:t>
      </w:r>
      <w:r>
        <w:rPr>
          <w:rFonts w:eastAsia="MS Mincho"/>
          <w:szCs w:val="22"/>
        </w:rPr>
        <w:t>tensão</w:t>
      </w:r>
      <w:r>
        <w:t xml:space="preserve"> arterial elevada, oxigénio baixo no seu sangue, dor torácica, ou náuseas/vómitos).</w:t>
      </w:r>
    </w:p>
    <w:p w14:paraId="37F8AE7B" w14:textId="77777777" w:rsidR="00185520" w:rsidRDefault="00185520" w:rsidP="00185520">
      <w:pPr>
        <w:numPr>
          <w:ilvl w:val="12"/>
          <w:numId w:val="0"/>
        </w:numPr>
        <w:ind w:right="-29"/>
      </w:pPr>
    </w:p>
    <w:p w14:paraId="5A4A8723" w14:textId="77777777" w:rsidR="00185520" w:rsidRDefault="00185520" w:rsidP="00185520">
      <w:pPr>
        <w:keepNext/>
        <w:keepLines/>
        <w:ind w:right="-29"/>
      </w:pPr>
      <w:r>
        <w:t xml:space="preserve">Efeitos indesejáveis graves, que podem ser </w:t>
      </w:r>
      <w:r>
        <w:rPr>
          <w:b/>
        </w:rPr>
        <w:t xml:space="preserve">raros </w:t>
      </w:r>
      <w:r>
        <w:t>(podem afetar até 1 em cada 1000 pessoas),</w:t>
      </w:r>
      <w:r>
        <w:rPr>
          <w:b/>
        </w:rPr>
        <w:t xml:space="preserve"> </w:t>
      </w:r>
      <w:r>
        <w:t>incluem:</w:t>
      </w:r>
    </w:p>
    <w:p w14:paraId="782F3D7A" w14:textId="77777777" w:rsidR="00185520" w:rsidRDefault="00185520" w:rsidP="00185520">
      <w:pPr>
        <w:keepNext/>
        <w:keepLines/>
        <w:numPr>
          <w:ilvl w:val="12"/>
          <w:numId w:val="0"/>
        </w:numPr>
        <w:ind w:left="567" w:right="-28" w:hanging="567"/>
        <w:outlineLvl w:val="0"/>
      </w:pPr>
      <w:r>
        <w:rPr>
          <w:szCs w:val="22"/>
        </w:rPr>
        <w:sym w:font="Symbol" w:char="F0B7"/>
      </w:r>
      <w:r>
        <w:tab/>
        <w:t xml:space="preserve">reação alérgica grave e súbita, com dificuldade </w:t>
      </w:r>
      <w:r>
        <w:rPr>
          <w:szCs w:val="22"/>
        </w:rPr>
        <w:t>em respirar, tumefação, atordoamento</w:t>
      </w:r>
      <w:r>
        <w:t xml:space="preserve">, </w:t>
      </w:r>
      <w:r>
        <w:rPr>
          <w:szCs w:val="22"/>
        </w:rPr>
        <w:t>batimento cardíaco rápido, sudorese e perda de consciência (choque anafilático).</w:t>
      </w:r>
    </w:p>
    <w:p w14:paraId="47566383" w14:textId="77777777" w:rsidR="00400398" w:rsidRPr="007232E4" w:rsidRDefault="00400398" w:rsidP="00DE7916">
      <w:pPr>
        <w:numPr>
          <w:ilvl w:val="12"/>
          <w:numId w:val="0"/>
        </w:numPr>
        <w:ind w:right="-29"/>
      </w:pPr>
    </w:p>
    <w:p w14:paraId="58346B89" w14:textId="77777777" w:rsidR="00400398" w:rsidRDefault="00400398" w:rsidP="00DE7916">
      <w:pPr>
        <w:numPr>
          <w:ilvl w:val="12"/>
          <w:numId w:val="0"/>
        </w:numPr>
        <w:ind w:right="-29"/>
      </w:pPr>
      <w:r>
        <w:t xml:space="preserve">Efeitos </w:t>
      </w:r>
      <w:r w:rsidR="00171A40">
        <w:t xml:space="preserve">indesejáveis </w:t>
      </w:r>
      <w:r>
        <w:t xml:space="preserve">graves de frequência </w:t>
      </w:r>
      <w:r w:rsidRPr="00913779">
        <w:rPr>
          <w:b/>
        </w:rPr>
        <w:t>desconhecida</w:t>
      </w:r>
      <w:r>
        <w:rPr>
          <w:b/>
        </w:rPr>
        <w:t xml:space="preserve"> </w:t>
      </w:r>
      <w:r w:rsidRPr="00913779">
        <w:t>(a frequência não pode ser calculada a partir dos dados disponíveis)</w:t>
      </w:r>
      <w:r>
        <w:t xml:space="preserve"> incluem:</w:t>
      </w:r>
    </w:p>
    <w:p w14:paraId="6E0E4387" w14:textId="77777777" w:rsidR="00400398" w:rsidRPr="00A8405C" w:rsidRDefault="00400398" w:rsidP="00DE7916">
      <w:pPr>
        <w:ind w:left="567" w:right="-284" w:hanging="567"/>
      </w:pPr>
      <w:r>
        <w:rPr>
          <w:noProof/>
          <w:szCs w:val="22"/>
        </w:rPr>
        <w:sym w:font="Symbol" w:char="F0B7"/>
      </w:r>
      <w:r w:rsidRPr="007232E4">
        <w:tab/>
      </w:r>
      <w:r>
        <w:t>infeções graves da pele ou em camadas profundas debaixo da pele, especialmente se tinha perfurações na parede do intestino ou problemas de cicatrização de feridas,</w:t>
      </w:r>
    </w:p>
    <w:p w14:paraId="34418D4D" w14:textId="77777777" w:rsidR="00400398" w:rsidRDefault="00400398" w:rsidP="00DE7916">
      <w:pPr>
        <w:ind w:left="567" w:right="-28" w:hanging="567"/>
      </w:pPr>
      <w:r>
        <w:rPr>
          <w:noProof/>
          <w:szCs w:val="22"/>
        </w:rPr>
        <w:sym w:font="Symbol" w:char="F0B7"/>
      </w:r>
      <w:r w:rsidRPr="007232E4">
        <w:tab/>
      </w:r>
      <w:r w:rsidRPr="003712EF">
        <w:t>um efeito negativo na capaci</w:t>
      </w:r>
      <w:r w:rsidRPr="009D783B">
        <w:t xml:space="preserve">dade das mulheres </w:t>
      </w:r>
      <w:r w:rsidRPr="003627FA">
        <w:t xml:space="preserve">em ter filhos (ver </w:t>
      </w:r>
      <w:r>
        <w:t xml:space="preserve">nos parágrafos </w:t>
      </w:r>
      <w:r w:rsidRPr="003627FA">
        <w:t>abaixo</w:t>
      </w:r>
      <w:r>
        <w:t xml:space="preserve"> a lista de</w:t>
      </w:r>
      <w:r w:rsidRPr="003627FA">
        <w:t xml:space="preserve"> recomendações adicionais)</w:t>
      </w:r>
      <w:r>
        <w:t xml:space="preserve">, </w:t>
      </w:r>
    </w:p>
    <w:p w14:paraId="51D6952B" w14:textId="77777777" w:rsidR="00400398" w:rsidRDefault="00400398" w:rsidP="00DE7916">
      <w:pPr>
        <w:ind w:left="567" w:right="-29" w:hanging="567"/>
      </w:pPr>
      <w:r w:rsidRPr="00913779">
        <w:rPr>
          <w:szCs w:val="22"/>
        </w:rPr>
        <w:sym w:font="Symbol" w:char="F0B7"/>
      </w:r>
      <w:r w:rsidRPr="007232E4">
        <w:tab/>
      </w:r>
      <w:r>
        <w:t>uma condição no cérebro com sintomas que incluem convulsões (ataques), dor de cabeça, confusão e alterações na visão (Síndrome de Encefalopatia Posterior Reversível ou SEPR),</w:t>
      </w:r>
    </w:p>
    <w:p w14:paraId="3025766D" w14:textId="77777777" w:rsidR="00400398" w:rsidRDefault="00400398" w:rsidP="00DE7916">
      <w:pPr>
        <w:tabs>
          <w:tab w:val="left" w:pos="567"/>
        </w:tabs>
        <w:ind w:left="567" w:right="-29" w:hanging="567"/>
      </w:pPr>
      <w:r w:rsidRPr="00913779">
        <w:rPr>
          <w:szCs w:val="22"/>
        </w:rPr>
        <w:sym w:font="Symbol" w:char="F0B7"/>
      </w:r>
      <w:r w:rsidRPr="007232E4">
        <w:tab/>
      </w:r>
      <w:r>
        <w:t xml:space="preserve">sintomas que sugerem alterações na função normal do cérebro (dores de cabeça, alterações da visão, confusão, ou convulsões) e </w:t>
      </w:r>
      <w:r>
        <w:rPr>
          <w:rFonts w:eastAsia="MS Mincho"/>
          <w:szCs w:val="22"/>
        </w:rPr>
        <w:t>tens</w:t>
      </w:r>
      <w:r w:rsidRPr="007232E4">
        <w:rPr>
          <w:rFonts w:eastAsia="MS Mincho"/>
          <w:szCs w:val="22"/>
        </w:rPr>
        <w:t>ão</w:t>
      </w:r>
      <w:r>
        <w:t xml:space="preserve"> arterial elevada,</w:t>
      </w:r>
    </w:p>
    <w:p w14:paraId="283D0B57" w14:textId="77777777" w:rsidR="00E7325C" w:rsidRPr="0005444C" w:rsidRDefault="00E7325C" w:rsidP="004D491C">
      <w:pPr>
        <w:tabs>
          <w:tab w:val="left" w:pos="567"/>
        </w:tabs>
        <w:ind w:left="567" w:right="-29" w:hanging="567"/>
      </w:pPr>
      <w:r w:rsidRPr="00913779">
        <w:rPr>
          <w:szCs w:val="22"/>
        </w:rPr>
        <w:sym w:font="Symbol" w:char="F0B7"/>
      </w:r>
      <w:r w:rsidRPr="007232E4">
        <w:tab/>
      </w:r>
      <w:r w:rsidR="004D491C">
        <w:t>u</w:t>
      </w:r>
      <w:r w:rsidR="004D491C" w:rsidRPr="004D491C">
        <w:t>ma dilatação ou enfraquecimento da parede de um vaso sanguíneo ou uma rotura da parede de um vaso sanguíneo (aneurismas e dissecções das artérias).</w:t>
      </w:r>
    </w:p>
    <w:p w14:paraId="48E8D6FB" w14:textId="77777777" w:rsidR="00400398" w:rsidRPr="006932C8" w:rsidRDefault="00400398" w:rsidP="00DE7916">
      <w:pPr>
        <w:ind w:left="567" w:right="-29" w:hanging="567"/>
      </w:pPr>
      <w:r w:rsidRPr="00913779">
        <w:rPr>
          <w:szCs w:val="22"/>
        </w:rPr>
        <w:sym w:font="Symbol" w:char="F0B7"/>
      </w:r>
      <w:r w:rsidRPr="007232E4">
        <w:tab/>
      </w:r>
      <w:r w:rsidRPr="0005444C">
        <w:t>bloqueio de vaso</w:t>
      </w:r>
      <w:r>
        <w:t>s sanguíneos muito pequenos no rim</w:t>
      </w:r>
      <w:r w:rsidRPr="006932C8">
        <w:t>,</w:t>
      </w:r>
    </w:p>
    <w:p w14:paraId="278C34E0" w14:textId="77777777" w:rsidR="00400398" w:rsidRPr="003627FA" w:rsidRDefault="00400398" w:rsidP="00DE7916">
      <w:pPr>
        <w:ind w:left="567" w:right="-29" w:hanging="567"/>
      </w:pPr>
      <w:r w:rsidRPr="00913779">
        <w:rPr>
          <w:szCs w:val="22"/>
        </w:rPr>
        <w:sym w:font="Symbol" w:char="F0B7"/>
      </w:r>
      <w:r w:rsidRPr="007232E4">
        <w:tab/>
      </w:r>
      <w:r>
        <w:rPr>
          <w:rFonts w:eastAsia="MS Mincho"/>
          <w:szCs w:val="22"/>
        </w:rPr>
        <w:t>tens</w:t>
      </w:r>
      <w:r w:rsidRPr="007232E4">
        <w:rPr>
          <w:rFonts w:eastAsia="MS Mincho"/>
          <w:szCs w:val="22"/>
        </w:rPr>
        <w:t>ão</w:t>
      </w:r>
      <w:r w:rsidRPr="006932C8">
        <w:t xml:space="preserve"> arterial anormalmente elevada nos vasos sanguíneos dos pulmões que faz com que o lado direito do </w:t>
      </w:r>
      <w:r w:rsidRPr="004D0E83">
        <w:t>coraç</w:t>
      </w:r>
      <w:r w:rsidRPr="003712EF">
        <w:t>ão trabalhe mais do que o normal</w:t>
      </w:r>
      <w:r w:rsidRPr="009D783B">
        <w:t>,</w:t>
      </w:r>
    </w:p>
    <w:p w14:paraId="48D5391C" w14:textId="77777777" w:rsidR="00400398" w:rsidRDefault="00400398" w:rsidP="00DE7916">
      <w:pPr>
        <w:ind w:left="567" w:right="-29" w:hanging="567"/>
      </w:pPr>
      <w:r>
        <w:rPr>
          <w:noProof/>
          <w:szCs w:val="22"/>
        </w:rPr>
        <w:sym w:font="Symbol" w:char="F0B7"/>
      </w:r>
      <w:r w:rsidRPr="007232E4">
        <w:tab/>
      </w:r>
      <w:r>
        <w:t>uma perfuração na parede de cartilagem que separa as narinas,</w:t>
      </w:r>
    </w:p>
    <w:p w14:paraId="36FCC8CE" w14:textId="77777777" w:rsidR="00400398" w:rsidRDefault="00400398" w:rsidP="00DE7916">
      <w:pPr>
        <w:ind w:left="567" w:right="-28" w:hanging="567"/>
      </w:pPr>
      <w:r>
        <w:rPr>
          <w:noProof/>
          <w:szCs w:val="22"/>
        </w:rPr>
        <w:sym w:font="Symbol" w:char="F0B7"/>
      </w:r>
      <w:r w:rsidRPr="007232E4">
        <w:tab/>
      </w:r>
      <w:r>
        <w:t>uma perfuração no estômago ou nos intestinos,</w:t>
      </w:r>
    </w:p>
    <w:p w14:paraId="1AB05450" w14:textId="77777777" w:rsidR="00400398" w:rsidRDefault="00400398" w:rsidP="00DE7916">
      <w:pPr>
        <w:ind w:left="567" w:right="-29" w:hanging="567"/>
      </w:pPr>
      <w:r w:rsidRPr="00913779">
        <w:rPr>
          <w:szCs w:val="22"/>
        </w:rPr>
        <w:sym w:font="Symbol" w:char="F0B7"/>
      </w:r>
      <w:r w:rsidRPr="007232E4">
        <w:tab/>
      </w:r>
      <w:r>
        <w:t xml:space="preserve">uma </w:t>
      </w:r>
      <w:r w:rsidRPr="00695507">
        <w:t>fe</w:t>
      </w:r>
      <w:r w:rsidRPr="00B33CA5">
        <w:t>rida</w:t>
      </w:r>
      <w:r>
        <w:t xml:space="preserve"> aberta</w:t>
      </w:r>
      <w:r w:rsidRPr="00B33CA5">
        <w:t xml:space="preserve"> ou perfuração no revestimento do est</w:t>
      </w:r>
      <w:r w:rsidRPr="00BB202E">
        <w:t>ômago ou intestino delgado (</w:t>
      </w:r>
      <w:r w:rsidRPr="00AE6AF8">
        <w:t xml:space="preserve">os sinais podem incluir dor abdominal, </w:t>
      </w:r>
      <w:r w:rsidRPr="006028C6">
        <w:t>sensação de enfa</w:t>
      </w:r>
      <w:r>
        <w:t>r</w:t>
      </w:r>
      <w:r w:rsidRPr="006028C6">
        <w:t>ta</w:t>
      </w:r>
      <w:r w:rsidRPr="000416C1">
        <w:t xml:space="preserve">mento, fezes negras cor de alcatrão ou sangue nas fezes ou sangue no </w:t>
      </w:r>
      <w:r>
        <w:t xml:space="preserve">seu </w:t>
      </w:r>
      <w:r w:rsidRPr="000416C1">
        <w:t>v</w:t>
      </w:r>
      <w:r w:rsidRPr="00A770CB">
        <w:t>ómito</w:t>
      </w:r>
      <w:r w:rsidRPr="00A86646">
        <w:t>)</w:t>
      </w:r>
      <w:r>
        <w:t>,</w:t>
      </w:r>
    </w:p>
    <w:p w14:paraId="799F53DB" w14:textId="77777777" w:rsidR="00400398" w:rsidRPr="00526E0A" w:rsidRDefault="00400398" w:rsidP="00DE7916">
      <w:pPr>
        <w:ind w:left="567" w:right="-29" w:hanging="567"/>
      </w:pPr>
      <w:r w:rsidRPr="00893ED0">
        <w:rPr>
          <w:szCs w:val="22"/>
        </w:rPr>
        <w:sym w:font="Symbol" w:char="F0B7"/>
      </w:r>
      <w:r w:rsidRPr="007232E4">
        <w:tab/>
      </w:r>
      <w:r w:rsidRPr="006932C8">
        <w:t>hemorragia na parte inferior do intestino gross</w:t>
      </w:r>
      <w:r w:rsidRPr="004D0E83">
        <w:t>o</w:t>
      </w:r>
      <w:r>
        <w:t>,</w:t>
      </w:r>
    </w:p>
    <w:p w14:paraId="7060EDBE" w14:textId="77777777" w:rsidR="00400398" w:rsidRPr="007662B6" w:rsidRDefault="00400398" w:rsidP="00DE7916">
      <w:pPr>
        <w:ind w:left="567" w:right="-29" w:hanging="567"/>
      </w:pPr>
      <w:r w:rsidRPr="00893ED0">
        <w:rPr>
          <w:szCs w:val="22"/>
        </w:rPr>
        <w:sym w:font="Symbol" w:char="F0B7"/>
      </w:r>
      <w:r w:rsidRPr="007232E4">
        <w:tab/>
      </w:r>
      <w:r w:rsidRPr="004426B2">
        <w:t>lesões nas gengivas com exposição do osso da mand</w:t>
      </w:r>
      <w:r w:rsidRPr="00E1171A">
        <w:t xml:space="preserve">íbula que não </w:t>
      </w:r>
      <w:r w:rsidR="006B61BB">
        <w:t>cicatrizam</w:t>
      </w:r>
      <w:r w:rsidRPr="00E1171A">
        <w:t xml:space="preserve"> e pode</w:t>
      </w:r>
      <w:r w:rsidR="00C54EA4">
        <w:t>m</w:t>
      </w:r>
      <w:r w:rsidRPr="00E1171A">
        <w:t xml:space="preserve"> estar associad</w:t>
      </w:r>
      <w:r w:rsidR="00C54EA4">
        <w:t>a</w:t>
      </w:r>
      <w:r w:rsidR="007B5884">
        <w:t>s</w:t>
      </w:r>
      <w:r w:rsidRPr="00E1171A">
        <w:t xml:space="preserve"> a dor e inflamação </w:t>
      </w:r>
      <w:r w:rsidRPr="007662B6">
        <w:t>do tecido circundante (</w:t>
      </w:r>
      <w:r>
        <w:t xml:space="preserve">ver nos parágrafos abaixo a lista de efeitos </w:t>
      </w:r>
      <w:r w:rsidR="00171A40">
        <w:t xml:space="preserve">indesejáveis </w:t>
      </w:r>
      <w:r>
        <w:t>para</w:t>
      </w:r>
      <w:r w:rsidRPr="007662B6">
        <w:t xml:space="preserve"> recomendações adicionais),</w:t>
      </w:r>
    </w:p>
    <w:p w14:paraId="518D9586" w14:textId="77777777" w:rsidR="00400398" w:rsidRDefault="00400398" w:rsidP="00DE7916">
      <w:pPr>
        <w:ind w:left="567" w:right="-29" w:hanging="567"/>
      </w:pPr>
      <w:r w:rsidRPr="00913779">
        <w:rPr>
          <w:szCs w:val="22"/>
        </w:rPr>
        <w:sym w:font="Symbol" w:char="F0B7"/>
      </w:r>
      <w:r>
        <w:tab/>
      </w:r>
      <w:r w:rsidRPr="00A45F53">
        <w:t>perfuração</w:t>
      </w:r>
      <w:r w:rsidRPr="00695507">
        <w:t xml:space="preserve"> </w:t>
      </w:r>
      <w:r w:rsidRPr="00A45F53">
        <w:t xml:space="preserve">na </w:t>
      </w:r>
      <w:r w:rsidR="00BC154B">
        <w:t>vesícula biliar</w:t>
      </w:r>
      <w:r w:rsidRPr="00A45F53">
        <w:t xml:space="preserve"> (</w:t>
      </w:r>
      <w:r w:rsidRPr="00695507">
        <w:t xml:space="preserve">os sintomas e sinais podem </w:t>
      </w:r>
      <w:r w:rsidRPr="00B33CA5">
        <w:t>incluir dor abdominal, febre, e náusea/vómitos</w:t>
      </w:r>
      <w:r w:rsidRPr="00A45F53">
        <w:t>)</w:t>
      </w:r>
      <w:r>
        <w:t>.</w:t>
      </w:r>
    </w:p>
    <w:p w14:paraId="3FAE0721" w14:textId="77777777" w:rsidR="00400398" w:rsidRDefault="00400398" w:rsidP="00DE7916">
      <w:pPr>
        <w:ind w:left="567" w:right="-28"/>
      </w:pPr>
    </w:p>
    <w:p w14:paraId="1254417A" w14:textId="77777777" w:rsidR="00400398" w:rsidRPr="007232E4" w:rsidRDefault="00400398" w:rsidP="00DE7916">
      <w:pPr>
        <w:keepNext/>
        <w:keepLines/>
        <w:numPr>
          <w:ilvl w:val="12"/>
          <w:numId w:val="0"/>
        </w:numPr>
        <w:ind w:right="-28"/>
        <w:rPr>
          <w:b/>
        </w:rPr>
      </w:pPr>
      <w:r w:rsidRPr="007232E4">
        <w:rPr>
          <w:b/>
        </w:rPr>
        <w:t xml:space="preserve">Deve procurar ajuda logo que possível se tiver algum dos efeitos </w:t>
      </w:r>
      <w:r w:rsidR="00171A40">
        <w:rPr>
          <w:b/>
        </w:rPr>
        <w:t>indesejáveis</w:t>
      </w:r>
      <w:r w:rsidR="00171A40" w:rsidRPr="007232E4">
        <w:rPr>
          <w:b/>
        </w:rPr>
        <w:t xml:space="preserve"> </w:t>
      </w:r>
      <w:r w:rsidRPr="007232E4">
        <w:rPr>
          <w:b/>
        </w:rPr>
        <w:t>abaixo descritos.</w:t>
      </w:r>
    </w:p>
    <w:p w14:paraId="4560998C" w14:textId="77777777" w:rsidR="00400398" w:rsidRPr="007232E4" w:rsidRDefault="00400398" w:rsidP="00DE7916">
      <w:pPr>
        <w:keepNext/>
        <w:keepLines/>
        <w:numPr>
          <w:ilvl w:val="12"/>
          <w:numId w:val="0"/>
        </w:numPr>
        <w:ind w:right="-29"/>
      </w:pPr>
    </w:p>
    <w:p w14:paraId="25EF5A7D" w14:textId="77777777" w:rsidR="00400398" w:rsidRPr="007232E4" w:rsidRDefault="00400398" w:rsidP="00DE7916">
      <w:pPr>
        <w:numPr>
          <w:ilvl w:val="12"/>
          <w:numId w:val="0"/>
        </w:numPr>
        <w:ind w:right="-29"/>
      </w:pPr>
      <w:r>
        <w:t>E</w:t>
      </w:r>
      <w:r w:rsidRPr="007232E4">
        <w:t xml:space="preserve">feitos </w:t>
      </w:r>
      <w:r w:rsidR="00171A40">
        <w:t>indesejáveis</w:t>
      </w:r>
      <w:r w:rsidR="00171A40" w:rsidRPr="007232E4">
        <w:t xml:space="preserve"> </w:t>
      </w:r>
      <w:r w:rsidRPr="007232E4">
        <w:rPr>
          <w:b/>
        </w:rPr>
        <w:t xml:space="preserve">muito frequentes </w:t>
      </w:r>
      <w:r w:rsidRPr="00913779">
        <w:t>(</w:t>
      </w:r>
      <w:r w:rsidR="00185520">
        <w:t>podem afetar mais de 1 em cada 10 pessoas</w:t>
      </w:r>
      <w:r w:rsidRPr="00913779">
        <w:t>)</w:t>
      </w:r>
      <w:r>
        <w:t xml:space="preserve">, </w:t>
      </w:r>
      <w:r w:rsidRPr="007232E4">
        <w:t>que não foram graves incluem:</w:t>
      </w:r>
    </w:p>
    <w:p w14:paraId="6A6F43F3" w14:textId="77777777" w:rsidR="00400398" w:rsidRPr="007232E4" w:rsidRDefault="00400398" w:rsidP="00DE7916">
      <w:pPr>
        <w:ind w:left="567" w:right="-29" w:hanging="567"/>
      </w:pPr>
      <w:r>
        <w:rPr>
          <w:noProof/>
          <w:szCs w:val="22"/>
        </w:rPr>
        <w:sym w:font="Symbol" w:char="F0B7"/>
      </w:r>
      <w:r w:rsidRPr="007232E4">
        <w:tab/>
        <w:t xml:space="preserve">obstipação, </w:t>
      </w:r>
    </w:p>
    <w:p w14:paraId="498EB99D" w14:textId="77777777" w:rsidR="00400398" w:rsidRPr="007232E4" w:rsidRDefault="00400398" w:rsidP="00DE7916">
      <w:pPr>
        <w:ind w:left="567" w:right="-29" w:hanging="567"/>
      </w:pPr>
      <w:r>
        <w:rPr>
          <w:noProof/>
          <w:szCs w:val="22"/>
        </w:rPr>
        <w:sym w:font="Symbol" w:char="F0B7"/>
      </w:r>
      <w:r>
        <w:tab/>
        <w:t>perda do apetite,</w:t>
      </w:r>
      <w:r>
        <w:tab/>
      </w:r>
      <w:r w:rsidRPr="007232E4">
        <w:t xml:space="preserve"> </w:t>
      </w:r>
    </w:p>
    <w:p w14:paraId="03738AF0" w14:textId="77777777" w:rsidR="00400398" w:rsidRPr="007232E4" w:rsidRDefault="00400398" w:rsidP="00DE7916">
      <w:pPr>
        <w:ind w:left="567" w:right="-29" w:hanging="567"/>
      </w:pPr>
      <w:r>
        <w:rPr>
          <w:noProof/>
          <w:szCs w:val="22"/>
        </w:rPr>
        <w:sym w:font="Symbol" w:char="F0B7"/>
      </w:r>
      <w:r w:rsidRPr="007232E4">
        <w:tab/>
        <w:t>febre,</w:t>
      </w:r>
    </w:p>
    <w:p w14:paraId="02A5D6EF" w14:textId="77777777" w:rsidR="00400398" w:rsidRPr="007232E4" w:rsidRDefault="00400398" w:rsidP="00DE7916">
      <w:pPr>
        <w:ind w:left="567" w:right="-29" w:hanging="567"/>
      </w:pPr>
      <w:r>
        <w:rPr>
          <w:noProof/>
          <w:szCs w:val="22"/>
        </w:rPr>
        <w:sym w:font="Symbol" w:char="F0B7"/>
      </w:r>
      <w:r w:rsidRPr="007232E4">
        <w:tab/>
        <w:t>problemas nos olhos (incluindo aumento da produção de lágrimas),</w:t>
      </w:r>
    </w:p>
    <w:p w14:paraId="2F3335B7" w14:textId="77777777" w:rsidR="00400398" w:rsidRDefault="00400398" w:rsidP="00DE7916">
      <w:pPr>
        <w:ind w:left="567" w:right="-29" w:hanging="567"/>
      </w:pPr>
      <w:r>
        <w:rPr>
          <w:noProof/>
          <w:szCs w:val="22"/>
        </w:rPr>
        <w:lastRenderedPageBreak/>
        <w:sym w:font="Symbol" w:char="F0B7"/>
      </w:r>
      <w:r w:rsidRPr="007232E4">
        <w:tab/>
        <w:t>distúrbios na fala,</w:t>
      </w:r>
    </w:p>
    <w:p w14:paraId="5AA06B5F" w14:textId="77777777" w:rsidR="00400398" w:rsidRDefault="00400398" w:rsidP="00DE7916">
      <w:pPr>
        <w:ind w:left="567" w:right="-29" w:hanging="567"/>
      </w:pPr>
      <w:r>
        <w:rPr>
          <w:noProof/>
          <w:szCs w:val="22"/>
        </w:rPr>
        <w:sym w:font="Symbol" w:char="F0B7"/>
      </w:r>
      <w:r w:rsidRPr="007232E4">
        <w:tab/>
      </w:r>
      <w:r>
        <w:t>alteração do paladar,</w:t>
      </w:r>
    </w:p>
    <w:p w14:paraId="57440DB4" w14:textId="77777777" w:rsidR="00400398" w:rsidRPr="00913779" w:rsidRDefault="00400398" w:rsidP="00DE7916">
      <w:pPr>
        <w:ind w:left="567" w:right="-29" w:hanging="567"/>
      </w:pPr>
      <w:r>
        <w:rPr>
          <w:noProof/>
          <w:szCs w:val="22"/>
        </w:rPr>
        <w:sym w:font="Symbol" w:char="F0B7"/>
      </w:r>
      <w:r w:rsidRPr="007232E4">
        <w:tab/>
      </w:r>
      <w:r>
        <w:t>corrimento nasal,</w:t>
      </w:r>
      <w:r w:rsidRPr="00913779">
        <w:t xml:space="preserve"> </w:t>
      </w:r>
    </w:p>
    <w:p w14:paraId="68CE8556" w14:textId="77777777" w:rsidR="00400398" w:rsidRPr="007232E4" w:rsidRDefault="00400398" w:rsidP="00DE7916">
      <w:pPr>
        <w:ind w:left="567" w:right="-29" w:hanging="567"/>
      </w:pPr>
      <w:r w:rsidRPr="00913779">
        <w:rPr>
          <w:szCs w:val="22"/>
        </w:rPr>
        <w:sym w:font="Symbol" w:char="F0B7"/>
      </w:r>
      <w:r w:rsidRPr="007232E4">
        <w:tab/>
        <w:t>pele seca, descamação e inflamação da pele, alteração da cor da pele</w:t>
      </w:r>
      <w:r>
        <w:t>,</w:t>
      </w:r>
    </w:p>
    <w:p w14:paraId="55DE1101" w14:textId="77777777" w:rsidR="002166F9" w:rsidRDefault="00400398" w:rsidP="00C82494">
      <w:pPr>
        <w:ind w:left="567" w:right="-29" w:hanging="567"/>
        <w:rPr>
          <w:szCs w:val="22"/>
        </w:rPr>
      </w:pPr>
      <w:r w:rsidRPr="00913779">
        <w:rPr>
          <w:szCs w:val="22"/>
        </w:rPr>
        <w:sym w:font="Symbol" w:char="F0B7"/>
      </w:r>
      <w:r w:rsidRPr="007A5D48">
        <w:rPr>
          <w:szCs w:val="22"/>
        </w:rPr>
        <w:tab/>
      </w:r>
      <w:r w:rsidRPr="002F789E">
        <w:rPr>
          <w:szCs w:val="22"/>
        </w:rPr>
        <w:t>perda de peso</w:t>
      </w:r>
      <w:r w:rsidR="002166F9">
        <w:rPr>
          <w:szCs w:val="22"/>
        </w:rPr>
        <w:t>,</w:t>
      </w:r>
    </w:p>
    <w:p w14:paraId="433F2842" w14:textId="77777777" w:rsidR="007579E0" w:rsidRDefault="002166F9" w:rsidP="00131FD8">
      <w:pPr>
        <w:ind w:left="567" w:right="-29" w:hanging="567"/>
        <w:rPr>
          <w:szCs w:val="22"/>
        </w:rPr>
      </w:pPr>
      <w:r w:rsidRPr="00913779">
        <w:rPr>
          <w:szCs w:val="22"/>
        </w:rPr>
        <w:sym w:font="Symbol" w:char="F0B7"/>
      </w:r>
      <w:r w:rsidRPr="007A5D48">
        <w:rPr>
          <w:szCs w:val="22"/>
        </w:rPr>
        <w:tab/>
      </w:r>
      <w:r>
        <w:rPr>
          <w:szCs w:val="22"/>
        </w:rPr>
        <w:t>hemorragias nasais.</w:t>
      </w:r>
    </w:p>
    <w:p w14:paraId="68F83E19" w14:textId="77777777" w:rsidR="00400398" w:rsidRPr="007232E4" w:rsidRDefault="00400398" w:rsidP="00DE7916">
      <w:pPr>
        <w:numPr>
          <w:ilvl w:val="12"/>
          <w:numId w:val="0"/>
        </w:numPr>
        <w:ind w:right="-29"/>
      </w:pPr>
    </w:p>
    <w:p w14:paraId="167321EC" w14:textId="77777777" w:rsidR="00400398" w:rsidRPr="007232E4" w:rsidRDefault="00400398" w:rsidP="00DE7916">
      <w:pPr>
        <w:keepNext/>
        <w:numPr>
          <w:ilvl w:val="12"/>
          <w:numId w:val="0"/>
        </w:numPr>
        <w:ind w:right="-29"/>
      </w:pPr>
      <w:r>
        <w:t>E</w:t>
      </w:r>
      <w:r w:rsidRPr="007232E4">
        <w:t xml:space="preserve">feitos </w:t>
      </w:r>
      <w:r w:rsidR="00171A40">
        <w:t>indesejáveis</w:t>
      </w:r>
      <w:r w:rsidR="00171A40" w:rsidRPr="007232E4">
        <w:t xml:space="preserve"> </w:t>
      </w:r>
      <w:r w:rsidRPr="007232E4">
        <w:rPr>
          <w:b/>
        </w:rPr>
        <w:t>frequentes</w:t>
      </w:r>
      <w:r>
        <w:rPr>
          <w:b/>
        </w:rPr>
        <w:t xml:space="preserve"> </w:t>
      </w:r>
      <w:r w:rsidRPr="00913779">
        <w:t>(</w:t>
      </w:r>
      <w:r w:rsidR="00185520">
        <w:t>podem afetar até 1 em cada 10 pessoas</w:t>
      </w:r>
      <w:r w:rsidRPr="00913779">
        <w:t>)</w:t>
      </w:r>
      <w:r w:rsidRPr="007232E4">
        <w:t>, que não foram graves incluem:</w:t>
      </w:r>
    </w:p>
    <w:p w14:paraId="59E9103B" w14:textId="77777777" w:rsidR="00400398" w:rsidRDefault="00400398" w:rsidP="00DE7916">
      <w:pPr>
        <w:keepNext/>
        <w:numPr>
          <w:ilvl w:val="12"/>
          <w:numId w:val="0"/>
        </w:numPr>
        <w:ind w:right="-29"/>
      </w:pPr>
      <w:r>
        <w:rPr>
          <w:noProof/>
          <w:szCs w:val="22"/>
        </w:rPr>
        <w:sym w:font="Symbol" w:char="F0B7"/>
      </w:r>
      <w:r w:rsidRPr="007232E4">
        <w:tab/>
        <w:t>alterações da voz</w:t>
      </w:r>
      <w:r>
        <w:t xml:space="preserve"> e</w:t>
      </w:r>
      <w:r w:rsidRPr="007232E4">
        <w:t xml:space="preserve"> rouquidão.</w:t>
      </w:r>
    </w:p>
    <w:p w14:paraId="5D209BCC" w14:textId="77777777" w:rsidR="00400398" w:rsidRDefault="00400398" w:rsidP="00DE7916">
      <w:pPr>
        <w:keepNext/>
        <w:numPr>
          <w:ilvl w:val="12"/>
          <w:numId w:val="0"/>
        </w:numPr>
        <w:ind w:right="-29"/>
      </w:pPr>
    </w:p>
    <w:p w14:paraId="4705BE52" w14:textId="77777777" w:rsidR="00400398" w:rsidRDefault="00400398" w:rsidP="00DE7916">
      <w:pPr>
        <w:numPr>
          <w:ilvl w:val="12"/>
          <w:numId w:val="0"/>
        </w:numPr>
        <w:ind w:right="-29"/>
      </w:pPr>
      <w:r>
        <w:t xml:space="preserve">Doentes com mais de 65 anos têm um risco aumentado de sofrerem dos seguintes efeitos </w:t>
      </w:r>
      <w:r w:rsidR="00171A40">
        <w:t>indesejáveis</w:t>
      </w:r>
      <w:r>
        <w:t>:</w:t>
      </w:r>
    </w:p>
    <w:p w14:paraId="42632821" w14:textId="77777777" w:rsidR="00400398" w:rsidRDefault="00400398" w:rsidP="009E6921">
      <w:pPr>
        <w:numPr>
          <w:ilvl w:val="12"/>
          <w:numId w:val="0"/>
        </w:numPr>
        <w:ind w:left="567" w:right="-28" w:hanging="567"/>
      </w:pPr>
      <w:r>
        <w:rPr>
          <w:noProof/>
          <w:color w:val="000000"/>
          <w:szCs w:val="22"/>
        </w:rPr>
        <w:sym w:font="Symbol" w:char="F0B7"/>
      </w:r>
      <w:r w:rsidRPr="00DE7916">
        <w:rPr>
          <w:color w:val="000000"/>
          <w:szCs w:val="22"/>
        </w:rPr>
        <w:tab/>
      </w:r>
      <w:r w:rsidRPr="007232E4">
        <w:t>coágulos sanguíneos nas artérias, que podem levar a um AVC (acidente vascular cerebral) ou a um enfarte do mioc</w:t>
      </w:r>
      <w:r>
        <w:t>á</w:t>
      </w:r>
      <w:r w:rsidRPr="007232E4">
        <w:t>rdio (ataque cardíaco)</w:t>
      </w:r>
      <w:r>
        <w:t>,</w:t>
      </w:r>
    </w:p>
    <w:p w14:paraId="710759BE" w14:textId="77777777" w:rsidR="00400398" w:rsidRDefault="00400398" w:rsidP="009E6921">
      <w:pPr>
        <w:numPr>
          <w:ilvl w:val="12"/>
          <w:numId w:val="0"/>
        </w:numPr>
        <w:ind w:left="567" w:right="-28" w:hanging="567"/>
      </w:pPr>
      <w:r w:rsidRPr="00913779">
        <w:rPr>
          <w:szCs w:val="22"/>
        </w:rPr>
        <w:sym w:font="Symbol" w:char="F0B7"/>
      </w:r>
      <w:r w:rsidRPr="00913779">
        <w:tab/>
      </w:r>
      <w:r w:rsidRPr="007232E4">
        <w:t>diminuição no número de glóbulos brancos no sangue e de células que ajudam na coagulação do sangue</w:t>
      </w:r>
      <w:r>
        <w:t>,</w:t>
      </w:r>
    </w:p>
    <w:p w14:paraId="420AD379" w14:textId="77777777" w:rsidR="00400398" w:rsidRDefault="00400398" w:rsidP="009E6921">
      <w:pPr>
        <w:numPr>
          <w:ilvl w:val="12"/>
          <w:numId w:val="0"/>
        </w:numPr>
        <w:ind w:left="567" w:right="-28" w:hanging="567"/>
      </w:pPr>
      <w:r w:rsidRPr="00913779">
        <w:rPr>
          <w:szCs w:val="22"/>
        </w:rPr>
        <w:sym w:font="Symbol" w:char="F0B7"/>
      </w:r>
      <w:r w:rsidRPr="00913779">
        <w:tab/>
      </w:r>
      <w:r w:rsidRPr="007232E4">
        <w:t xml:space="preserve">diarreia, </w:t>
      </w:r>
    </w:p>
    <w:p w14:paraId="345F8FC4" w14:textId="77777777" w:rsidR="00400398" w:rsidRDefault="00400398" w:rsidP="009E6921">
      <w:pPr>
        <w:numPr>
          <w:ilvl w:val="12"/>
          <w:numId w:val="0"/>
        </w:numPr>
        <w:ind w:left="567" w:right="-28" w:hanging="567"/>
      </w:pPr>
      <w:r w:rsidRPr="00913779">
        <w:rPr>
          <w:szCs w:val="22"/>
        </w:rPr>
        <w:sym w:font="Symbol" w:char="F0B7"/>
      </w:r>
      <w:r w:rsidRPr="00913779">
        <w:tab/>
      </w:r>
      <w:r w:rsidRPr="007232E4">
        <w:t xml:space="preserve">enjoo, </w:t>
      </w:r>
    </w:p>
    <w:p w14:paraId="511B1EA1" w14:textId="77777777" w:rsidR="00400398" w:rsidRDefault="00400398" w:rsidP="009E6921">
      <w:pPr>
        <w:keepNext/>
        <w:numPr>
          <w:ilvl w:val="12"/>
          <w:numId w:val="0"/>
        </w:numPr>
        <w:ind w:left="567" w:right="-29" w:hanging="567"/>
      </w:pPr>
      <w:r w:rsidRPr="00913779">
        <w:rPr>
          <w:szCs w:val="22"/>
        </w:rPr>
        <w:sym w:font="Symbol" w:char="F0B7"/>
      </w:r>
      <w:r w:rsidRPr="00913779">
        <w:tab/>
      </w:r>
      <w:r w:rsidRPr="007232E4">
        <w:t>dor de cabeça</w:t>
      </w:r>
      <w:r>
        <w:t>,</w:t>
      </w:r>
    </w:p>
    <w:p w14:paraId="1872EAD2" w14:textId="77777777" w:rsidR="00400398" w:rsidRDefault="00400398" w:rsidP="009E6921">
      <w:pPr>
        <w:keepNext/>
        <w:numPr>
          <w:ilvl w:val="12"/>
          <w:numId w:val="0"/>
        </w:numPr>
        <w:ind w:left="567" w:right="-29" w:hanging="567"/>
      </w:pPr>
      <w:r w:rsidRPr="00913779">
        <w:rPr>
          <w:szCs w:val="22"/>
        </w:rPr>
        <w:sym w:font="Symbol" w:char="F0B7"/>
      </w:r>
      <w:r w:rsidRPr="00913779">
        <w:tab/>
      </w:r>
      <w:r w:rsidRPr="007232E4">
        <w:t>fadiga</w:t>
      </w:r>
      <w:r>
        <w:t>,</w:t>
      </w:r>
    </w:p>
    <w:p w14:paraId="0BA73616" w14:textId="77777777" w:rsidR="00400398" w:rsidRPr="007232E4" w:rsidRDefault="00400398" w:rsidP="009E6921">
      <w:pPr>
        <w:keepNext/>
        <w:numPr>
          <w:ilvl w:val="12"/>
          <w:numId w:val="0"/>
        </w:numPr>
        <w:ind w:left="567" w:right="-29" w:hanging="567"/>
      </w:pPr>
      <w:r w:rsidRPr="00913779">
        <w:rPr>
          <w:szCs w:val="22"/>
        </w:rPr>
        <w:sym w:font="Symbol" w:char="F0B7"/>
      </w:r>
      <w:r w:rsidRPr="00913779">
        <w:tab/>
      </w:r>
      <w:r>
        <w:rPr>
          <w:rFonts w:eastAsia="MS Mincho"/>
          <w:szCs w:val="22"/>
        </w:rPr>
        <w:t>tens</w:t>
      </w:r>
      <w:r w:rsidRPr="007232E4">
        <w:rPr>
          <w:rFonts w:eastAsia="MS Mincho"/>
          <w:szCs w:val="22"/>
        </w:rPr>
        <w:t>ão</w:t>
      </w:r>
      <w:r>
        <w:t xml:space="preserve"> arterial elevada.</w:t>
      </w:r>
    </w:p>
    <w:p w14:paraId="28D29B86" w14:textId="77777777" w:rsidR="00400398" w:rsidRPr="007232E4" w:rsidRDefault="00400398" w:rsidP="00DE7916">
      <w:pPr>
        <w:numPr>
          <w:ilvl w:val="12"/>
          <w:numId w:val="0"/>
        </w:numPr>
        <w:ind w:right="-29"/>
        <w:outlineLvl w:val="0"/>
      </w:pPr>
    </w:p>
    <w:p w14:paraId="32A519A1" w14:textId="77777777" w:rsidR="00400398" w:rsidRPr="007232E4" w:rsidRDefault="00B76559" w:rsidP="00DE7916">
      <w:pPr>
        <w:numPr>
          <w:ilvl w:val="12"/>
          <w:numId w:val="0"/>
        </w:numPr>
        <w:ind w:right="-29"/>
      </w:pPr>
      <w:r>
        <w:t>Aybintio</w:t>
      </w:r>
      <w:r w:rsidRPr="007232E4">
        <w:t xml:space="preserve"> </w:t>
      </w:r>
      <w:r w:rsidR="00400398" w:rsidRPr="007232E4">
        <w:t>pode ainda causar alterações nas análises pedidas pelo seu médico. Estas incluem a diminuição do número de glóbulos brancos, em particular de neutrófilos (um tipo de glóbulo branco que ajuda na proteção contra infeções) no sangue; presença de proteínas na urina; diminuição dos níveis de potássio, sódio ou fósforo (um mineral) no sangue; aumento do nível de açúcar no sangue; aumento do nível de fosfatase alcalina (uma enzima) no sangue</w:t>
      </w:r>
      <w:r w:rsidR="000667F6">
        <w:t>; aumento da creatinina sérica (uma proteína medida por um teste de sangue para ver se os seus rins estão a funcionar);</w:t>
      </w:r>
      <w:r w:rsidR="00400398" w:rsidRPr="007232E4">
        <w:t xml:space="preserve"> e diminuição do nível da hemoglobina (presente nos glóbulos vermelhos, que transportam oxigénio), que pode ser grave. </w:t>
      </w:r>
    </w:p>
    <w:p w14:paraId="02D506F0" w14:textId="77777777" w:rsidR="00400398" w:rsidRPr="007232E4" w:rsidRDefault="00400398" w:rsidP="00DE7916">
      <w:pPr>
        <w:numPr>
          <w:ilvl w:val="12"/>
          <w:numId w:val="0"/>
        </w:numPr>
        <w:ind w:right="-29"/>
      </w:pPr>
    </w:p>
    <w:p w14:paraId="4177E9AC" w14:textId="77777777" w:rsidR="00400398" w:rsidRPr="007232E4" w:rsidRDefault="00400398" w:rsidP="00DE7916">
      <w:pPr>
        <w:numPr>
          <w:ilvl w:val="12"/>
          <w:numId w:val="0"/>
        </w:numPr>
        <w:ind w:right="-29"/>
      </w:pPr>
      <w:r w:rsidRPr="007232E4">
        <w:rPr>
          <w:szCs w:val="22"/>
        </w:rPr>
        <w:t xml:space="preserve">Dor na boca, dentes e/ou maxilar, inchaço ou feridas no interior da boca, adormecimento ou sensação de peso no maxilar ou desprendimento de um dente. Estes podem ser sinais e sintomas de lesão no osso do maxilar (osteonecrose). Se apresentar qualquer um deles informe imediatamente o seu médico e o dentista. </w:t>
      </w:r>
    </w:p>
    <w:p w14:paraId="304C4614" w14:textId="77777777" w:rsidR="00400398" w:rsidRPr="007232E4" w:rsidRDefault="00400398" w:rsidP="00DE7916">
      <w:pPr>
        <w:numPr>
          <w:ilvl w:val="12"/>
          <w:numId w:val="0"/>
        </w:numPr>
        <w:ind w:right="-2"/>
      </w:pPr>
    </w:p>
    <w:p w14:paraId="79292888" w14:textId="77777777" w:rsidR="00400398" w:rsidRPr="007232E4" w:rsidRDefault="00400398" w:rsidP="00DE7916">
      <w:r w:rsidRPr="007232E4">
        <w:t>Mulheres pré-menopa</w:t>
      </w:r>
      <w:r>
        <w:t>u</w:t>
      </w:r>
      <w:r w:rsidRPr="007232E4">
        <w:t xml:space="preserve">sicas (mulheres que têm ciclo menstrual) podem notar que a menstruação se torna irregular ou que têm faltas, e podem ter problemas de fertilidade. Se está a considerar ter filhos deverá discuti-lo com o seu médico antes do início do tratamento. </w:t>
      </w:r>
    </w:p>
    <w:p w14:paraId="3B04DD3F" w14:textId="77777777" w:rsidR="00400398" w:rsidRPr="007232E4" w:rsidRDefault="00400398" w:rsidP="00DE7916"/>
    <w:p w14:paraId="44A88CD5" w14:textId="77777777" w:rsidR="00400398" w:rsidRPr="007232E4" w:rsidRDefault="00B76559" w:rsidP="00DE7916">
      <w:r>
        <w:t>Aybintio</w:t>
      </w:r>
      <w:r w:rsidRPr="007232E4">
        <w:t xml:space="preserve"> </w:t>
      </w:r>
      <w:r w:rsidR="00400398" w:rsidRPr="007232E4">
        <w:t xml:space="preserve">tem sido desenvolvido e produzido para tratar o cancro através de injeção na corrente sanguínea. Não foi desenvolvido nem produzido para ser injetado no olho. Como tal, não está autorizado para ser utilizado deste modo. Quando </w:t>
      </w:r>
      <w:r>
        <w:t>Aybintio</w:t>
      </w:r>
      <w:r w:rsidRPr="007232E4">
        <w:t xml:space="preserve"> </w:t>
      </w:r>
      <w:r w:rsidR="00400398" w:rsidRPr="007232E4">
        <w:t xml:space="preserve">é injetado diretamente no olho (utilização não aprovada), podem ocorrer os seguintes efeitos </w:t>
      </w:r>
      <w:r w:rsidR="00171A40">
        <w:t>indesejáveis</w:t>
      </w:r>
      <w:r w:rsidR="00400398" w:rsidRPr="007232E4">
        <w:t>:</w:t>
      </w:r>
    </w:p>
    <w:p w14:paraId="112FA425" w14:textId="77777777" w:rsidR="00400398" w:rsidRPr="007232E4" w:rsidRDefault="00400398" w:rsidP="00DE7916">
      <w:r w:rsidRPr="007232E4">
        <w:t xml:space="preserve"> </w:t>
      </w:r>
    </w:p>
    <w:p w14:paraId="6BB8CDF8" w14:textId="77777777" w:rsidR="00400398" w:rsidRPr="007232E4" w:rsidRDefault="00400398" w:rsidP="00DE7916">
      <w:r>
        <w:rPr>
          <w:noProof/>
          <w:szCs w:val="22"/>
        </w:rPr>
        <w:sym w:font="Symbol" w:char="F0B7"/>
      </w:r>
      <w:r>
        <w:rPr>
          <w:noProof/>
        </w:rPr>
        <w:tab/>
      </w:r>
      <w:r w:rsidRPr="007232E4">
        <w:t>Infeção ou inflamação do globo ocular,</w:t>
      </w:r>
    </w:p>
    <w:p w14:paraId="2BC29B94" w14:textId="77777777" w:rsidR="00400398" w:rsidRPr="007232E4" w:rsidRDefault="00400398" w:rsidP="00DE7916">
      <w:pPr>
        <w:ind w:left="562" w:hanging="562"/>
      </w:pPr>
      <w:r>
        <w:rPr>
          <w:noProof/>
          <w:szCs w:val="22"/>
        </w:rPr>
        <w:sym w:font="Symbol" w:char="F0B7"/>
      </w:r>
      <w:r>
        <w:tab/>
      </w:r>
      <w:r w:rsidRPr="007232E4">
        <w:t>Vermelhidão do olho, pequenas partículas ou manchas na sua visão (moscas volantes), dor no olho,</w:t>
      </w:r>
    </w:p>
    <w:p w14:paraId="63D7599A" w14:textId="77777777" w:rsidR="00400398" w:rsidRPr="007232E4" w:rsidRDefault="00400398" w:rsidP="00DE7916">
      <w:r>
        <w:rPr>
          <w:noProof/>
          <w:szCs w:val="22"/>
        </w:rPr>
        <w:sym w:font="Symbol" w:char="F0B7"/>
      </w:r>
      <w:r>
        <w:tab/>
      </w:r>
      <w:r w:rsidRPr="007232E4">
        <w:t>Ver raios de luz com moscas volantes, progredindo para alguma perda da sua visão,</w:t>
      </w:r>
    </w:p>
    <w:p w14:paraId="579544CE" w14:textId="77777777" w:rsidR="00400398" w:rsidRPr="007232E4" w:rsidRDefault="00400398" w:rsidP="00DE7916">
      <w:r>
        <w:rPr>
          <w:noProof/>
          <w:szCs w:val="22"/>
        </w:rPr>
        <w:sym w:font="Symbol" w:char="F0B7"/>
      </w:r>
      <w:r>
        <w:tab/>
      </w:r>
      <w:r w:rsidRPr="007232E4">
        <w:t>Pressão ocular aumentada,</w:t>
      </w:r>
    </w:p>
    <w:p w14:paraId="147D8734" w14:textId="77777777" w:rsidR="00400398" w:rsidRPr="007232E4" w:rsidRDefault="00400398" w:rsidP="00DE7916">
      <w:r>
        <w:rPr>
          <w:noProof/>
          <w:szCs w:val="22"/>
        </w:rPr>
        <w:sym w:font="Symbol" w:char="F0B7"/>
      </w:r>
      <w:r>
        <w:tab/>
      </w:r>
      <w:r w:rsidRPr="007232E4">
        <w:t>Hemorragia no olho.</w:t>
      </w:r>
    </w:p>
    <w:p w14:paraId="2EB88CBD" w14:textId="77777777" w:rsidR="00400398" w:rsidRPr="007232E4" w:rsidRDefault="00400398" w:rsidP="00DE7916">
      <w:pPr>
        <w:numPr>
          <w:ilvl w:val="12"/>
          <w:numId w:val="0"/>
        </w:numPr>
        <w:ind w:right="-2"/>
      </w:pPr>
    </w:p>
    <w:p w14:paraId="78FC06FF" w14:textId="77777777" w:rsidR="00400398" w:rsidRPr="00E41784" w:rsidRDefault="00400398" w:rsidP="00DE7916">
      <w:pPr>
        <w:suppressAutoHyphens/>
        <w:rPr>
          <w:b/>
          <w:szCs w:val="22"/>
        </w:rPr>
      </w:pPr>
      <w:r w:rsidRPr="00E41784">
        <w:rPr>
          <w:b/>
          <w:noProof/>
          <w:szCs w:val="22"/>
        </w:rPr>
        <w:t xml:space="preserve">Comunicação de efeitos </w:t>
      </w:r>
      <w:r w:rsidR="00171A40">
        <w:rPr>
          <w:b/>
          <w:noProof/>
          <w:szCs w:val="22"/>
        </w:rPr>
        <w:t>indesejáveis</w:t>
      </w:r>
    </w:p>
    <w:p w14:paraId="77A56AC1" w14:textId="77777777" w:rsidR="00400398" w:rsidRDefault="00400398" w:rsidP="00DE7916">
      <w:pPr>
        <w:suppressAutoHyphens/>
        <w:rPr>
          <w:szCs w:val="22"/>
        </w:rPr>
      </w:pPr>
      <w:r w:rsidRPr="00E41784">
        <w:rPr>
          <w:noProof/>
        </w:rPr>
        <w:t xml:space="preserve">Se </w:t>
      </w:r>
      <w:r w:rsidRPr="00E41784">
        <w:rPr>
          <w:szCs w:val="24"/>
        </w:rPr>
        <w:t xml:space="preserve">tiver quaisquer </w:t>
      </w:r>
      <w:r w:rsidRPr="00E41784">
        <w:rPr>
          <w:noProof/>
        </w:rPr>
        <w:t xml:space="preserve">efeitos </w:t>
      </w:r>
      <w:r w:rsidR="00171A40">
        <w:rPr>
          <w:noProof/>
        </w:rPr>
        <w:t>indesejáveis</w:t>
      </w:r>
      <w:r w:rsidRPr="00E41784">
        <w:rPr>
          <w:noProof/>
        </w:rPr>
        <w:t xml:space="preserve">, </w:t>
      </w:r>
      <w:r w:rsidRPr="00E41784">
        <w:rPr>
          <w:szCs w:val="24"/>
        </w:rPr>
        <w:t>incluindo possíveis</w:t>
      </w:r>
      <w:r w:rsidRPr="00E41784">
        <w:rPr>
          <w:noProof/>
        </w:rPr>
        <w:t xml:space="preserve"> efeitos </w:t>
      </w:r>
      <w:r w:rsidR="00171A40">
        <w:rPr>
          <w:noProof/>
        </w:rPr>
        <w:t>indesejáveis</w:t>
      </w:r>
      <w:r w:rsidR="00171A40" w:rsidRPr="00E41784">
        <w:rPr>
          <w:noProof/>
        </w:rPr>
        <w:t xml:space="preserve"> </w:t>
      </w:r>
      <w:r w:rsidRPr="00E41784">
        <w:rPr>
          <w:noProof/>
        </w:rPr>
        <w:t xml:space="preserve">não </w:t>
      </w:r>
      <w:r w:rsidRPr="00E41784">
        <w:rPr>
          <w:szCs w:val="24"/>
        </w:rPr>
        <w:t>indicados</w:t>
      </w:r>
      <w:r w:rsidRPr="00E41784">
        <w:rPr>
          <w:noProof/>
        </w:rPr>
        <w:t xml:space="preserve"> neste folheto, </w:t>
      </w:r>
      <w:r w:rsidRPr="00E41784">
        <w:rPr>
          <w:szCs w:val="24"/>
        </w:rPr>
        <w:t>fale com</w:t>
      </w:r>
      <w:r w:rsidRPr="00E41784">
        <w:rPr>
          <w:noProof/>
        </w:rPr>
        <w:t xml:space="preserve"> o seu médico</w:t>
      </w:r>
      <w:r w:rsidRPr="00E41784">
        <w:rPr>
          <w:szCs w:val="24"/>
        </w:rPr>
        <w:t xml:space="preserve">, </w:t>
      </w:r>
      <w:r w:rsidRPr="00E41784">
        <w:rPr>
          <w:noProof/>
        </w:rPr>
        <w:t>farmacêutico</w:t>
      </w:r>
      <w:r w:rsidRPr="00E41784">
        <w:rPr>
          <w:szCs w:val="24"/>
        </w:rPr>
        <w:t xml:space="preserve"> ou enfermeiro</w:t>
      </w:r>
      <w:r w:rsidRPr="00E41784">
        <w:rPr>
          <w:noProof/>
        </w:rPr>
        <w:t>.</w:t>
      </w:r>
      <w:r w:rsidRPr="00E41784">
        <w:rPr>
          <w:szCs w:val="22"/>
        </w:rPr>
        <w:t xml:space="preserve"> Também poderá comunicar efeitos </w:t>
      </w:r>
      <w:r w:rsidR="00171A40">
        <w:rPr>
          <w:szCs w:val="22"/>
        </w:rPr>
        <w:t>indesejáveis</w:t>
      </w:r>
      <w:r w:rsidR="00171A40" w:rsidRPr="00E41784">
        <w:rPr>
          <w:szCs w:val="22"/>
        </w:rPr>
        <w:t xml:space="preserve"> </w:t>
      </w:r>
      <w:r w:rsidRPr="00E41784">
        <w:rPr>
          <w:szCs w:val="22"/>
        </w:rPr>
        <w:t xml:space="preserve">diretamente através </w:t>
      </w:r>
      <w:r w:rsidRPr="00E41784">
        <w:rPr>
          <w:szCs w:val="22"/>
          <w:highlight w:val="lightGray"/>
        </w:rPr>
        <w:t>do sistema nacional de notificação mencionado no</w:t>
      </w:r>
      <w:r w:rsidRPr="00B07DED">
        <w:rPr>
          <w:szCs w:val="22"/>
          <w:highlight w:val="lightGray"/>
        </w:rPr>
        <w:t xml:space="preserve"> </w:t>
      </w:r>
      <w:hyperlink r:id="rId16" w:history="1">
        <w:r w:rsidRPr="00B07DED">
          <w:rPr>
            <w:rStyle w:val="Hyperlink"/>
            <w:highlight w:val="lightGray"/>
          </w:rPr>
          <w:t>Apêndice V</w:t>
        </w:r>
      </w:hyperlink>
      <w:r w:rsidRPr="00B07DED">
        <w:rPr>
          <w:szCs w:val="22"/>
          <w:highlight w:val="lightGray"/>
        </w:rPr>
        <w:t>*</w:t>
      </w:r>
      <w:r w:rsidRPr="00E41784">
        <w:rPr>
          <w:szCs w:val="22"/>
        </w:rPr>
        <w:t xml:space="preserve">. Ao </w:t>
      </w:r>
      <w:r w:rsidRPr="00E41784">
        <w:rPr>
          <w:szCs w:val="22"/>
        </w:rPr>
        <w:lastRenderedPageBreak/>
        <w:t xml:space="preserve">comunicar efeitos </w:t>
      </w:r>
      <w:r w:rsidR="00171A40">
        <w:rPr>
          <w:szCs w:val="22"/>
        </w:rPr>
        <w:t>indesejáveis</w:t>
      </w:r>
      <w:r w:rsidRPr="00E41784">
        <w:rPr>
          <w:szCs w:val="22"/>
        </w:rPr>
        <w:t>, estará a ajudar a fornecer mais informações sobre a segurança deste medicamento.</w:t>
      </w:r>
    </w:p>
    <w:p w14:paraId="1FFD73B6" w14:textId="77777777" w:rsidR="00400398" w:rsidRDefault="00400398" w:rsidP="00DE7916">
      <w:pPr>
        <w:suppressAutoHyphens/>
        <w:rPr>
          <w:szCs w:val="22"/>
        </w:rPr>
      </w:pPr>
    </w:p>
    <w:p w14:paraId="594CE1DC" w14:textId="77777777" w:rsidR="00400398" w:rsidRPr="00E41784" w:rsidRDefault="00400398" w:rsidP="00DE7916">
      <w:pPr>
        <w:suppressAutoHyphens/>
        <w:rPr>
          <w:szCs w:val="22"/>
        </w:rPr>
      </w:pPr>
    </w:p>
    <w:p w14:paraId="75819F78" w14:textId="77777777" w:rsidR="00400398" w:rsidRPr="007232E4" w:rsidRDefault="00400398" w:rsidP="00D40457">
      <w:pPr>
        <w:keepNext/>
        <w:keepLines/>
        <w:numPr>
          <w:ilvl w:val="12"/>
          <w:numId w:val="0"/>
        </w:numPr>
        <w:ind w:left="567" w:hanging="567"/>
        <w:rPr>
          <w:b/>
        </w:rPr>
      </w:pPr>
      <w:r w:rsidRPr="007232E4">
        <w:rPr>
          <w:b/>
        </w:rPr>
        <w:t>5.</w:t>
      </w:r>
      <w:r w:rsidRPr="007232E4">
        <w:rPr>
          <w:b/>
        </w:rPr>
        <w:tab/>
        <w:t xml:space="preserve">Como conservar </w:t>
      </w:r>
      <w:r w:rsidR="00B76559">
        <w:rPr>
          <w:b/>
        </w:rPr>
        <w:t>Aybintio</w:t>
      </w:r>
    </w:p>
    <w:p w14:paraId="08CFA3AD" w14:textId="77777777" w:rsidR="00400398" w:rsidRPr="007232E4" w:rsidRDefault="00400398" w:rsidP="00D40457">
      <w:pPr>
        <w:keepNext/>
        <w:keepLines/>
        <w:numPr>
          <w:ilvl w:val="12"/>
          <w:numId w:val="0"/>
        </w:numPr>
      </w:pPr>
    </w:p>
    <w:p w14:paraId="20C6D8AD" w14:textId="77777777" w:rsidR="00400398" w:rsidRPr="007232E4" w:rsidRDefault="00400398" w:rsidP="00D40457">
      <w:pPr>
        <w:keepNext/>
        <w:keepLines/>
        <w:numPr>
          <w:ilvl w:val="12"/>
          <w:numId w:val="0"/>
        </w:numPr>
      </w:pPr>
      <w:r w:rsidRPr="007232E4">
        <w:t>Manter este medicamento fora da vista e do alcance das crianças.</w:t>
      </w:r>
    </w:p>
    <w:p w14:paraId="07731A80" w14:textId="77777777" w:rsidR="00400398" w:rsidRPr="007232E4" w:rsidRDefault="00400398" w:rsidP="00D40457">
      <w:pPr>
        <w:keepNext/>
        <w:keepLines/>
        <w:numPr>
          <w:ilvl w:val="12"/>
          <w:numId w:val="0"/>
        </w:numPr>
      </w:pPr>
    </w:p>
    <w:p w14:paraId="65CC5612" w14:textId="77777777" w:rsidR="00400398" w:rsidRPr="007232E4" w:rsidRDefault="00400398">
      <w:pPr>
        <w:numPr>
          <w:ilvl w:val="12"/>
          <w:numId w:val="0"/>
        </w:numPr>
        <w:ind w:right="-2"/>
        <w:outlineLvl w:val="0"/>
      </w:pPr>
      <w:r w:rsidRPr="007232E4">
        <w:t>Não utilize este medicamento após o prazo de validade impresso na embalagem exterior e no rótulo do frasco para injetáveis após EXP. O prazo de validade corresponde ao último dia do mês indicado.</w:t>
      </w:r>
    </w:p>
    <w:p w14:paraId="6B0EEBDE" w14:textId="77777777" w:rsidR="00400398" w:rsidRPr="007232E4" w:rsidRDefault="00400398">
      <w:pPr>
        <w:numPr>
          <w:ilvl w:val="12"/>
          <w:numId w:val="0"/>
        </w:numPr>
        <w:ind w:right="-2"/>
        <w:outlineLvl w:val="0"/>
      </w:pPr>
    </w:p>
    <w:p w14:paraId="367BA31A" w14:textId="77777777" w:rsidR="00400398" w:rsidRPr="007232E4" w:rsidRDefault="00400398" w:rsidP="009E6921">
      <w:pPr>
        <w:numPr>
          <w:ilvl w:val="12"/>
          <w:numId w:val="0"/>
        </w:numPr>
        <w:ind w:right="-2"/>
        <w:outlineLvl w:val="0"/>
      </w:pPr>
      <w:r w:rsidRPr="007232E4">
        <w:t>Conservar no frigorífico (2</w:t>
      </w:r>
      <w:r w:rsidRPr="007232E4">
        <w:rPr>
          <w:szCs w:val="22"/>
        </w:rPr>
        <w:sym w:font="Symbol" w:char="F0B0"/>
      </w:r>
      <w:r w:rsidRPr="007232E4">
        <w:t>C – 8</w:t>
      </w:r>
      <w:r w:rsidRPr="007232E4">
        <w:rPr>
          <w:szCs w:val="22"/>
        </w:rPr>
        <w:sym w:font="Symbol" w:char="F0B0"/>
      </w:r>
      <w:r w:rsidRPr="007232E4">
        <w:t>C).</w:t>
      </w:r>
      <w:r w:rsidR="00EC4C19">
        <w:t xml:space="preserve"> </w:t>
      </w:r>
      <w:r w:rsidRPr="007232E4">
        <w:t>Não congelar.</w:t>
      </w:r>
    </w:p>
    <w:p w14:paraId="402CF53C" w14:textId="77777777" w:rsidR="00400398" w:rsidRPr="007232E4" w:rsidRDefault="00400398">
      <w:pPr>
        <w:numPr>
          <w:ilvl w:val="12"/>
          <w:numId w:val="0"/>
        </w:numPr>
        <w:ind w:right="-2"/>
        <w:outlineLvl w:val="0"/>
      </w:pPr>
      <w:r w:rsidRPr="007232E4">
        <w:t xml:space="preserve">Conservar o frasco para injetáveis </w:t>
      </w:r>
      <w:r w:rsidR="002A3F95">
        <w:t>dentro da</w:t>
      </w:r>
      <w:r w:rsidRPr="007232E4">
        <w:t xml:space="preserve"> embalagem exterior para proteger da luz.</w:t>
      </w:r>
    </w:p>
    <w:p w14:paraId="17C8E201" w14:textId="77777777" w:rsidR="00EC4C19" w:rsidRDefault="00EC4C19" w:rsidP="00EC4C19"/>
    <w:p w14:paraId="109306B9" w14:textId="77777777" w:rsidR="00EC4C19" w:rsidRPr="007232E4" w:rsidRDefault="00EC4C19" w:rsidP="00EC4C19">
      <w:r>
        <w:t>O frasco para injetáveis por abrir pode ser conservado a temperaturas não superiores a 30</w:t>
      </w:r>
      <w:r>
        <w:rPr>
          <w:spacing w:val="-2"/>
        </w:rPr>
        <w:t>°</w:t>
      </w:r>
      <w:r>
        <w:rPr>
          <w:spacing w:val="-1"/>
        </w:rPr>
        <w:t xml:space="preserve">C durante um máximo de 35 dias. O frasco para injetáveis tem de ser eliminado se não for utilizado no período de 35 dias depois de </w:t>
      </w:r>
      <w:r w:rsidR="007149D4">
        <w:rPr>
          <w:spacing w:val="-1"/>
        </w:rPr>
        <w:t>ter sido</w:t>
      </w:r>
      <w:r>
        <w:rPr>
          <w:spacing w:val="-1"/>
        </w:rPr>
        <w:t xml:space="preserve"> retirado da conservação refrigerada, mesmo se </w:t>
      </w:r>
      <w:r w:rsidR="00BD536A">
        <w:rPr>
          <w:spacing w:val="-1"/>
        </w:rPr>
        <w:t xml:space="preserve">tiver </w:t>
      </w:r>
      <w:r>
        <w:rPr>
          <w:spacing w:val="-1"/>
        </w:rPr>
        <w:t>volta</w:t>
      </w:r>
      <w:r w:rsidR="00BD536A">
        <w:rPr>
          <w:spacing w:val="-1"/>
        </w:rPr>
        <w:t>do</w:t>
      </w:r>
      <w:r>
        <w:rPr>
          <w:spacing w:val="-1"/>
        </w:rPr>
        <w:t xml:space="preserve"> a ser </w:t>
      </w:r>
      <w:r w:rsidR="00BD536A">
        <w:rPr>
          <w:spacing w:val="-1"/>
        </w:rPr>
        <w:t>colocado no frigorífico durante esse período</w:t>
      </w:r>
      <w:r>
        <w:rPr>
          <w:spacing w:val="-1"/>
        </w:rPr>
        <w:t>.</w:t>
      </w:r>
    </w:p>
    <w:p w14:paraId="7375B02F" w14:textId="77777777" w:rsidR="00400398" w:rsidRPr="007232E4" w:rsidRDefault="00400398">
      <w:pPr>
        <w:numPr>
          <w:ilvl w:val="12"/>
          <w:numId w:val="0"/>
        </w:numPr>
        <w:ind w:right="-2"/>
      </w:pPr>
    </w:p>
    <w:p w14:paraId="04F4F822" w14:textId="77777777" w:rsidR="00B439CA" w:rsidRPr="007232E4" w:rsidRDefault="00400398" w:rsidP="00B439CA">
      <w:r w:rsidRPr="00FC31B0">
        <w:t xml:space="preserve">As soluções para perfusão devem ser utilizadas imediatamente após a diluição. </w:t>
      </w:r>
      <w:r w:rsidR="00B439CA" w:rsidRPr="00A56411">
        <w:t>Se não forem utilizadas imediatamente, a duração e as condições de conservação após a preparação são da responsabilidade do utilizador, não devendo ser superiores a 24 horas a 2°C</w:t>
      </w:r>
      <w:r w:rsidR="00B439CA" w:rsidRPr="00A56411">
        <w:noBreakHyphen/>
        <w:t>8°C, exceto se as soluções para perfusão tenham sido preparadas num ambiente estéril.</w:t>
      </w:r>
      <w:r w:rsidR="00026209">
        <w:t xml:space="preserve"> </w:t>
      </w:r>
      <w:r w:rsidR="007149D4">
        <w:t>Se</w:t>
      </w:r>
      <w:r w:rsidR="00026209">
        <w:t xml:space="preserve"> a diluição tiver sido efetuada em ambiente estéril, Aybintio é estável durante 45 dias entre </w:t>
      </w:r>
      <w:r w:rsidR="00026209" w:rsidRPr="00D11B79">
        <w:rPr>
          <w:noProof/>
          <w:szCs w:val="22"/>
        </w:rPr>
        <w:t>2</w:t>
      </w:r>
      <w:r w:rsidR="00026209">
        <w:rPr>
          <w:rFonts w:ascii="Symbol" w:hAnsi="Symbol"/>
        </w:rPr>
        <w:sym w:font="Symbol" w:char="F0B0"/>
      </w:r>
      <w:r w:rsidR="00026209">
        <w:t>C</w:t>
      </w:r>
      <w:r w:rsidR="00026209">
        <w:rPr>
          <w:noProof/>
          <w:szCs w:val="22"/>
        </w:rPr>
        <w:t xml:space="preserve"> </w:t>
      </w:r>
      <w:r w:rsidR="007149D4">
        <w:rPr>
          <w:noProof/>
          <w:szCs w:val="22"/>
        </w:rPr>
        <w:t>e</w:t>
      </w:r>
      <w:r w:rsidR="00026209">
        <w:rPr>
          <w:noProof/>
          <w:szCs w:val="22"/>
        </w:rPr>
        <w:t xml:space="preserve"> </w:t>
      </w:r>
      <w:r w:rsidR="00026209" w:rsidRPr="00D11B79">
        <w:rPr>
          <w:noProof/>
          <w:szCs w:val="22"/>
        </w:rPr>
        <w:t>8</w:t>
      </w:r>
      <w:r w:rsidR="00026209">
        <w:rPr>
          <w:rFonts w:ascii="Symbol" w:hAnsi="Symbol"/>
        </w:rPr>
        <w:sym w:font="Symbol" w:char="F0B0"/>
      </w:r>
      <w:r w:rsidR="00026209">
        <w:t>C</w:t>
      </w:r>
      <w:r w:rsidR="008146FD">
        <w:t>,</w:t>
      </w:r>
      <w:r w:rsidR="00026209">
        <w:t xml:space="preserve"> mais 72 horas adicionais a temperaturas não superiores a 30</w:t>
      </w:r>
      <w:r w:rsidR="00026209">
        <w:rPr>
          <w:rFonts w:ascii="Symbol" w:hAnsi="Symbol"/>
        </w:rPr>
        <w:sym w:font="Symbol" w:char="F0B0"/>
      </w:r>
      <w:r w:rsidR="00026209">
        <w:t>C.</w:t>
      </w:r>
    </w:p>
    <w:p w14:paraId="44DFE9F9" w14:textId="77777777" w:rsidR="007B5884" w:rsidRDefault="007B5884">
      <w:pPr>
        <w:numPr>
          <w:ilvl w:val="12"/>
          <w:numId w:val="0"/>
        </w:numPr>
        <w:ind w:right="-2"/>
        <w:outlineLvl w:val="0"/>
      </w:pPr>
    </w:p>
    <w:p w14:paraId="5D1FC315" w14:textId="77777777" w:rsidR="00400398" w:rsidRPr="007232E4" w:rsidRDefault="00400398">
      <w:pPr>
        <w:numPr>
          <w:ilvl w:val="12"/>
          <w:numId w:val="0"/>
        </w:numPr>
        <w:ind w:right="-2"/>
        <w:outlineLvl w:val="0"/>
      </w:pPr>
      <w:r w:rsidRPr="007232E4">
        <w:t xml:space="preserve">Não utilize </w:t>
      </w:r>
      <w:r w:rsidR="00B76559">
        <w:t>Aybintio</w:t>
      </w:r>
      <w:r w:rsidR="00B76559" w:rsidRPr="007232E4">
        <w:t xml:space="preserve"> </w:t>
      </w:r>
      <w:r w:rsidRPr="007232E4">
        <w:t xml:space="preserve">se </w:t>
      </w:r>
      <w:r w:rsidR="002A3F95">
        <w:t>verificar</w:t>
      </w:r>
      <w:r w:rsidRPr="007232E4">
        <w:t xml:space="preserve"> qualquer partícula sólida ou descoloração antes da administração. </w:t>
      </w:r>
    </w:p>
    <w:p w14:paraId="268BDD5D" w14:textId="77777777" w:rsidR="00400398" w:rsidRPr="007232E4" w:rsidRDefault="00400398">
      <w:pPr>
        <w:numPr>
          <w:ilvl w:val="12"/>
          <w:numId w:val="0"/>
        </w:numPr>
        <w:ind w:right="-2"/>
        <w:outlineLvl w:val="0"/>
      </w:pPr>
    </w:p>
    <w:p w14:paraId="5EB7FF5E" w14:textId="77777777" w:rsidR="00400398" w:rsidRPr="007232E4" w:rsidRDefault="00400398">
      <w:r w:rsidRPr="007232E4">
        <w:t>Não deite fora quaisquer medicamentos na canalização ou no lixo doméstico. Pergunte ao seu farmacêutico como deita</w:t>
      </w:r>
      <w:r w:rsidR="00E7325C">
        <w:t>r</w:t>
      </w:r>
      <w:r w:rsidRPr="007232E4">
        <w:t xml:space="preserve"> fora os medicamentos que já não utiliza. Estas medidas ajudarão a proteger o ambiente.</w:t>
      </w:r>
    </w:p>
    <w:p w14:paraId="53CC9708" w14:textId="77777777" w:rsidR="00400398" w:rsidRPr="007232E4" w:rsidRDefault="00400398">
      <w:pPr>
        <w:numPr>
          <w:ilvl w:val="12"/>
          <w:numId w:val="0"/>
        </w:numPr>
        <w:ind w:left="567" w:right="-2" w:hanging="567"/>
        <w:rPr>
          <w:b/>
        </w:rPr>
      </w:pPr>
    </w:p>
    <w:p w14:paraId="6ACAFE99" w14:textId="77777777" w:rsidR="00400398" w:rsidRPr="007232E4" w:rsidRDefault="00400398">
      <w:pPr>
        <w:numPr>
          <w:ilvl w:val="12"/>
          <w:numId w:val="0"/>
        </w:numPr>
        <w:ind w:left="567" w:right="-2" w:hanging="567"/>
        <w:rPr>
          <w:b/>
        </w:rPr>
      </w:pPr>
    </w:p>
    <w:p w14:paraId="0896149E" w14:textId="77777777" w:rsidR="00400398" w:rsidRPr="007232E4" w:rsidRDefault="00400398" w:rsidP="009A236A">
      <w:pPr>
        <w:keepNext/>
        <w:keepLines/>
        <w:numPr>
          <w:ilvl w:val="12"/>
          <w:numId w:val="0"/>
        </w:numPr>
        <w:ind w:left="567" w:right="-2" w:hanging="567"/>
        <w:rPr>
          <w:b/>
        </w:rPr>
      </w:pPr>
      <w:r w:rsidRPr="007232E4">
        <w:rPr>
          <w:b/>
        </w:rPr>
        <w:t>6.</w:t>
      </w:r>
      <w:r w:rsidRPr="007232E4">
        <w:rPr>
          <w:b/>
        </w:rPr>
        <w:tab/>
      </w:r>
      <w:r w:rsidRPr="007232E4">
        <w:rPr>
          <w:b/>
          <w:snapToGrid w:val="0"/>
          <w:szCs w:val="24"/>
        </w:rPr>
        <w:t xml:space="preserve">Conteúdo da embalagem e </w:t>
      </w:r>
      <w:r w:rsidRPr="007232E4">
        <w:rPr>
          <w:b/>
        </w:rPr>
        <w:t>outras informações</w:t>
      </w:r>
    </w:p>
    <w:p w14:paraId="00A1AD92" w14:textId="77777777" w:rsidR="00400398" w:rsidRPr="007232E4" w:rsidRDefault="00400398" w:rsidP="009A236A">
      <w:pPr>
        <w:keepNext/>
        <w:keepLines/>
        <w:rPr>
          <w:b/>
        </w:rPr>
      </w:pPr>
    </w:p>
    <w:p w14:paraId="558C680B" w14:textId="77777777" w:rsidR="00400398" w:rsidRPr="007232E4" w:rsidRDefault="00400398" w:rsidP="009A236A">
      <w:pPr>
        <w:keepNext/>
        <w:keepLines/>
        <w:rPr>
          <w:b/>
        </w:rPr>
      </w:pPr>
      <w:r w:rsidRPr="007232E4">
        <w:rPr>
          <w:b/>
        </w:rPr>
        <w:t xml:space="preserve">Qual a composição de </w:t>
      </w:r>
      <w:r w:rsidR="00B76559">
        <w:rPr>
          <w:b/>
        </w:rPr>
        <w:t>Aybintio</w:t>
      </w:r>
    </w:p>
    <w:p w14:paraId="06805C12" w14:textId="77777777" w:rsidR="00400398" w:rsidRPr="007232E4" w:rsidRDefault="00400398">
      <w:pPr>
        <w:rPr>
          <w:b/>
        </w:rPr>
      </w:pPr>
    </w:p>
    <w:p w14:paraId="0558D6F7" w14:textId="77777777" w:rsidR="00400398" w:rsidRPr="009E6921" w:rsidRDefault="00400398" w:rsidP="001E05C2">
      <w:pPr>
        <w:numPr>
          <w:ilvl w:val="0"/>
          <w:numId w:val="18"/>
        </w:numPr>
        <w:ind w:left="567" w:right="-2" w:hanging="567"/>
      </w:pPr>
      <w:r w:rsidRPr="007232E4">
        <w:t xml:space="preserve">A substância ativa é bevacizumab. </w:t>
      </w:r>
      <w:r w:rsidRPr="009E6921">
        <w:t xml:space="preserve">Cada ml de concentrado contém 25 mg de bevacizumab. </w:t>
      </w:r>
    </w:p>
    <w:p w14:paraId="3C3B6C97" w14:textId="77777777" w:rsidR="00400398" w:rsidRPr="007232E4" w:rsidRDefault="00400398" w:rsidP="009E6921">
      <w:pPr>
        <w:ind w:left="540" w:firstLine="27"/>
      </w:pPr>
      <w:r w:rsidRPr="007232E4">
        <w:t>Cada frasco para injetáveis de 4 ml contém 100 mg de bevacizumab correspondendo a 1,4 mg/ml quando diluído conforme recomendado.</w:t>
      </w:r>
    </w:p>
    <w:p w14:paraId="4EC1B2CC" w14:textId="77777777" w:rsidR="00400398" w:rsidRPr="007232E4" w:rsidRDefault="00400398" w:rsidP="009A519B">
      <w:pPr>
        <w:ind w:left="540"/>
      </w:pPr>
      <w:r w:rsidRPr="007232E4">
        <w:t>Cada frasco para injetáveis de 16 ml contém 400 mg de bevacizumab correspondendo a 16,5 mg/ml quando diluído conforme recomendado.</w:t>
      </w:r>
    </w:p>
    <w:p w14:paraId="77F5230F" w14:textId="1F6E4D2E" w:rsidR="00400398" w:rsidRPr="007232E4" w:rsidRDefault="00400398" w:rsidP="001E05C2">
      <w:pPr>
        <w:numPr>
          <w:ilvl w:val="0"/>
          <w:numId w:val="18"/>
        </w:numPr>
        <w:ind w:left="567" w:right="-2" w:hanging="567"/>
      </w:pPr>
      <w:r w:rsidRPr="007232E4">
        <w:t xml:space="preserve">Os outros componentes são a trealose dihidratada, o </w:t>
      </w:r>
      <w:r w:rsidR="00B76559">
        <w:t>ace</w:t>
      </w:r>
      <w:r w:rsidR="00B76559" w:rsidRPr="007232E4">
        <w:t xml:space="preserve">ato </w:t>
      </w:r>
      <w:r w:rsidRPr="007232E4">
        <w:t>de sódio</w:t>
      </w:r>
      <w:r w:rsidR="00B76559">
        <w:t xml:space="preserve"> tri-hidratado,</w:t>
      </w:r>
      <w:r w:rsidR="00250B59">
        <w:t xml:space="preserve"> o</w:t>
      </w:r>
      <w:r w:rsidR="00B76559">
        <w:t xml:space="preserve"> ácido acético</w:t>
      </w:r>
      <w:r w:rsidRPr="007232E4">
        <w:t xml:space="preserve">, o polissorbato 20 </w:t>
      </w:r>
      <w:r w:rsidR="00F36D72">
        <w:t>(E 432) (ver secção 2 “</w:t>
      </w:r>
      <w:r w:rsidR="006E5FD8" w:rsidRPr="006E5FD8">
        <w:t>Aybintio</w:t>
      </w:r>
      <w:r w:rsidR="00F36D72">
        <w:t xml:space="preserve"> contém sódio e polissorbato 20”) </w:t>
      </w:r>
      <w:r w:rsidRPr="007232E4">
        <w:t>e água para preparações injetáveis.</w:t>
      </w:r>
    </w:p>
    <w:p w14:paraId="124EE652" w14:textId="77777777" w:rsidR="00400398" w:rsidRPr="007232E4" w:rsidRDefault="00400398">
      <w:pPr>
        <w:ind w:left="567" w:right="-2" w:hanging="567"/>
      </w:pPr>
    </w:p>
    <w:p w14:paraId="77E6929B" w14:textId="77777777" w:rsidR="00400398" w:rsidRPr="007232E4" w:rsidRDefault="00400398">
      <w:pPr>
        <w:keepNext/>
        <w:keepLines/>
        <w:ind w:left="567" w:right="-2" w:hanging="567"/>
        <w:rPr>
          <w:b/>
        </w:rPr>
      </w:pPr>
      <w:r w:rsidRPr="007232E4">
        <w:rPr>
          <w:b/>
        </w:rPr>
        <w:t xml:space="preserve">Qual o aspeto de </w:t>
      </w:r>
      <w:r w:rsidR="00B76559">
        <w:rPr>
          <w:b/>
        </w:rPr>
        <w:t>Aybintio</w:t>
      </w:r>
      <w:r w:rsidR="00B76559" w:rsidRPr="007232E4">
        <w:rPr>
          <w:b/>
        </w:rPr>
        <w:t xml:space="preserve"> </w:t>
      </w:r>
      <w:r w:rsidRPr="007232E4">
        <w:rPr>
          <w:b/>
        </w:rPr>
        <w:t>e conteúdo da embalagem</w:t>
      </w:r>
    </w:p>
    <w:p w14:paraId="639334B3" w14:textId="77777777" w:rsidR="00400398" w:rsidRPr="007232E4" w:rsidRDefault="00B76559" w:rsidP="002868D7">
      <w:pPr>
        <w:keepNext/>
        <w:keepLines/>
        <w:ind w:right="-2"/>
      </w:pPr>
      <w:r>
        <w:t>Aybintio</w:t>
      </w:r>
      <w:r w:rsidRPr="007232E4">
        <w:t xml:space="preserve"> </w:t>
      </w:r>
      <w:r w:rsidR="00400398" w:rsidRPr="007232E4">
        <w:t xml:space="preserve">é um concentrado para solução para perfusão. O concentrado é um líquido transparente, incolor a castanho claro num frasco para injetáveis de vidro, com uma tampa de borracha. Cada frasco para injetáveis contém 100 mg de bevacizumab em 4 ml de solução ou 400 mg de bevacizumab em 16 ml de solução. Cada embalagem de </w:t>
      </w:r>
      <w:r>
        <w:t>Aybintio</w:t>
      </w:r>
      <w:r w:rsidRPr="007232E4">
        <w:t xml:space="preserve"> </w:t>
      </w:r>
      <w:r w:rsidR="00400398" w:rsidRPr="007232E4">
        <w:t>contém um frasco para injetáveis.</w:t>
      </w:r>
    </w:p>
    <w:p w14:paraId="2159A28D" w14:textId="77777777" w:rsidR="00400398" w:rsidRPr="007232E4" w:rsidRDefault="00400398">
      <w:pPr>
        <w:ind w:left="567" w:right="-2" w:hanging="567"/>
      </w:pPr>
    </w:p>
    <w:p w14:paraId="06BDC7CE" w14:textId="77777777" w:rsidR="00400398" w:rsidRPr="007232E4" w:rsidRDefault="00400398">
      <w:pPr>
        <w:numPr>
          <w:ilvl w:val="12"/>
          <w:numId w:val="0"/>
        </w:numPr>
        <w:ind w:right="-2"/>
        <w:outlineLvl w:val="0"/>
        <w:rPr>
          <w:b/>
        </w:rPr>
      </w:pPr>
      <w:r w:rsidRPr="007232E4">
        <w:rPr>
          <w:b/>
        </w:rPr>
        <w:t>Titular da Autorização de Introdução no Mercado</w:t>
      </w:r>
    </w:p>
    <w:p w14:paraId="39A6CF60" w14:textId="77777777" w:rsidR="00B76559" w:rsidRPr="00B64E29" w:rsidRDefault="00B76559" w:rsidP="00B76559">
      <w:pPr>
        <w:numPr>
          <w:ilvl w:val="12"/>
          <w:numId w:val="0"/>
        </w:numPr>
        <w:ind w:right="-2"/>
        <w:rPr>
          <w:noProof/>
          <w:lang w:val="en-US"/>
        </w:rPr>
      </w:pPr>
      <w:r w:rsidRPr="00B64E29">
        <w:rPr>
          <w:noProof/>
          <w:lang w:val="en-US"/>
        </w:rPr>
        <w:t>Samsung Bioepis NL B.V.</w:t>
      </w:r>
    </w:p>
    <w:p w14:paraId="4F6E6FCA" w14:textId="77777777" w:rsidR="00B76559" w:rsidRPr="009E7BE5" w:rsidRDefault="00B76559" w:rsidP="00B76559">
      <w:pPr>
        <w:numPr>
          <w:ilvl w:val="12"/>
          <w:numId w:val="0"/>
        </w:numPr>
        <w:ind w:right="-2"/>
        <w:rPr>
          <w:noProof/>
        </w:rPr>
      </w:pPr>
      <w:r w:rsidRPr="009E7BE5">
        <w:rPr>
          <w:noProof/>
        </w:rPr>
        <w:t>Olof Palmestraat 10</w:t>
      </w:r>
    </w:p>
    <w:p w14:paraId="5AC37106" w14:textId="77777777" w:rsidR="00B76559" w:rsidRPr="00472DFE" w:rsidRDefault="00B76559" w:rsidP="00B76559">
      <w:pPr>
        <w:numPr>
          <w:ilvl w:val="12"/>
          <w:numId w:val="0"/>
        </w:numPr>
        <w:ind w:right="-2"/>
        <w:rPr>
          <w:noProof/>
        </w:rPr>
      </w:pPr>
      <w:r w:rsidRPr="0058485B">
        <w:rPr>
          <w:noProof/>
        </w:rPr>
        <w:t xml:space="preserve">2616 LR </w:t>
      </w:r>
      <w:r w:rsidRPr="00472DFE">
        <w:rPr>
          <w:noProof/>
        </w:rPr>
        <w:t>Delft</w:t>
      </w:r>
    </w:p>
    <w:p w14:paraId="16D3C873" w14:textId="77777777" w:rsidR="006A358C" w:rsidRDefault="00B76559" w:rsidP="006A358C">
      <w:pPr>
        <w:rPr>
          <w:noProof/>
        </w:rPr>
      </w:pPr>
      <w:r w:rsidRPr="00A55B8C">
        <w:rPr>
          <w:noProof/>
        </w:rPr>
        <w:t>Países Baixos</w:t>
      </w:r>
    </w:p>
    <w:p w14:paraId="55BDB260" w14:textId="77777777" w:rsidR="00BD536A" w:rsidRDefault="00B64E43" w:rsidP="006A358C">
      <w:hyperlink r:id="rId17" w:history="1">
        <w:r w:rsidR="00BD536A" w:rsidRPr="008A55C9">
          <w:rPr>
            <w:rStyle w:val="Hyperlink"/>
          </w:rPr>
          <w:t>bioepis.mi@medinformation.co.uk</w:t>
        </w:r>
      </w:hyperlink>
    </w:p>
    <w:p w14:paraId="6970FB78" w14:textId="77777777" w:rsidR="006A358C" w:rsidRPr="009E7BE5" w:rsidRDefault="006A358C">
      <w:pPr>
        <w:numPr>
          <w:ilvl w:val="12"/>
          <w:numId w:val="0"/>
        </w:numPr>
        <w:ind w:right="-2"/>
      </w:pPr>
    </w:p>
    <w:p w14:paraId="2E6C0855" w14:textId="77777777" w:rsidR="00400398" w:rsidRDefault="00400398" w:rsidP="009161F6">
      <w:pPr>
        <w:keepNext/>
        <w:numPr>
          <w:ilvl w:val="12"/>
          <w:numId w:val="0"/>
        </w:numPr>
        <w:ind w:right="-2"/>
        <w:outlineLvl w:val="0"/>
        <w:rPr>
          <w:b/>
          <w:noProof/>
          <w:lang w:val="es-ES"/>
        </w:rPr>
      </w:pPr>
      <w:r w:rsidRPr="00D91337">
        <w:rPr>
          <w:b/>
          <w:noProof/>
          <w:lang w:val="es-ES"/>
        </w:rPr>
        <w:t>Fabricante</w:t>
      </w:r>
    </w:p>
    <w:p w14:paraId="01886146" w14:textId="77777777" w:rsidR="00B94FF3" w:rsidRPr="008976C3" w:rsidRDefault="00B94FF3" w:rsidP="009161F6">
      <w:pPr>
        <w:keepNext/>
        <w:rPr>
          <w:color w:val="000000"/>
          <w:szCs w:val="22"/>
          <w:lang w:val="en-GB"/>
        </w:rPr>
      </w:pPr>
      <w:r w:rsidRPr="008976C3">
        <w:rPr>
          <w:color w:val="000000"/>
          <w:szCs w:val="22"/>
          <w:lang w:val="en-GB"/>
        </w:rPr>
        <w:t>Samsung Bioepis NL B.V.</w:t>
      </w:r>
    </w:p>
    <w:p w14:paraId="68087D57" w14:textId="77777777" w:rsidR="00B94FF3" w:rsidRPr="004B3E5D" w:rsidRDefault="00B94FF3" w:rsidP="00B94FF3">
      <w:pPr>
        <w:rPr>
          <w:color w:val="000000"/>
          <w:szCs w:val="22"/>
        </w:rPr>
      </w:pPr>
      <w:r w:rsidRPr="004B3E5D">
        <w:rPr>
          <w:color w:val="000000"/>
          <w:szCs w:val="22"/>
        </w:rPr>
        <w:t>Olof Palmestraat 10</w:t>
      </w:r>
    </w:p>
    <w:p w14:paraId="28BD5451" w14:textId="77777777" w:rsidR="00B94FF3" w:rsidRPr="004B3E5D" w:rsidRDefault="00B94FF3" w:rsidP="00B94FF3">
      <w:pPr>
        <w:rPr>
          <w:color w:val="000000"/>
          <w:szCs w:val="22"/>
        </w:rPr>
      </w:pPr>
      <w:r w:rsidRPr="004B3E5D">
        <w:rPr>
          <w:color w:val="000000"/>
          <w:szCs w:val="22"/>
        </w:rPr>
        <w:t>2616 LR Delft</w:t>
      </w:r>
    </w:p>
    <w:p w14:paraId="025860FA" w14:textId="77777777" w:rsidR="00B94FF3" w:rsidRDefault="00B94FF3" w:rsidP="00B94FF3">
      <w:pPr>
        <w:rPr>
          <w:color w:val="000000"/>
          <w:szCs w:val="22"/>
        </w:rPr>
      </w:pPr>
      <w:r w:rsidRPr="004B3E5D">
        <w:rPr>
          <w:color w:val="000000"/>
          <w:szCs w:val="22"/>
        </w:rPr>
        <w:t>Países Baixos</w:t>
      </w:r>
    </w:p>
    <w:p w14:paraId="138CF71E" w14:textId="77777777" w:rsidR="00400398" w:rsidRPr="00C82494" w:rsidRDefault="00400398">
      <w:pPr>
        <w:numPr>
          <w:ilvl w:val="12"/>
          <w:numId w:val="0"/>
        </w:numPr>
        <w:ind w:right="-2"/>
        <w:outlineLvl w:val="0"/>
        <w:rPr>
          <w:noProof/>
        </w:rPr>
      </w:pPr>
    </w:p>
    <w:p w14:paraId="21F0F865" w14:textId="77777777" w:rsidR="00400398" w:rsidRDefault="00400398" w:rsidP="00897B6E">
      <w:pPr>
        <w:keepNext/>
        <w:numPr>
          <w:ilvl w:val="12"/>
          <w:numId w:val="0"/>
        </w:numPr>
        <w:ind w:right="-2"/>
      </w:pPr>
      <w:r w:rsidRPr="007232E4">
        <w:t>Para quaisquer informações sobre este medicamento, queira contactar o representante local do Titular da Autorização de Introdução no Mercado</w:t>
      </w:r>
      <w:r w:rsidR="00216910">
        <w:t>:</w:t>
      </w:r>
    </w:p>
    <w:p w14:paraId="3475F18A" w14:textId="77777777" w:rsidR="00216910" w:rsidRDefault="00216910" w:rsidP="00897B6E">
      <w:pPr>
        <w:keepNext/>
        <w:numPr>
          <w:ilvl w:val="12"/>
          <w:numId w:val="0"/>
        </w:numPr>
        <w:ind w:right="-2"/>
      </w:pPr>
    </w:p>
    <w:p w14:paraId="2BC0137A" w14:textId="77777777" w:rsidR="00216910" w:rsidRPr="009E7BE5" w:rsidRDefault="00216910" w:rsidP="00216910">
      <w:pPr>
        <w:numPr>
          <w:ilvl w:val="12"/>
          <w:numId w:val="0"/>
        </w:numPr>
        <w:rPr>
          <w:strike/>
          <w:noProof/>
          <w:szCs w:val="22"/>
        </w:rPr>
      </w:pPr>
    </w:p>
    <w:tbl>
      <w:tblPr>
        <w:tblW w:w="9322" w:type="dxa"/>
        <w:tblLayout w:type="fixed"/>
        <w:tblLook w:val="0000" w:firstRow="0" w:lastRow="0" w:firstColumn="0" w:lastColumn="0" w:noHBand="0" w:noVBand="0"/>
      </w:tblPr>
      <w:tblGrid>
        <w:gridCol w:w="4644"/>
        <w:gridCol w:w="4678"/>
      </w:tblGrid>
      <w:tr w:rsidR="00216910" w:rsidRPr="00215594" w14:paraId="386D5BDD" w14:textId="77777777" w:rsidTr="00D91337">
        <w:trPr>
          <w:cantSplit/>
        </w:trPr>
        <w:tc>
          <w:tcPr>
            <w:tcW w:w="4644" w:type="dxa"/>
          </w:tcPr>
          <w:p w14:paraId="02B7E8B8" w14:textId="77777777" w:rsidR="00216910" w:rsidRPr="00215594" w:rsidRDefault="00216910" w:rsidP="00EF7876">
            <w:pPr>
              <w:rPr>
                <w:noProof/>
                <w:szCs w:val="22"/>
                <w:lang w:val="de-DE"/>
              </w:rPr>
            </w:pPr>
            <w:r w:rsidRPr="00215594">
              <w:rPr>
                <w:b/>
                <w:noProof/>
                <w:szCs w:val="22"/>
                <w:lang w:val="de-DE"/>
              </w:rPr>
              <w:t>België/Belgique/Belgien</w:t>
            </w:r>
          </w:p>
          <w:p w14:paraId="64679390" w14:textId="77777777" w:rsidR="00216910" w:rsidRPr="009175A7" w:rsidRDefault="00216910" w:rsidP="00EF7876">
            <w:pPr>
              <w:rPr>
                <w:noProof/>
                <w:szCs w:val="22"/>
                <w:lang w:val="de-DE" w:eastAsia="ko-KR"/>
              </w:rPr>
            </w:pPr>
            <w:r w:rsidRPr="009175A7">
              <w:rPr>
                <w:noProof/>
                <w:szCs w:val="22"/>
                <w:lang w:val="de-DE" w:eastAsia="ko-KR"/>
              </w:rPr>
              <w:t>Samsung Bioepis NL B.V.</w:t>
            </w:r>
          </w:p>
          <w:p w14:paraId="7494E868" w14:textId="77777777" w:rsidR="00216910" w:rsidRPr="008976C3" w:rsidRDefault="00216910" w:rsidP="00EF7876">
            <w:pPr>
              <w:numPr>
                <w:ilvl w:val="12"/>
                <w:numId w:val="0"/>
              </w:numPr>
              <w:ind w:right="-2"/>
              <w:rPr>
                <w:noProof/>
                <w:lang w:val="en-GB"/>
              </w:rPr>
            </w:pPr>
            <w:r w:rsidRPr="008976C3">
              <w:rPr>
                <w:noProof/>
                <w:lang w:val="en-GB"/>
              </w:rPr>
              <w:t>Olof Palmestraat 10, 2616 LR Delft</w:t>
            </w:r>
          </w:p>
          <w:p w14:paraId="0FA4E09C" w14:textId="77777777" w:rsidR="00216910" w:rsidRPr="008976C3" w:rsidRDefault="00216910" w:rsidP="00EF7876">
            <w:pPr>
              <w:rPr>
                <w:noProof/>
                <w:szCs w:val="22"/>
                <w:lang w:val="en-GB" w:eastAsia="ko-KR"/>
              </w:rPr>
            </w:pPr>
            <w:r w:rsidRPr="008976C3">
              <w:rPr>
                <w:noProof/>
                <w:szCs w:val="22"/>
                <w:lang w:val="en-GB" w:eastAsia="ko-KR"/>
              </w:rPr>
              <w:t>Nederland/Pays-Bas/Niederlande</w:t>
            </w:r>
            <w:r w:rsidRPr="008976C3" w:rsidDel="00605AED">
              <w:rPr>
                <w:noProof/>
                <w:szCs w:val="22"/>
                <w:lang w:val="en-GB" w:eastAsia="ko-KR"/>
              </w:rPr>
              <w:t xml:space="preserve"> </w:t>
            </w:r>
          </w:p>
          <w:p w14:paraId="434979D8" w14:textId="77777777" w:rsidR="00760789" w:rsidRDefault="00B64E43" w:rsidP="00EF7876">
            <w:hyperlink r:id="rId18" w:history="1">
              <w:r w:rsidR="00760789" w:rsidRPr="008A55C9">
                <w:rPr>
                  <w:rStyle w:val="Hyperlink"/>
                </w:rPr>
                <w:t>bioepis.mi@medinformation.co.uk</w:t>
              </w:r>
            </w:hyperlink>
          </w:p>
          <w:p w14:paraId="74D41DA5" w14:textId="77777777" w:rsidR="00760789" w:rsidRPr="00B64E29" w:rsidRDefault="00760789" w:rsidP="00EF7876">
            <w:pPr>
              <w:rPr>
                <w:rFonts w:eastAsia="Yu Mincho"/>
                <w:noProof/>
                <w:szCs w:val="22"/>
              </w:rPr>
            </w:pPr>
          </w:p>
        </w:tc>
        <w:tc>
          <w:tcPr>
            <w:tcW w:w="4678" w:type="dxa"/>
          </w:tcPr>
          <w:p w14:paraId="08823C67" w14:textId="77777777" w:rsidR="00216910" w:rsidRPr="00B64E29" w:rsidRDefault="00216910" w:rsidP="00EF7876">
            <w:pPr>
              <w:autoSpaceDE w:val="0"/>
              <w:autoSpaceDN w:val="0"/>
              <w:adjustRightInd w:val="0"/>
              <w:rPr>
                <w:noProof/>
                <w:szCs w:val="22"/>
                <w:lang w:val="en-US"/>
              </w:rPr>
            </w:pPr>
            <w:r w:rsidRPr="00B64E29">
              <w:rPr>
                <w:b/>
                <w:noProof/>
                <w:szCs w:val="22"/>
                <w:lang w:val="en-US"/>
              </w:rPr>
              <w:t>Lietuva</w:t>
            </w:r>
          </w:p>
          <w:p w14:paraId="0753FFD5" w14:textId="77777777" w:rsidR="00216910" w:rsidRPr="00B64E29" w:rsidRDefault="00216910" w:rsidP="00EF7876">
            <w:pPr>
              <w:rPr>
                <w:noProof/>
                <w:szCs w:val="22"/>
                <w:lang w:val="en-US" w:eastAsia="ko-KR"/>
              </w:rPr>
            </w:pPr>
            <w:r w:rsidRPr="00B64E29">
              <w:rPr>
                <w:noProof/>
                <w:szCs w:val="22"/>
                <w:lang w:val="en-US" w:eastAsia="ko-KR"/>
              </w:rPr>
              <w:t>Samsung Bioepis NL B.V.</w:t>
            </w:r>
          </w:p>
          <w:p w14:paraId="3C8A3BA3" w14:textId="77777777" w:rsidR="00216910" w:rsidRPr="00215594" w:rsidRDefault="00216910" w:rsidP="00EF7876">
            <w:pPr>
              <w:numPr>
                <w:ilvl w:val="12"/>
                <w:numId w:val="0"/>
              </w:numPr>
              <w:ind w:right="-2"/>
              <w:rPr>
                <w:noProof/>
              </w:rPr>
            </w:pPr>
            <w:r w:rsidRPr="00215594">
              <w:rPr>
                <w:noProof/>
              </w:rPr>
              <w:t>Olof Palmestraat 10, 2616 LR Delft</w:t>
            </w:r>
          </w:p>
          <w:p w14:paraId="1E1EAAF8" w14:textId="77777777" w:rsidR="00216910" w:rsidRPr="00215594" w:rsidRDefault="00216910" w:rsidP="00EF7876">
            <w:pPr>
              <w:numPr>
                <w:ilvl w:val="12"/>
                <w:numId w:val="0"/>
              </w:numPr>
              <w:ind w:right="-2"/>
              <w:rPr>
                <w:noProof/>
                <w:lang w:val="lt-LT"/>
              </w:rPr>
            </w:pPr>
            <w:r w:rsidRPr="00215594">
              <w:rPr>
                <w:noProof/>
                <w:lang w:val="lt-LT"/>
              </w:rPr>
              <w:t>Nyderlandai</w:t>
            </w:r>
          </w:p>
          <w:p w14:paraId="19919BE7" w14:textId="77777777" w:rsidR="00216910" w:rsidRDefault="00B64E43" w:rsidP="00EF7876">
            <w:pPr>
              <w:autoSpaceDE w:val="0"/>
              <w:autoSpaceDN w:val="0"/>
              <w:adjustRightInd w:val="0"/>
            </w:pPr>
            <w:hyperlink r:id="rId19" w:history="1">
              <w:r w:rsidR="00760789" w:rsidRPr="008A55C9">
                <w:rPr>
                  <w:rStyle w:val="Hyperlink"/>
                </w:rPr>
                <w:t>bioepis.mi@medinformation.co.uk</w:t>
              </w:r>
            </w:hyperlink>
          </w:p>
          <w:p w14:paraId="02169C0D" w14:textId="77777777" w:rsidR="00760789" w:rsidRPr="00B64E29" w:rsidRDefault="00760789" w:rsidP="00EF7876">
            <w:pPr>
              <w:autoSpaceDE w:val="0"/>
              <w:autoSpaceDN w:val="0"/>
              <w:adjustRightInd w:val="0"/>
              <w:rPr>
                <w:rFonts w:eastAsia="Yu Mincho"/>
                <w:noProof/>
                <w:szCs w:val="22"/>
              </w:rPr>
            </w:pPr>
          </w:p>
        </w:tc>
      </w:tr>
      <w:tr w:rsidR="00216910" w:rsidRPr="00B64E29" w14:paraId="305DDC32" w14:textId="77777777" w:rsidTr="00D91337">
        <w:trPr>
          <w:cantSplit/>
        </w:trPr>
        <w:tc>
          <w:tcPr>
            <w:tcW w:w="4644" w:type="dxa"/>
          </w:tcPr>
          <w:p w14:paraId="566A0F84" w14:textId="77777777" w:rsidR="00216910" w:rsidRPr="008976C3" w:rsidRDefault="00216910" w:rsidP="00EF7876">
            <w:pPr>
              <w:autoSpaceDE w:val="0"/>
              <w:autoSpaceDN w:val="0"/>
              <w:adjustRightInd w:val="0"/>
              <w:rPr>
                <w:b/>
                <w:bCs/>
                <w:szCs w:val="22"/>
                <w:lang w:val="en-GB"/>
              </w:rPr>
            </w:pPr>
            <w:r w:rsidRPr="00215594">
              <w:rPr>
                <w:b/>
                <w:bCs/>
                <w:szCs w:val="22"/>
              </w:rPr>
              <w:t>България</w:t>
            </w:r>
          </w:p>
          <w:p w14:paraId="3DE230D1" w14:textId="77777777" w:rsidR="00216910" w:rsidRPr="008976C3" w:rsidRDefault="00216910" w:rsidP="0039760E">
            <w:pPr>
              <w:rPr>
                <w:bCs/>
                <w:szCs w:val="22"/>
                <w:lang w:val="en-GB"/>
              </w:rPr>
            </w:pPr>
            <w:r w:rsidRPr="008976C3">
              <w:rPr>
                <w:bCs/>
                <w:szCs w:val="22"/>
                <w:lang w:val="en-GB"/>
              </w:rPr>
              <w:t>Samsung Bioepis NL B.V.</w:t>
            </w:r>
          </w:p>
          <w:p w14:paraId="2977910D" w14:textId="77777777" w:rsidR="00216910" w:rsidRPr="00215594" w:rsidRDefault="00216910" w:rsidP="0039760E">
            <w:pPr>
              <w:numPr>
                <w:ilvl w:val="12"/>
                <w:numId w:val="0"/>
              </w:numPr>
              <w:ind w:right="-2"/>
              <w:rPr>
                <w:bCs/>
                <w:szCs w:val="22"/>
              </w:rPr>
            </w:pPr>
            <w:r w:rsidRPr="00215594">
              <w:rPr>
                <w:bCs/>
                <w:szCs w:val="22"/>
              </w:rPr>
              <w:t>Olof Palmestraat 10, 2616 LR Delft</w:t>
            </w:r>
          </w:p>
          <w:p w14:paraId="6B04725E" w14:textId="77777777" w:rsidR="00216910" w:rsidRDefault="0039760E" w:rsidP="0039760E">
            <w:pPr>
              <w:autoSpaceDE w:val="0"/>
              <w:autoSpaceDN w:val="0"/>
              <w:adjustRightInd w:val="0"/>
            </w:pPr>
            <w:r>
              <w:t>Нидерландия</w:t>
            </w:r>
          </w:p>
          <w:p w14:paraId="24A46767" w14:textId="77777777" w:rsidR="00760789" w:rsidRDefault="00B64E43" w:rsidP="0039760E">
            <w:pPr>
              <w:autoSpaceDE w:val="0"/>
              <w:autoSpaceDN w:val="0"/>
              <w:adjustRightInd w:val="0"/>
            </w:pPr>
            <w:hyperlink r:id="rId20" w:history="1">
              <w:r w:rsidR="00760789" w:rsidRPr="008A55C9">
                <w:rPr>
                  <w:rStyle w:val="Hyperlink"/>
                </w:rPr>
                <w:t>bioepis.mi@medinformation.co.uk</w:t>
              </w:r>
            </w:hyperlink>
          </w:p>
          <w:p w14:paraId="521F9995" w14:textId="77777777" w:rsidR="00760789" w:rsidRPr="00B64E29" w:rsidRDefault="00760789" w:rsidP="0039760E">
            <w:pPr>
              <w:autoSpaceDE w:val="0"/>
              <w:autoSpaceDN w:val="0"/>
              <w:adjustRightInd w:val="0"/>
              <w:rPr>
                <w:rFonts w:eastAsia="Yu Mincho"/>
                <w:b/>
                <w:bCs/>
                <w:szCs w:val="22"/>
              </w:rPr>
            </w:pPr>
          </w:p>
        </w:tc>
        <w:tc>
          <w:tcPr>
            <w:tcW w:w="4678" w:type="dxa"/>
          </w:tcPr>
          <w:p w14:paraId="2153C7B1" w14:textId="77777777" w:rsidR="00216910" w:rsidRPr="00215594" w:rsidRDefault="00216910" w:rsidP="00EF7876">
            <w:pPr>
              <w:tabs>
                <w:tab w:val="left" w:pos="-720"/>
              </w:tabs>
              <w:suppressAutoHyphens/>
              <w:rPr>
                <w:noProof/>
                <w:szCs w:val="22"/>
                <w:lang w:val="de-DE"/>
              </w:rPr>
            </w:pPr>
            <w:r w:rsidRPr="00215594">
              <w:rPr>
                <w:b/>
                <w:noProof/>
                <w:szCs w:val="22"/>
                <w:lang w:val="de-DE"/>
              </w:rPr>
              <w:t>Luxembourg/Luxemburg</w:t>
            </w:r>
          </w:p>
          <w:p w14:paraId="26208D9F" w14:textId="77777777" w:rsidR="00216910" w:rsidRPr="009175A7" w:rsidRDefault="00216910" w:rsidP="00EF7876">
            <w:pPr>
              <w:rPr>
                <w:noProof/>
                <w:szCs w:val="22"/>
                <w:lang w:val="de-DE" w:eastAsia="ko-KR"/>
              </w:rPr>
            </w:pPr>
            <w:r w:rsidRPr="009175A7">
              <w:rPr>
                <w:noProof/>
                <w:szCs w:val="22"/>
                <w:lang w:val="de-DE" w:eastAsia="ko-KR"/>
              </w:rPr>
              <w:t>Samsung Bioepis NL B.V.</w:t>
            </w:r>
          </w:p>
          <w:p w14:paraId="49E5C8B4" w14:textId="77777777" w:rsidR="00216910" w:rsidRPr="00215594" w:rsidRDefault="00216910" w:rsidP="00EF7876">
            <w:pPr>
              <w:numPr>
                <w:ilvl w:val="12"/>
                <w:numId w:val="0"/>
              </w:numPr>
              <w:ind w:right="-2"/>
              <w:rPr>
                <w:noProof/>
                <w:szCs w:val="22"/>
                <w:lang w:val="de-DE"/>
              </w:rPr>
            </w:pPr>
            <w:r w:rsidRPr="00215594">
              <w:rPr>
                <w:noProof/>
                <w:lang w:val="de-DE"/>
              </w:rPr>
              <w:t>Olof Palmestraat 10, 2616 LR Delft</w:t>
            </w:r>
          </w:p>
          <w:p w14:paraId="0F518739" w14:textId="77777777" w:rsidR="00216910" w:rsidRPr="00592076" w:rsidRDefault="00216910" w:rsidP="00EF7876">
            <w:pPr>
              <w:autoSpaceDE w:val="0"/>
              <w:autoSpaceDN w:val="0"/>
              <w:adjustRightInd w:val="0"/>
              <w:rPr>
                <w:rFonts w:eastAsia="TimesNewRoman"/>
                <w:szCs w:val="22"/>
                <w:lang w:val="de-DE"/>
              </w:rPr>
            </w:pPr>
            <w:r>
              <w:rPr>
                <w:rFonts w:eastAsia="TimesNewRoman"/>
                <w:szCs w:val="22"/>
                <w:lang w:val="de-DE"/>
              </w:rPr>
              <w:t>Holland/</w:t>
            </w:r>
            <w:r w:rsidRPr="009175A7">
              <w:rPr>
                <w:noProof/>
                <w:szCs w:val="22"/>
                <w:lang w:val="de-DE" w:eastAsia="ko-KR"/>
              </w:rPr>
              <w:t>Niederlande</w:t>
            </w:r>
          </w:p>
          <w:p w14:paraId="45BD436A" w14:textId="77777777" w:rsidR="00216910" w:rsidRDefault="00B64E43" w:rsidP="00EF7876">
            <w:pPr>
              <w:tabs>
                <w:tab w:val="left" w:pos="-720"/>
              </w:tabs>
              <w:suppressAutoHyphens/>
            </w:pPr>
            <w:hyperlink r:id="rId21" w:history="1">
              <w:r w:rsidR="00760789" w:rsidRPr="008A55C9">
                <w:rPr>
                  <w:rStyle w:val="Hyperlink"/>
                </w:rPr>
                <w:t>bioepis.mi@medinformation.co.uk</w:t>
              </w:r>
            </w:hyperlink>
          </w:p>
          <w:p w14:paraId="08D00BB5" w14:textId="77777777" w:rsidR="00760789" w:rsidRPr="00B64E29" w:rsidRDefault="00760789" w:rsidP="00EF7876">
            <w:pPr>
              <w:tabs>
                <w:tab w:val="left" w:pos="-720"/>
              </w:tabs>
              <w:suppressAutoHyphens/>
              <w:rPr>
                <w:noProof/>
                <w:szCs w:val="22"/>
                <w:lang w:eastAsia="ko-KR"/>
              </w:rPr>
            </w:pPr>
          </w:p>
        </w:tc>
      </w:tr>
      <w:tr w:rsidR="00216910" w:rsidRPr="00215594" w14:paraId="0229B613" w14:textId="77777777" w:rsidTr="00D91337">
        <w:trPr>
          <w:cantSplit/>
          <w:trHeight w:val="868"/>
        </w:trPr>
        <w:tc>
          <w:tcPr>
            <w:tcW w:w="4644" w:type="dxa"/>
          </w:tcPr>
          <w:p w14:paraId="1BD541E8" w14:textId="77777777" w:rsidR="00216910" w:rsidRPr="00B64E29" w:rsidRDefault="00216910" w:rsidP="00EF7876">
            <w:pPr>
              <w:tabs>
                <w:tab w:val="left" w:pos="-720"/>
              </w:tabs>
              <w:suppressAutoHyphens/>
              <w:rPr>
                <w:noProof/>
                <w:szCs w:val="22"/>
                <w:lang w:val="en-US"/>
              </w:rPr>
            </w:pPr>
            <w:r w:rsidRPr="00B64E29">
              <w:rPr>
                <w:b/>
                <w:noProof/>
                <w:szCs w:val="22"/>
                <w:lang w:val="en-US"/>
              </w:rPr>
              <w:t>Česká republika</w:t>
            </w:r>
          </w:p>
          <w:p w14:paraId="5F4E2FA8" w14:textId="77777777" w:rsidR="00216910" w:rsidRPr="00B64E29" w:rsidRDefault="00216910" w:rsidP="00EF7876">
            <w:pPr>
              <w:rPr>
                <w:noProof/>
                <w:szCs w:val="22"/>
                <w:lang w:val="en-US" w:eastAsia="ko-KR"/>
              </w:rPr>
            </w:pPr>
            <w:r w:rsidRPr="00B64E29">
              <w:rPr>
                <w:noProof/>
                <w:szCs w:val="22"/>
                <w:lang w:val="en-US" w:eastAsia="ko-KR"/>
              </w:rPr>
              <w:t>Samsung Bioepis NL B.V.</w:t>
            </w:r>
          </w:p>
          <w:p w14:paraId="558719B8" w14:textId="77777777" w:rsidR="00216910" w:rsidRPr="00D91337" w:rsidRDefault="00216910" w:rsidP="00EF7876">
            <w:pPr>
              <w:numPr>
                <w:ilvl w:val="12"/>
                <w:numId w:val="0"/>
              </w:numPr>
              <w:ind w:right="-2"/>
              <w:rPr>
                <w:noProof/>
                <w:szCs w:val="22"/>
              </w:rPr>
            </w:pPr>
            <w:r w:rsidRPr="00D91337">
              <w:rPr>
                <w:noProof/>
              </w:rPr>
              <w:t>Olof Palmestraat 10, 2616 LR Delft</w:t>
            </w:r>
          </w:p>
          <w:p w14:paraId="3AF291F1" w14:textId="77777777" w:rsidR="00216910" w:rsidRDefault="00216910" w:rsidP="00EF7876">
            <w:pPr>
              <w:rPr>
                <w:noProof/>
                <w:szCs w:val="22"/>
                <w:lang w:eastAsia="ko-KR"/>
              </w:rPr>
            </w:pPr>
            <w:r w:rsidRPr="00D91337">
              <w:rPr>
                <w:noProof/>
                <w:szCs w:val="22"/>
                <w:lang w:eastAsia="ko-KR"/>
              </w:rPr>
              <w:t>Nizozemsko</w:t>
            </w:r>
          </w:p>
          <w:p w14:paraId="06D5AC30" w14:textId="77777777" w:rsidR="00760789" w:rsidRDefault="00B64E43" w:rsidP="00EF7876">
            <w:hyperlink r:id="rId22" w:history="1">
              <w:r w:rsidR="00760789" w:rsidRPr="008A55C9">
                <w:rPr>
                  <w:rStyle w:val="Hyperlink"/>
                </w:rPr>
                <w:t>bioepis.mi@medinformation.co.uk</w:t>
              </w:r>
            </w:hyperlink>
          </w:p>
          <w:p w14:paraId="4E3B548D" w14:textId="77777777" w:rsidR="00760789" w:rsidRPr="00B64E29" w:rsidRDefault="00760789" w:rsidP="00EF7876">
            <w:pPr>
              <w:rPr>
                <w:rFonts w:eastAsia="Yu Mincho"/>
                <w:noProof/>
                <w:szCs w:val="22"/>
              </w:rPr>
            </w:pPr>
          </w:p>
        </w:tc>
        <w:tc>
          <w:tcPr>
            <w:tcW w:w="4678" w:type="dxa"/>
          </w:tcPr>
          <w:p w14:paraId="55277804" w14:textId="77777777" w:rsidR="00216910" w:rsidRPr="00B64E29" w:rsidRDefault="00216910" w:rsidP="00EF7876">
            <w:pPr>
              <w:rPr>
                <w:b/>
                <w:noProof/>
                <w:szCs w:val="22"/>
                <w:lang w:val="en-US"/>
              </w:rPr>
            </w:pPr>
            <w:r w:rsidRPr="00B64E29">
              <w:rPr>
                <w:b/>
                <w:noProof/>
                <w:szCs w:val="22"/>
                <w:lang w:val="en-US"/>
              </w:rPr>
              <w:t>Magyarország</w:t>
            </w:r>
          </w:p>
          <w:p w14:paraId="663426A4" w14:textId="77777777" w:rsidR="00216910" w:rsidRPr="00B64E29" w:rsidRDefault="00216910" w:rsidP="00EF7876">
            <w:pPr>
              <w:rPr>
                <w:noProof/>
                <w:szCs w:val="22"/>
                <w:lang w:val="en-US" w:eastAsia="ko-KR"/>
              </w:rPr>
            </w:pPr>
            <w:r w:rsidRPr="00B64E29">
              <w:rPr>
                <w:noProof/>
                <w:szCs w:val="22"/>
                <w:lang w:val="en-US" w:eastAsia="ko-KR"/>
              </w:rPr>
              <w:t>Samsung Bioepis NL B.V.</w:t>
            </w:r>
          </w:p>
          <w:p w14:paraId="79BB3EB6" w14:textId="77777777" w:rsidR="00216910" w:rsidRPr="00D91337" w:rsidRDefault="00216910" w:rsidP="00EF7876">
            <w:pPr>
              <w:numPr>
                <w:ilvl w:val="12"/>
                <w:numId w:val="0"/>
              </w:numPr>
              <w:ind w:right="-2"/>
              <w:rPr>
                <w:noProof/>
                <w:szCs w:val="22"/>
              </w:rPr>
            </w:pPr>
            <w:r w:rsidRPr="00D91337">
              <w:rPr>
                <w:noProof/>
              </w:rPr>
              <w:t>Olof Palmestraat 10, 2616 LR Delft</w:t>
            </w:r>
          </w:p>
          <w:p w14:paraId="1F61C3DB" w14:textId="77777777" w:rsidR="00216910" w:rsidRPr="003E4986" w:rsidRDefault="00216910" w:rsidP="00EF7876">
            <w:pPr>
              <w:autoSpaceDE w:val="0"/>
              <w:autoSpaceDN w:val="0"/>
              <w:adjustRightInd w:val="0"/>
              <w:rPr>
                <w:rFonts w:eastAsia="TimesNewRoman"/>
                <w:szCs w:val="22"/>
              </w:rPr>
            </w:pPr>
            <w:r w:rsidRPr="00EC7AD2">
              <w:rPr>
                <w:rFonts w:eastAsia="TimesNewRoman"/>
                <w:szCs w:val="22"/>
              </w:rPr>
              <w:t>Hollandia</w:t>
            </w:r>
          </w:p>
          <w:p w14:paraId="04A3663B" w14:textId="77777777" w:rsidR="00216910" w:rsidRDefault="00B64E43" w:rsidP="00EF7876">
            <w:hyperlink r:id="rId23" w:history="1">
              <w:r w:rsidR="00760789" w:rsidRPr="008A55C9">
                <w:rPr>
                  <w:rStyle w:val="Hyperlink"/>
                </w:rPr>
                <w:t>bioepis.mi@medinformation.co.uk</w:t>
              </w:r>
            </w:hyperlink>
          </w:p>
          <w:p w14:paraId="0B95855B" w14:textId="77777777" w:rsidR="00760789" w:rsidRPr="00B64E29" w:rsidRDefault="00760789" w:rsidP="00EF7876">
            <w:pPr>
              <w:rPr>
                <w:noProof/>
                <w:szCs w:val="22"/>
                <w:lang w:eastAsia="ko-KR"/>
              </w:rPr>
            </w:pPr>
          </w:p>
        </w:tc>
      </w:tr>
      <w:tr w:rsidR="00216910" w:rsidRPr="00215594" w14:paraId="44082C18" w14:textId="77777777" w:rsidTr="00D91337">
        <w:trPr>
          <w:cantSplit/>
        </w:trPr>
        <w:tc>
          <w:tcPr>
            <w:tcW w:w="4644" w:type="dxa"/>
          </w:tcPr>
          <w:p w14:paraId="153AAB5B" w14:textId="77777777" w:rsidR="00216910" w:rsidRPr="00215594" w:rsidRDefault="00216910" w:rsidP="00EF7876">
            <w:pPr>
              <w:rPr>
                <w:noProof/>
                <w:szCs w:val="22"/>
                <w:lang w:val="da-DK"/>
              </w:rPr>
            </w:pPr>
            <w:r w:rsidRPr="00215594">
              <w:rPr>
                <w:b/>
                <w:noProof/>
                <w:szCs w:val="22"/>
                <w:lang w:val="da-DK"/>
              </w:rPr>
              <w:t>Danmark</w:t>
            </w:r>
          </w:p>
          <w:p w14:paraId="06CC7B3C" w14:textId="77777777" w:rsidR="00216910" w:rsidRPr="009175A7" w:rsidRDefault="00216910" w:rsidP="00EF7876">
            <w:pPr>
              <w:rPr>
                <w:noProof/>
                <w:szCs w:val="22"/>
                <w:lang w:val="da-DK" w:eastAsia="ko-KR"/>
              </w:rPr>
            </w:pPr>
            <w:r w:rsidRPr="009175A7">
              <w:rPr>
                <w:noProof/>
                <w:szCs w:val="22"/>
                <w:lang w:val="da-DK" w:eastAsia="ko-KR"/>
              </w:rPr>
              <w:t>Samsung Bioepis NL B.V.</w:t>
            </w:r>
          </w:p>
          <w:p w14:paraId="6DA0679D" w14:textId="77777777" w:rsidR="00216910" w:rsidRPr="00B64E29" w:rsidRDefault="00216910" w:rsidP="00EF7876">
            <w:pPr>
              <w:numPr>
                <w:ilvl w:val="12"/>
                <w:numId w:val="0"/>
              </w:numPr>
              <w:ind w:right="-2"/>
              <w:rPr>
                <w:noProof/>
                <w:lang w:val="en-US"/>
              </w:rPr>
            </w:pPr>
            <w:r w:rsidRPr="00B64E29">
              <w:rPr>
                <w:noProof/>
                <w:lang w:val="en-US"/>
              </w:rPr>
              <w:t>Olof Palmestraat 10, 2616 LR Delft</w:t>
            </w:r>
          </w:p>
          <w:p w14:paraId="3DB3E26E" w14:textId="77777777" w:rsidR="00216910" w:rsidRPr="00B64E29" w:rsidRDefault="00216910" w:rsidP="00EF7876">
            <w:pPr>
              <w:numPr>
                <w:ilvl w:val="12"/>
                <w:numId w:val="0"/>
              </w:numPr>
              <w:ind w:right="-2"/>
              <w:rPr>
                <w:noProof/>
                <w:lang w:val="en-US" w:eastAsia="ko-KR"/>
              </w:rPr>
            </w:pPr>
            <w:r w:rsidRPr="00B64E29">
              <w:rPr>
                <w:rFonts w:hint="eastAsia"/>
                <w:noProof/>
                <w:lang w:val="en-US" w:eastAsia="ko-KR"/>
              </w:rPr>
              <w:t>H</w:t>
            </w:r>
            <w:r w:rsidRPr="00B64E29">
              <w:rPr>
                <w:noProof/>
                <w:lang w:val="en-US" w:eastAsia="ko-KR"/>
              </w:rPr>
              <w:t>olland</w:t>
            </w:r>
          </w:p>
          <w:p w14:paraId="39025B1F" w14:textId="77777777" w:rsidR="00760789" w:rsidRDefault="00B64E43" w:rsidP="00EF7876">
            <w:hyperlink r:id="rId24" w:history="1">
              <w:r w:rsidR="00760789" w:rsidRPr="008A55C9">
                <w:rPr>
                  <w:rStyle w:val="Hyperlink"/>
                </w:rPr>
                <w:t>bioepis.mi@medinformation.co.uk</w:t>
              </w:r>
            </w:hyperlink>
          </w:p>
          <w:p w14:paraId="2A6E80D7" w14:textId="77777777" w:rsidR="00216910" w:rsidRPr="00B64E29" w:rsidRDefault="00760789" w:rsidP="00EF7876">
            <w:pPr>
              <w:rPr>
                <w:noProof/>
                <w:szCs w:val="22"/>
                <w:lang w:val="en-US"/>
              </w:rPr>
            </w:pPr>
            <w:r>
              <w:t xml:space="preserve"> </w:t>
            </w:r>
          </w:p>
        </w:tc>
        <w:tc>
          <w:tcPr>
            <w:tcW w:w="4678" w:type="dxa"/>
          </w:tcPr>
          <w:p w14:paraId="6C518401" w14:textId="77777777" w:rsidR="00216910" w:rsidRPr="00215594" w:rsidRDefault="00216910" w:rsidP="00EF7876">
            <w:pPr>
              <w:rPr>
                <w:b/>
                <w:noProof/>
                <w:szCs w:val="22"/>
                <w:lang w:val="nn-NO"/>
              </w:rPr>
            </w:pPr>
            <w:r w:rsidRPr="00215594">
              <w:rPr>
                <w:b/>
                <w:noProof/>
                <w:szCs w:val="22"/>
                <w:lang w:val="nn-NO"/>
              </w:rPr>
              <w:t>Malta</w:t>
            </w:r>
          </w:p>
          <w:p w14:paraId="0E421AA5" w14:textId="77777777" w:rsidR="00216910" w:rsidRPr="009175A7" w:rsidRDefault="00216910" w:rsidP="00EF7876">
            <w:pPr>
              <w:rPr>
                <w:noProof/>
                <w:szCs w:val="22"/>
                <w:lang w:val="nn-NO" w:eastAsia="ko-KR"/>
              </w:rPr>
            </w:pPr>
            <w:r w:rsidRPr="009175A7">
              <w:rPr>
                <w:noProof/>
                <w:szCs w:val="22"/>
                <w:lang w:val="nn-NO" w:eastAsia="ko-KR"/>
              </w:rPr>
              <w:t>Samsung Bioepis NL B.V.</w:t>
            </w:r>
          </w:p>
          <w:p w14:paraId="1904DE39" w14:textId="77777777" w:rsidR="00216910" w:rsidRPr="00215594" w:rsidRDefault="00216910" w:rsidP="00EF7876">
            <w:pPr>
              <w:numPr>
                <w:ilvl w:val="12"/>
                <w:numId w:val="0"/>
              </w:numPr>
              <w:ind w:right="-2"/>
              <w:rPr>
                <w:noProof/>
                <w:szCs w:val="22"/>
                <w:lang w:val="nn-NO"/>
              </w:rPr>
            </w:pPr>
            <w:r w:rsidRPr="00215594">
              <w:rPr>
                <w:noProof/>
                <w:lang w:val="nn-NO"/>
              </w:rPr>
              <w:t>Olof Palmestraat 10, 2616 LR Delft</w:t>
            </w:r>
          </w:p>
          <w:p w14:paraId="6ACDDF9C" w14:textId="77777777" w:rsidR="00216910" w:rsidRDefault="00216910" w:rsidP="00EF7876">
            <w:pPr>
              <w:rPr>
                <w:rFonts w:eastAsia="TimesNewRoman"/>
                <w:szCs w:val="22"/>
                <w:lang w:val="nn-NO"/>
              </w:rPr>
            </w:pPr>
            <w:r w:rsidRPr="009175A7">
              <w:rPr>
                <w:rFonts w:eastAsia="TimesNewRoman"/>
                <w:szCs w:val="22"/>
                <w:lang w:val="nn-NO"/>
              </w:rPr>
              <w:t>Olanda</w:t>
            </w:r>
          </w:p>
          <w:p w14:paraId="770858A2" w14:textId="77777777" w:rsidR="00760789" w:rsidRDefault="00B64E43" w:rsidP="00EF7876">
            <w:hyperlink r:id="rId25" w:history="1">
              <w:r w:rsidR="00760789" w:rsidRPr="008A55C9">
                <w:rPr>
                  <w:rStyle w:val="Hyperlink"/>
                </w:rPr>
                <w:t>bioepis.mi@medinformation.co.uk</w:t>
              </w:r>
            </w:hyperlink>
          </w:p>
          <w:p w14:paraId="163D2D86" w14:textId="77777777" w:rsidR="00760789" w:rsidRPr="00B64E29" w:rsidRDefault="00760789" w:rsidP="00EF7876">
            <w:pPr>
              <w:rPr>
                <w:noProof/>
                <w:szCs w:val="22"/>
                <w:lang w:eastAsia="ko-KR"/>
              </w:rPr>
            </w:pPr>
          </w:p>
        </w:tc>
      </w:tr>
      <w:tr w:rsidR="00216910" w:rsidRPr="00B64E29" w14:paraId="3AF699D5" w14:textId="77777777" w:rsidTr="00D91337">
        <w:trPr>
          <w:cantSplit/>
        </w:trPr>
        <w:tc>
          <w:tcPr>
            <w:tcW w:w="4644" w:type="dxa"/>
          </w:tcPr>
          <w:p w14:paraId="08907A53" w14:textId="77777777" w:rsidR="00216910" w:rsidRPr="00215594" w:rsidRDefault="00216910" w:rsidP="00EF7876">
            <w:pPr>
              <w:rPr>
                <w:noProof/>
                <w:szCs w:val="22"/>
                <w:lang w:val="de-DE"/>
              </w:rPr>
            </w:pPr>
            <w:r w:rsidRPr="00215594">
              <w:rPr>
                <w:b/>
                <w:noProof/>
                <w:szCs w:val="22"/>
                <w:lang w:val="de-DE"/>
              </w:rPr>
              <w:t>Deutschland</w:t>
            </w:r>
          </w:p>
          <w:p w14:paraId="29B18152" w14:textId="77777777" w:rsidR="00D37A49" w:rsidRPr="001001F0" w:rsidRDefault="00D37A49" w:rsidP="00D37A49">
            <w:pPr>
              <w:widowControl w:val="0"/>
              <w:autoSpaceDE w:val="0"/>
              <w:autoSpaceDN w:val="0"/>
              <w:adjustRightInd w:val="0"/>
              <w:rPr>
                <w:noProof/>
                <w:szCs w:val="22"/>
                <w:lang w:val="de-DE"/>
              </w:rPr>
            </w:pPr>
            <w:r w:rsidRPr="001001F0">
              <w:rPr>
                <w:noProof/>
                <w:szCs w:val="22"/>
                <w:lang w:val="de-DE"/>
              </w:rPr>
              <w:t>Organon Healthcare GmbH</w:t>
            </w:r>
          </w:p>
          <w:p w14:paraId="19BADEFD" w14:textId="77777777" w:rsidR="00D37A49" w:rsidRPr="001001F0" w:rsidRDefault="00D37A49" w:rsidP="00D37A49">
            <w:pPr>
              <w:widowControl w:val="0"/>
              <w:autoSpaceDE w:val="0"/>
              <w:autoSpaceDN w:val="0"/>
              <w:adjustRightInd w:val="0"/>
              <w:rPr>
                <w:noProof/>
                <w:szCs w:val="22"/>
                <w:lang w:val="de-DE"/>
              </w:rPr>
            </w:pPr>
            <w:r w:rsidRPr="001001F0">
              <w:rPr>
                <w:noProof/>
                <w:szCs w:val="22"/>
                <w:lang w:val="de-DE"/>
              </w:rPr>
              <w:t>Tel: 0800 3384 726 (+49 (0) 89 2040022 10)</w:t>
            </w:r>
          </w:p>
          <w:p w14:paraId="31094C3B" w14:textId="77777777" w:rsidR="00216910" w:rsidRPr="00281550" w:rsidRDefault="00C03411" w:rsidP="00EF7876">
            <w:pPr>
              <w:rPr>
                <w:noProof/>
                <w:szCs w:val="22"/>
                <w:lang w:eastAsia="ko-KR"/>
              </w:rPr>
            </w:pPr>
            <w:r>
              <w:rPr>
                <w:noProof/>
                <w:szCs w:val="22"/>
                <w:lang w:val="de-DE"/>
              </w:rPr>
              <w:t>dpoc.germany</w:t>
            </w:r>
            <w:hyperlink r:id="rId26" w:history="1">
              <w:r w:rsidRPr="00C03411">
                <w:rPr>
                  <w:rStyle w:val="Hyperlink"/>
                  <w:noProof/>
                  <w:szCs w:val="22"/>
                  <w:lang w:val="de-DE"/>
                </w:rPr>
                <w:t>@organon.com</w:t>
              </w:r>
            </w:hyperlink>
          </w:p>
          <w:p w14:paraId="4CBE2F60" w14:textId="77777777" w:rsidR="00216910" w:rsidRPr="00215594" w:rsidRDefault="00216910" w:rsidP="00EF7876">
            <w:pPr>
              <w:tabs>
                <w:tab w:val="left" w:pos="-720"/>
              </w:tabs>
              <w:suppressAutoHyphens/>
              <w:rPr>
                <w:noProof/>
                <w:szCs w:val="22"/>
              </w:rPr>
            </w:pPr>
          </w:p>
        </w:tc>
        <w:tc>
          <w:tcPr>
            <w:tcW w:w="4678" w:type="dxa"/>
          </w:tcPr>
          <w:p w14:paraId="372C5BB4" w14:textId="77777777" w:rsidR="00216910" w:rsidRPr="00215594" w:rsidRDefault="00216910" w:rsidP="00EF7876">
            <w:pPr>
              <w:tabs>
                <w:tab w:val="left" w:pos="-720"/>
              </w:tabs>
              <w:suppressAutoHyphens/>
              <w:rPr>
                <w:noProof/>
                <w:szCs w:val="22"/>
                <w:lang w:val="da-DK"/>
              </w:rPr>
            </w:pPr>
            <w:r w:rsidRPr="00215594">
              <w:rPr>
                <w:b/>
                <w:noProof/>
                <w:szCs w:val="22"/>
                <w:lang w:val="da-DK"/>
              </w:rPr>
              <w:t>Nederland</w:t>
            </w:r>
          </w:p>
          <w:p w14:paraId="3BC6DC76" w14:textId="77777777" w:rsidR="00216910" w:rsidRPr="009175A7" w:rsidRDefault="00216910" w:rsidP="00EF7876">
            <w:pPr>
              <w:rPr>
                <w:noProof/>
                <w:szCs w:val="22"/>
                <w:lang w:val="da-DK" w:eastAsia="ko-KR"/>
              </w:rPr>
            </w:pPr>
            <w:r w:rsidRPr="009175A7">
              <w:rPr>
                <w:noProof/>
                <w:szCs w:val="22"/>
                <w:lang w:val="da-DK" w:eastAsia="ko-KR"/>
              </w:rPr>
              <w:t>Samsung Bioepis NL B.V.</w:t>
            </w:r>
          </w:p>
          <w:p w14:paraId="57046D10" w14:textId="77777777" w:rsidR="00216910" w:rsidRPr="00215594" w:rsidRDefault="00216910" w:rsidP="00EF7876">
            <w:pPr>
              <w:numPr>
                <w:ilvl w:val="12"/>
                <w:numId w:val="0"/>
              </w:numPr>
              <w:ind w:right="-2"/>
              <w:rPr>
                <w:noProof/>
                <w:szCs w:val="22"/>
                <w:lang w:val="da-DK"/>
              </w:rPr>
            </w:pPr>
            <w:r w:rsidRPr="00215594">
              <w:rPr>
                <w:noProof/>
                <w:lang w:val="da-DK"/>
              </w:rPr>
              <w:t>Olof Palmestraat 10, 2616 LR Delft</w:t>
            </w:r>
          </w:p>
          <w:p w14:paraId="5FD8E29E" w14:textId="77777777" w:rsidR="00216910" w:rsidRDefault="00216910" w:rsidP="00EF7876">
            <w:pPr>
              <w:tabs>
                <w:tab w:val="left" w:pos="-720"/>
              </w:tabs>
              <w:suppressAutoHyphens/>
              <w:rPr>
                <w:rFonts w:eastAsia="TimesNewRoman"/>
                <w:szCs w:val="22"/>
                <w:lang w:val="da-DK"/>
              </w:rPr>
            </w:pPr>
            <w:r w:rsidRPr="009175A7">
              <w:rPr>
                <w:rFonts w:eastAsia="TimesNewRoman"/>
                <w:szCs w:val="22"/>
                <w:lang w:val="da-DK"/>
              </w:rPr>
              <w:t>Nederland</w:t>
            </w:r>
          </w:p>
          <w:p w14:paraId="1E7A9F24" w14:textId="77777777" w:rsidR="00760789" w:rsidRDefault="00B64E43" w:rsidP="00EF7876">
            <w:pPr>
              <w:tabs>
                <w:tab w:val="left" w:pos="-720"/>
              </w:tabs>
              <w:suppressAutoHyphens/>
            </w:pPr>
            <w:hyperlink r:id="rId27" w:history="1">
              <w:r w:rsidR="00760789" w:rsidRPr="008A55C9">
                <w:rPr>
                  <w:rStyle w:val="Hyperlink"/>
                </w:rPr>
                <w:t>bioepis.mi@medinformation.co.uk</w:t>
              </w:r>
            </w:hyperlink>
          </w:p>
          <w:p w14:paraId="6137F674" w14:textId="77777777" w:rsidR="00760789" w:rsidRPr="00B64E29" w:rsidRDefault="00760789" w:rsidP="00EF7876">
            <w:pPr>
              <w:tabs>
                <w:tab w:val="left" w:pos="-720"/>
              </w:tabs>
              <w:suppressAutoHyphens/>
              <w:rPr>
                <w:noProof/>
                <w:szCs w:val="22"/>
                <w:lang w:eastAsia="ko-KR"/>
              </w:rPr>
            </w:pPr>
          </w:p>
        </w:tc>
      </w:tr>
      <w:tr w:rsidR="00216910" w:rsidRPr="00B64E29" w14:paraId="066F483A" w14:textId="77777777" w:rsidTr="00D91337">
        <w:trPr>
          <w:cantSplit/>
        </w:trPr>
        <w:tc>
          <w:tcPr>
            <w:tcW w:w="4644" w:type="dxa"/>
          </w:tcPr>
          <w:p w14:paraId="2178441E" w14:textId="77777777" w:rsidR="00216910" w:rsidRPr="00215594" w:rsidRDefault="00216910" w:rsidP="00EF7876">
            <w:pPr>
              <w:tabs>
                <w:tab w:val="left" w:pos="-720"/>
              </w:tabs>
              <w:suppressAutoHyphens/>
              <w:rPr>
                <w:b/>
                <w:bCs/>
                <w:noProof/>
                <w:szCs w:val="22"/>
                <w:lang w:val="da-DK"/>
              </w:rPr>
            </w:pPr>
            <w:r w:rsidRPr="00215594">
              <w:rPr>
                <w:b/>
                <w:bCs/>
                <w:noProof/>
                <w:szCs w:val="22"/>
                <w:lang w:val="da-DK"/>
              </w:rPr>
              <w:t>Eesti</w:t>
            </w:r>
          </w:p>
          <w:p w14:paraId="1DD9EE2B" w14:textId="77777777" w:rsidR="00216910" w:rsidRPr="009175A7" w:rsidRDefault="00216910" w:rsidP="00EF7876">
            <w:pPr>
              <w:rPr>
                <w:noProof/>
                <w:szCs w:val="22"/>
                <w:lang w:val="da-DK" w:eastAsia="ko-KR"/>
              </w:rPr>
            </w:pPr>
            <w:r w:rsidRPr="009175A7">
              <w:rPr>
                <w:noProof/>
                <w:szCs w:val="22"/>
                <w:lang w:val="da-DK" w:eastAsia="ko-KR"/>
              </w:rPr>
              <w:t>Samsung Bioepis NL B.V.</w:t>
            </w:r>
          </w:p>
          <w:p w14:paraId="4C92B519" w14:textId="77777777" w:rsidR="00216910" w:rsidRPr="00B64E29" w:rsidRDefault="00216910" w:rsidP="00EF7876">
            <w:pPr>
              <w:numPr>
                <w:ilvl w:val="12"/>
                <w:numId w:val="0"/>
              </w:numPr>
              <w:ind w:right="-2"/>
              <w:rPr>
                <w:noProof/>
                <w:lang w:val="en-US"/>
              </w:rPr>
            </w:pPr>
            <w:r w:rsidRPr="00B64E29">
              <w:rPr>
                <w:noProof/>
                <w:lang w:val="en-US"/>
              </w:rPr>
              <w:t>Olof Palmestraat 10, 2616 LR Delft</w:t>
            </w:r>
          </w:p>
          <w:p w14:paraId="333A52E1" w14:textId="77777777" w:rsidR="00216910" w:rsidRDefault="00216910" w:rsidP="00EF7876">
            <w:pPr>
              <w:tabs>
                <w:tab w:val="left" w:pos="-720"/>
              </w:tabs>
              <w:suppressAutoHyphens/>
              <w:rPr>
                <w:noProof/>
                <w:szCs w:val="22"/>
                <w:lang w:val="en-US" w:eastAsia="ko-KR"/>
              </w:rPr>
            </w:pPr>
            <w:r w:rsidRPr="00B64E29">
              <w:rPr>
                <w:noProof/>
                <w:szCs w:val="22"/>
                <w:lang w:val="en-US" w:eastAsia="ko-KR"/>
              </w:rPr>
              <w:t>Holland</w:t>
            </w:r>
          </w:p>
          <w:p w14:paraId="5F8A5090" w14:textId="77777777" w:rsidR="00760789" w:rsidRDefault="00B64E43" w:rsidP="00EF7876">
            <w:pPr>
              <w:tabs>
                <w:tab w:val="left" w:pos="-720"/>
              </w:tabs>
              <w:suppressAutoHyphens/>
            </w:pPr>
            <w:hyperlink r:id="rId28" w:history="1">
              <w:r w:rsidR="00760789" w:rsidRPr="008A55C9">
                <w:rPr>
                  <w:rStyle w:val="Hyperlink"/>
                </w:rPr>
                <w:t>bioepis.mi@medinformation.co.uk</w:t>
              </w:r>
            </w:hyperlink>
          </w:p>
          <w:p w14:paraId="58418172" w14:textId="77777777" w:rsidR="00760789" w:rsidRPr="00B64E29" w:rsidRDefault="00760789" w:rsidP="00EF7876">
            <w:pPr>
              <w:tabs>
                <w:tab w:val="left" w:pos="-720"/>
              </w:tabs>
              <w:suppressAutoHyphens/>
              <w:rPr>
                <w:rFonts w:eastAsia="Yu Mincho"/>
                <w:noProof/>
                <w:szCs w:val="22"/>
              </w:rPr>
            </w:pPr>
          </w:p>
        </w:tc>
        <w:tc>
          <w:tcPr>
            <w:tcW w:w="4678" w:type="dxa"/>
          </w:tcPr>
          <w:p w14:paraId="640FEA26" w14:textId="77777777" w:rsidR="00216910" w:rsidRPr="00215594" w:rsidRDefault="00216910" w:rsidP="00EF7876">
            <w:pPr>
              <w:rPr>
                <w:noProof/>
                <w:szCs w:val="22"/>
                <w:lang w:val="nb-NO"/>
              </w:rPr>
            </w:pPr>
            <w:r w:rsidRPr="00215594">
              <w:rPr>
                <w:b/>
                <w:noProof/>
                <w:szCs w:val="22"/>
                <w:lang w:val="nb-NO"/>
              </w:rPr>
              <w:t>Norge</w:t>
            </w:r>
          </w:p>
          <w:p w14:paraId="519697AF" w14:textId="77777777" w:rsidR="00216910" w:rsidRPr="009175A7" w:rsidRDefault="00216910" w:rsidP="00EF7876">
            <w:pPr>
              <w:rPr>
                <w:noProof/>
                <w:szCs w:val="22"/>
                <w:lang w:val="nn-NO" w:eastAsia="ko-KR"/>
              </w:rPr>
            </w:pPr>
            <w:r w:rsidRPr="009175A7">
              <w:rPr>
                <w:noProof/>
                <w:szCs w:val="22"/>
                <w:lang w:val="nn-NO" w:eastAsia="ko-KR"/>
              </w:rPr>
              <w:t>Samsung Bioepis NL B.V.</w:t>
            </w:r>
          </w:p>
          <w:p w14:paraId="1945F349" w14:textId="77777777" w:rsidR="00216910" w:rsidRPr="00215594" w:rsidRDefault="00216910" w:rsidP="00EF7876">
            <w:pPr>
              <w:numPr>
                <w:ilvl w:val="12"/>
                <w:numId w:val="0"/>
              </w:numPr>
              <w:ind w:right="-2"/>
              <w:rPr>
                <w:noProof/>
                <w:szCs w:val="22"/>
                <w:lang w:val="da-DK"/>
              </w:rPr>
            </w:pPr>
            <w:r w:rsidRPr="00215594">
              <w:rPr>
                <w:noProof/>
                <w:lang w:val="da-DK"/>
              </w:rPr>
              <w:t>Olof Palmestraat 10, 2616 LR Delft</w:t>
            </w:r>
          </w:p>
          <w:p w14:paraId="2B9301C6" w14:textId="77777777" w:rsidR="00216910" w:rsidRPr="009175A7" w:rsidRDefault="00216910" w:rsidP="00EF7876">
            <w:pPr>
              <w:numPr>
                <w:ilvl w:val="12"/>
                <w:numId w:val="0"/>
              </w:numPr>
              <w:ind w:right="-2"/>
              <w:rPr>
                <w:noProof/>
                <w:lang w:val="da-DK" w:eastAsia="ko-KR"/>
              </w:rPr>
            </w:pPr>
            <w:r w:rsidRPr="009175A7">
              <w:rPr>
                <w:noProof/>
                <w:lang w:val="da-DK" w:eastAsia="ko-KR"/>
              </w:rPr>
              <w:t>Nederland</w:t>
            </w:r>
          </w:p>
          <w:p w14:paraId="41B7E2FE" w14:textId="77777777" w:rsidR="00760789" w:rsidRDefault="00B64E43" w:rsidP="00EF7876">
            <w:hyperlink r:id="rId29" w:history="1">
              <w:r w:rsidR="00760789" w:rsidRPr="008A55C9">
                <w:rPr>
                  <w:rStyle w:val="Hyperlink"/>
                </w:rPr>
                <w:t>bioepis.mi@medinformation.co.uk</w:t>
              </w:r>
            </w:hyperlink>
          </w:p>
          <w:p w14:paraId="468C10DA" w14:textId="77777777" w:rsidR="00216910" w:rsidRPr="00B64E29" w:rsidRDefault="00760789" w:rsidP="00EF7876">
            <w:pPr>
              <w:rPr>
                <w:noProof/>
                <w:szCs w:val="22"/>
                <w:lang w:val="da-DK" w:eastAsia="ko-KR"/>
              </w:rPr>
            </w:pPr>
            <w:r>
              <w:t xml:space="preserve"> </w:t>
            </w:r>
          </w:p>
        </w:tc>
      </w:tr>
      <w:tr w:rsidR="00216910" w:rsidRPr="00215594" w14:paraId="4C05EE95" w14:textId="77777777" w:rsidTr="00D91337">
        <w:trPr>
          <w:cantSplit/>
        </w:trPr>
        <w:tc>
          <w:tcPr>
            <w:tcW w:w="4644" w:type="dxa"/>
          </w:tcPr>
          <w:p w14:paraId="7632820E" w14:textId="77777777" w:rsidR="00216910" w:rsidRPr="00215594" w:rsidRDefault="00216910" w:rsidP="00EF7876">
            <w:pPr>
              <w:rPr>
                <w:noProof/>
                <w:szCs w:val="22"/>
                <w:lang w:val="el-GR"/>
              </w:rPr>
            </w:pPr>
            <w:r w:rsidRPr="00215594">
              <w:rPr>
                <w:b/>
                <w:noProof/>
                <w:szCs w:val="22"/>
                <w:lang w:val="el-GR"/>
              </w:rPr>
              <w:t>Ελλάδα</w:t>
            </w:r>
          </w:p>
          <w:p w14:paraId="0AB43AA4" w14:textId="77777777" w:rsidR="00216910" w:rsidRPr="00B64E29" w:rsidRDefault="00216910" w:rsidP="00EF7876">
            <w:pPr>
              <w:rPr>
                <w:noProof/>
                <w:szCs w:val="22"/>
                <w:lang w:val="en-US" w:eastAsia="ko-KR"/>
              </w:rPr>
            </w:pPr>
            <w:r w:rsidRPr="00B64E29">
              <w:rPr>
                <w:noProof/>
                <w:szCs w:val="22"/>
                <w:lang w:val="en-US" w:eastAsia="ko-KR"/>
              </w:rPr>
              <w:t>Samsung Bioepis NL B.V.</w:t>
            </w:r>
          </w:p>
          <w:p w14:paraId="3F3A5A41" w14:textId="77777777" w:rsidR="00216910" w:rsidRPr="00B64E29" w:rsidRDefault="00216910" w:rsidP="00EF7876">
            <w:pPr>
              <w:numPr>
                <w:ilvl w:val="12"/>
                <w:numId w:val="0"/>
              </w:numPr>
              <w:ind w:right="-2"/>
              <w:rPr>
                <w:noProof/>
                <w:szCs w:val="22"/>
                <w:lang w:val="en-US"/>
              </w:rPr>
            </w:pPr>
            <w:r w:rsidRPr="00B64E29">
              <w:rPr>
                <w:noProof/>
                <w:lang w:val="en-US"/>
              </w:rPr>
              <w:t>Olof Palmestraat 10, 2616 LR Delft</w:t>
            </w:r>
          </w:p>
          <w:p w14:paraId="3CA53DB0" w14:textId="77777777" w:rsidR="00216910" w:rsidRDefault="0039760E" w:rsidP="00EF7876">
            <w:pPr>
              <w:tabs>
                <w:tab w:val="left" w:pos="-720"/>
              </w:tabs>
              <w:suppressAutoHyphens/>
            </w:pPr>
            <w:r>
              <w:t>Ολλανδία</w:t>
            </w:r>
          </w:p>
          <w:p w14:paraId="2A3C6D1E" w14:textId="77777777" w:rsidR="00760789" w:rsidRDefault="00B64E43" w:rsidP="00EF7876">
            <w:pPr>
              <w:tabs>
                <w:tab w:val="left" w:pos="-720"/>
              </w:tabs>
              <w:suppressAutoHyphens/>
            </w:pPr>
            <w:hyperlink r:id="rId30" w:history="1">
              <w:r w:rsidR="00760789" w:rsidRPr="008A55C9">
                <w:rPr>
                  <w:rStyle w:val="Hyperlink"/>
                </w:rPr>
                <w:t>bioepis.mi@medinformation.co.uk</w:t>
              </w:r>
            </w:hyperlink>
          </w:p>
          <w:p w14:paraId="6B32EC1E" w14:textId="77777777" w:rsidR="00760789" w:rsidRPr="00B64E29" w:rsidRDefault="00760789" w:rsidP="00EF7876">
            <w:pPr>
              <w:tabs>
                <w:tab w:val="left" w:pos="-720"/>
              </w:tabs>
              <w:suppressAutoHyphens/>
              <w:rPr>
                <w:rFonts w:eastAsia="Yu Mincho"/>
                <w:noProof/>
                <w:szCs w:val="22"/>
              </w:rPr>
            </w:pPr>
          </w:p>
        </w:tc>
        <w:tc>
          <w:tcPr>
            <w:tcW w:w="4678" w:type="dxa"/>
          </w:tcPr>
          <w:p w14:paraId="1B991B09" w14:textId="77777777" w:rsidR="00216910" w:rsidRPr="00215594" w:rsidRDefault="00216910" w:rsidP="00EF7876">
            <w:pPr>
              <w:tabs>
                <w:tab w:val="left" w:pos="-720"/>
              </w:tabs>
              <w:suppressAutoHyphens/>
              <w:rPr>
                <w:noProof/>
                <w:szCs w:val="22"/>
                <w:lang w:val="de-DE"/>
              </w:rPr>
            </w:pPr>
            <w:r w:rsidRPr="00215594">
              <w:rPr>
                <w:b/>
                <w:noProof/>
                <w:szCs w:val="22"/>
                <w:lang w:val="de-DE"/>
              </w:rPr>
              <w:t>Österreich</w:t>
            </w:r>
          </w:p>
          <w:p w14:paraId="5BAEDD8B" w14:textId="77777777" w:rsidR="00216910" w:rsidRPr="009175A7" w:rsidRDefault="00216910" w:rsidP="00EF7876">
            <w:pPr>
              <w:rPr>
                <w:noProof/>
                <w:szCs w:val="22"/>
                <w:lang w:val="de-DE" w:eastAsia="ko-KR"/>
              </w:rPr>
            </w:pPr>
            <w:r w:rsidRPr="009175A7">
              <w:rPr>
                <w:noProof/>
                <w:szCs w:val="22"/>
                <w:lang w:val="de-DE" w:eastAsia="ko-KR"/>
              </w:rPr>
              <w:t>Samsung Bioepis NL B.V.</w:t>
            </w:r>
          </w:p>
          <w:p w14:paraId="5E75FCF4" w14:textId="77777777" w:rsidR="00216910" w:rsidRPr="00215594" w:rsidRDefault="00216910" w:rsidP="00EF7876">
            <w:pPr>
              <w:numPr>
                <w:ilvl w:val="12"/>
                <w:numId w:val="0"/>
              </w:numPr>
              <w:ind w:right="-2"/>
              <w:rPr>
                <w:noProof/>
              </w:rPr>
            </w:pPr>
            <w:r w:rsidRPr="00215594">
              <w:rPr>
                <w:noProof/>
              </w:rPr>
              <w:t>Olof Palmestraat 10, 2616 LR Delft</w:t>
            </w:r>
          </w:p>
          <w:p w14:paraId="6F760636" w14:textId="77777777" w:rsidR="00216910" w:rsidRDefault="00216910" w:rsidP="00EF7876">
            <w:pPr>
              <w:tabs>
                <w:tab w:val="left" w:pos="-720"/>
              </w:tabs>
              <w:suppressAutoHyphens/>
              <w:rPr>
                <w:rFonts w:eastAsia="TimesNewRoman"/>
                <w:szCs w:val="22"/>
              </w:rPr>
            </w:pPr>
            <w:r w:rsidRPr="00F149CD">
              <w:rPr>
                <w:rFonts w:eastAsia="TimesNewRoman"/>
                <w:szCs w:val="22"/>
              </w:rPr>
              <w:t>Niederlande</w:t>
            </w:r>
          </w:p>
          <w:p w14:paraId="1DD94333" w14:textId="77777777" w:rsidR="00760789" w:rsidRDefault="00B64E43" w:rsidP="00EF7876">
            <w:pPr>
              <w:tabs>
                <w:tab w:val="left" w:pos="-720"/>
              </w:tabs>
              <w:suppressAutoHyphens/>
            </w:pPr>
            <w:hyperlink r:id="rId31" w:history="1">
              <w:r w:rsidR="00760789" w:rsidRPr="008A55C9">
                <w:rPr>
                  <w:rStyle w:val="Hyperlink"/>
                </w:rPr>
                <w:t>bioepis.mi@medinformation.co.uk</w:t>
              </w:r>
            </w:hyperlink>
          </w:p>
          <w:p w14:paraId="32F3BF7D" w14:textId="77777777" w:rsidR="00D91337" w:rsidRPr="00281550" w:rsidRDefault="00D91337" w:rsidP="00EF7876">
            <w:pPr>
              <w:tabs>
                <w:tab w:val="left" w:pos="-720"/>
              </w:tabs>
              <w:suppressAutoHyphens/>
              <w:rPr>
                <w:noProof/>
                <w:szCs w:val="22"/>
                <w:lang w:eastAsia="ko-KR"/>
              </w:rPr>
            </w:pPr>
          </w:p>
        </w:tc>
      </w:tr>
      <w:tr w:rsidR="00D91337" w:rsidRPr="00215594" w14:paraId="5543BB22" w14:textId="77777777" w:rsidTr="00D91337">
        <w:trPr>
          <w:cantSplit/>
        </w:trPr>
        <w:tc>
          <w:tcPr>
            <w:tcW w:w="4644" w:type="dxa"/>
          </w:tcPr>
          <w:p w14:paraId="1A9EB19C" w14:textId="77777777" w:rsidR="00D91337" w:rsidRPr="00215594" w:rsidRDefault="00D91337" w:rsidP="00D91337">
            <w:pPr>
              <w:keepNext/>
              <w:tabs>
                <w:tab w:val="left" w:pos="-720"/>
                <w:tab w:val="left" w:pos="4536"/>
              </w:tabs>
              <w:suppressAutoHyphens/>
              <w:rPr>
                <w:b/>
                <w:noProof/>
                <w:szCs w:val="22"/>
                <w:lang w:val="es-ES_tradnl"/>
              </w:rPr>
            </w:pPr>
            <w:r w:rsidRPr="00215594">
              <w:rPr>
                <w:b/>
                <w:noProof/>
                <w:szCs w:val="22"/>
                <w:lang w:val="es-ES_tradnl"/>
              </w:rPr>
              <w:lastRenderedPageBreak/>
              <w:t>España</w:t>
            </w:r>
          </w:p>
          <w:p w14:paraId="55105B3A" w14:textId="77777777" w:rsidR="00D91337" w:rsidRPr="00592076" w:rsidRDefault="00760789" w:rsidP="00D91337">
            <w:pPr>
              <w:keepNext/>
              <w:rPr>
                <w:noProof/>
                <w:szCs w:val="22"/>
                <w:lang w:val="es-ES_tradnl" w:eastAsia="ko-KR"/>
              </w:rPr>
            </w:pPr>
            <w:r w:rsidRPr="008976C3">
              <w:rPr>
                <w:lang w:val="en-GB"/>
              </w:rPr>
              <w:t>Organon Salud, S.L.</w:t>
            </w:r>
          </w:p>
          <w:p w14:paraId="6F88AAB1" w14:textId="77777777" w:rsidR="00D91337" w:rsidRPr="00215594" w:rsidRDefault="00D91337" w:rsidP="00B64E29">
            <w:pPr>
              <w:keepNext/>
              <w:rPr>
                <w:noProof/>
                <w:szCs w:val="22"/>
              </w:rPr>
            </w:pPr>
            <w:r w:rsidRPr="003E68E0">
              <w:rPr>
                <w:noProof/>
                <w:szCs w:val="22"/>
                <w:lang w:eastAsia="ko-KR"/>
              </w:rPr>
              <w:t xml:space="preserve">Tel: +34 91 </w:t>
            </w:r>
            <w:r w:rsidR="00760789">
              <w:t>591 12 79</w:t>
            </w:r>
            <w:r w:rsidR="00760789" w:rsidRPr="003E68E0" w:rsidDel="00760789">
              <w:rPr>
                <w:noProof/>
                <w:szCs w:val="22"/>
                <w:lang w:eastAsia="ko-KR"/>
              </w:rPr>
              <w:t xml:space="preserve"> </w:t>
            </w:r>
          </w:p>
          <w:p w14:paraId="69093458" w14:textId="77777777" w:rsidR="00D91337" w:rsidRPr="00215594" w:rsidRDefault="00D91337" w:rsidP="00D91337">
            <w:pPr>
              <w:keepNext/>
              <w:tabs>
                <w:tab w:val="left" w:pos="-720"/>
              </w:tabs>
              <w:suppressAutoHyphens/>
              <w:rPr>
                <w:noProof/>
                <w:szCs w:val="22"/>
              </w:rPr>
            </w:pPr>
          </w:p>
        </w:tc>
        <w:tc>
          <w:tcPr>
            <w:tcW w:w="4678" w:type="dxa"/>
          </w:tcPr>
          <w:p w14:paraId="212A117A" w14:textId="77777777" w:rsidR="00D91337" w:rsidRPr="00215594" w:rsidRDefault="00D91337" w:rsidP="00D91337">
            <w:pPr>
              <w:keepNext/>
              <w:tabs>
                <w:tab w:val="left" w:pos="-720"/>
              </w:tabs>
              <w:suppressAutoHyphens/>
              <w:rPr>
                <w:b/>
                <w:bCs/>
                <w:i/>
                <w:iCs/>
                <w:noProof/>
                <w:szCs w:val="22"/>
                <w:lang w:val="pl-PL"/>
              </w:rPr>
            </w:pPr>
            <w:r w:rsidRPr="00215594">
              <w:rPr>
                <w:b/>
                <w:noProof/>
                <w:szCs w:val="22"/>
                <w:lang w:val="pl-PL"/>
              </w:rPr>
              <w:t>Polska</w:t>
            </w:r>
          </w:p>
          <w:p w14:paraId="65ED324F" w14:textId="77777777" w:rsidR="00D91337" w:rsidRPr="00B64E29" w:rsidRDefault="00D91337" w:rsidP="00D91337">
            <w:pPr>
              <w:rPr>
                <w:noProof/>
                <w:szCs w:val="22"/>
                <w:lang w:val="en-US" w:eastAsia="ko-KR"/>
              </w:rPr>
            </w:pPr>
            <w:r w:rsidRPr="00B64E29">
              <w:rPr>
                <w:noProof/>
                <w:szCs w:val="22"/>
                <w:lang w:val="en-US" w:eastAsia="ko-KR"/>
              </w:rPr>
              <w:t>Samsung Bioepis NL B.V.</w:t>
            </w:r>
          </w:p>
          <w:p w14:paraId="57AFFB5B" w14:textId="77777777" w:rsidR="00D91337" w:rsidRPr="00215594" w:rsidRDefault="00D91337" w:rsidP="00D91337">
            <w:pPr>
              <w:numPr>
                <w:ilvl w:val="12"/>
                <w:numId w:val="0"/>
              </w:numPr>
              <w:ind w:right="-2"/>
              <w:rPr>
                <w:noProof/>
              </w:rPr>
            </w:pPr>
            <w:r w:rsidRPr="00215594">
              <w:rPr>
                <w:noProof/>
              </w:rPr>
              <w:t>Olof Palmestraat 10, 2616 LR Delft</w:t>
            </w:r>
          </w:p>
          <w:p w14:paraId="154AB92A" w14:textId="77777777" w:rsidR="00D91337" w:rsidRDefault="00D91337" w:rsidP="00D91337">
            <w:pPr>
              <w:keepNext/>
              <w:tabs>
                <w:tab w:val="left" w:pos="-720"/>
              </w:tabs>
              <w:suppressAutoHyphens/>
              <w:rPr>
                <w:rFonts w:eastAsia="TimesNewRoman"/>
                <w:szCs w:val="22"/>
                <w:lang w:val="pl-PL"/>
              </w:rPr>
            </w:pPr>
            <w:r>
              <w:rPr>
                <w:rFonts w:eastAsia="TimesNewRoman"/>
                <w:szCs w:val="22"/>
                <w:lang w:val="pl-PL"/>
              </w:rPr>
              <w:t>Holandia</w:t>
            </w:r>
          </w:p>
          <w:p w14:paraId="6EAE3155" w14:textId="77777777" w:rsidR="00760789" w:rsidRDefault="00B64E43" w:rsidP="00D91337">
            <w:pPr>
              <w:keepNext/>
              <w:tabs>
                <w:tab w:val="left" w:pos="-720"/>
              </w:tabs>
              <w:suppressAutoHyphens/>
            </w:pPr>
            <w:hyperlink r:id="rId32" w:history="1">
              <w:r w:rsidR="00760789" w:rsidRPr="008A55C9">
                <w:rPr>
                  <w:rStyle w:val="Hyperlink"/>
                </w:rPr>
                <w:t>bioepis.mi@medinformation.co.uk</w:t>
              </w:r>
            </w:hyperlink>
          </w:p>
          <w:p w14:paraId="2BA7891C" w14:textId="77777777" w:rsidR="00D91337" w:rsidRPr="00E966B9" w:rsidRDefault="00D91337" w:rsidP="00D91337">
            <w:pPr>
              <w:keepNext/>
              <w:tabs>
                <w:tab w:val="left" w:pos="-720"/>
              </w:tabs>
              <w:suppressAutoHyphens/>
              <w:rPr>
                <w:noProof/>
                <w:szCs w:val="22"/>
                <w:lang w:eastAsia="ko-KR"/>
              </w:rPr>
            </w:pPr>
          </w:p>
        </w:tc>
      </w:tr>
      <w:tr w:rsidR="00D91337" w:rsidRPr="00215594" w14:paraId="37176825" w14:textId="77777777" w:rsidTr="00D91337">
        <w:trPr>
          <w:cantSplit/>
        </w:trPr>
        <w:tc>
          <w:tcPr>
            <w:tcW w:w="4644" w:type="dxa"/>
          </w:tcPr>
          <w:p w14:paraId="226ED787" w14:textId="77777777" w:rsidR="00D91337" w:rsidRPr="00215594" w:rsidRDefault="00D91337" w:rsidP="00D91337">
            <w:pPr>
              <w:tabs>
                <w:tab w:val="left" w:pos="-720"/>
                <w:tab w:val="left" w:pos="4536"/>
              </w:tabs>
              <w:suppressAutoHyphens/>
              <w:rPr>
                <w:b/>
                <w:noProof/>
                <w:szCs w:val="22"/>
              </w:rPr>
            </w:pPr>
            <w:r w:rsidRPr="00215594">
              <w:rPr>
                <w:b/>
                <w:noProof/>
                <w:szCs w:val="22"/>
              </w:rPr>
              <w:t>France</w:t>
            </w:r>
          </w:p>
          <w:p w14:paraId="114F1729" w14:textId="77777777" w:rsidR="00D91337" w:rsidRPr="00215594" w:rsidRDefault="00803526" w:rsidP="00D91337">
            <w:pPr>
              <w:rPr>
                <w:noProof/>
                <w:szCs w:val="22"/>
              </w:rPr>
            </w:pPr>
            <w:r w:rsidRPr="00803526">
              <w:rPr>
                <w:noProof/>
                <w:szCs w:val="22"/>
              </w:rPr>
              <w:t>Organon</w:t>
            </w:r>
            <w:r w:rsidR="00D91337" w:rsidRPr="00215594">
              <w:rPr>
                <w:noProof/>
                <w:szCs w:val="22"/>
              </w:rPr>
              <w:t xml:space="preserve"> France</w:t>
            </w:r>
          </w:p>
          <w:p w14:paraId="22382D74" w14:textId="77777777" w:rsidR="00D91337" w:rsidRPr="00215594" w:rsidRDefault="00D91337" w:rsidP="00D91337">
            <w:pPr>
              <w:rPr>
                <w:noProof/>
                <w:szCs w:val="22"/>
              </w:rPr>
            </w:pPr>
            <w:r w:rsidRPr="00215594">
              <w:rPr>
                <w:noProof/>
                <w:szCs w:val="22"/>
              </w:rPr>
              <w:t xml:space="preserve">Tél: + 33 (0) </w:t>
            </w:r>
            <w:r w:rsidR="00803526" w:rsidRPr="00803526">
              <w:rPr>
                <w:noProof/>
                <w:szCs w:val="22"/>
              </w:rPr>
              <w:t>1 57 77 32 00</w:t>
            </w:r>
          </w:p>
          <w:p w14:paraId="60347F66" w14:textId="77777777" w:rsidR="00D91337" w:rsidRPr="00215594" w:rsidRDefault="00D91337" w:rsidP="00D91337">
            <w:pPr>
              <w:rPr>
                <w:b/>
                <w:noProof/>
                <w:szCs w:val="22"/>
              </w:rPr>
            </w:pPr>
          </w:p>
        </w:tc>
        <w:tc>
          <w:tcPr>
            <w:tcW w:w="4678" w:type="dxa"/>
          </w:tcPr>
          <w:p w14:paraId="5908581A" w14:textId="77777777" w:rsidR="00D91337" w:rsidRPr="00215594" w:rsidRDefault="00D91337" w:rsidP="00D91337">
            <w:pPr>
              <w:tabs>
                <w:tab w:val="left" w:pos="-720"/>
              </w:tabs>
              <w:suppressAutoHyphens/>
              <w:rPr>
                <w:noProof/>
                <w:szCs w:val="22"/>
              </w:rPr>
            </w:pPr>
            <w:r w:rsidRPr="00215594">
              <w:rPr>
                <w:b/>
                <w:noProof/>
                <w:szCs w:val="22"/>
              </w:rPr>
              <w:t>Portugal</w:t>
            </w:r>
          </w:p>
          <w:p w14:paraId="3028B470" w14:textId="77777777" w:rsidR="00D91337" w:rsidRPr="009175A7" w:rsidRDefault="00D91337" w:rsidP="00D91337">
            <w:pPr>
              <w:rPr>
                <w:noProof/>
                <w:szCs w:val="22"/>
                <w:lang w:val="da-DK" w:eastAsia="ko-KR"/>
              </w:rPr>
            </w:pPr>
            <w:r w:rsidRPr="009175A7">
              <w:rPr>
                <w:noProof/>
                <w:szCs w:val="22"/>
                <w:lang w:val="da-DK" w:eastAsia="ko-KR"/>
              </w:rPr>
              <w:t>Samsung Bioepis NL B.V.</w:t>
            </w:r>
          </w:p>
          <w:p w14:paraId="249F021C" w14:textId="77777777" w:rsidR="00D91337" w:rsidRPr="00215594" w:rsidRDefault="00D91337" w:rsidP="00D91337">
            <w:pPr>
              <w:numPr>
                <w:ilvl w:val="12"/>
                <w:numId w:val="0"/>
              </w:numPr>
              <w:ind w:right="-2"/>
              <w:rPr>
                <w:noProof/>
                <w:szCs w:val="22"/>
                <w:lang w:val="da-DK"/>
              </w:rPr>
            </w:pPr>
            <w:r w:rsidRPr="00215594">
              <w:rPr>
                <w:noProof/>
                <w:lang w:val="da-DK"/>
              </w:rPr>
              <w:t>Olof Palmestraat 10, 2616 LR Delft</w:t>
            </w:r>
          </w:p>
          <w:p w14:paraId="0320A259" w14:textId="77777777" w:rsidR="00D91337" w:rsidRDefault="00D91337" w:rsidP="00D91337">
            <w:pPr>
              <w:tabs>
                <w:tab w:val="left" w:pos="-720"/>
              </w:tabs>
              <w:suppressAutoHyphens/>
              <w:rPr>
                <w:rFonts w:eastAsia="TimesNewRoman"/>
                <w:szCs w:val="22"/>
              </w:rPr>
            </w:pPr>
            <w:r w:rsidRPr="00F149CD">
              <w:rPr>
                <w:rFonts w:eastAsia="TimesNewRoman"/>
                <w:szCs w:val="22"/>
              </w:rPr>
              <w:t>Países Baixos</w:t>
            </w:r>
          </w:p>
          <w:p w14:paraId="1600F053" w14:textId="77777777" w:rsidR="00760789" w:rsidRDefault="00B64E43" w:rsidP="00D91337">
            <w:pPr>
              <w:tabs>
                <w:tab w:val="left" w:pos="-720"/>
              </w:tabs>
              <w:suppressAutoHyphens/>
            </w:pPr>
            <w:hyperlink r:id="rId33" w:history="1">
              <w:r w:rsidR="00760789" w:rsidRPr="008A55C9">
                <w:rPr>
                  <w:rStyle w:val="Hyperlink"/>
                </w:rPr>
                <w:t>bioepis.mi@medinformation.co.uk</w:t>
              </w:r>
            </w:hyperlink>
          </w:p>
          <w:p w14:paraId="3D105847" w14:textId="77777777" w:rsidR="00D91337" w:rsidRPr="00592076" w:rsidRDefault="00D91337" w:rsidP="00D91337">
            <w:pPr>
              <w:tabs>
                <w:tab w:val="left" w:pos="-720"/>
              </w:tabs>
              <w:suppressAutoHyphens/>
              <w:rPr>
                <w:noProof/>
                <w:szCs w:val="22"/>
                <w:lang w:eastAsia="ko-KR"/>
              </w:rPr>
            </w:pPr>
          </w:p>
        </w:tc>
      </w:tr>
      <w:tr w:rsidR="00D91337" w:rsidRPr="008976C3" w14:paraId="5532C35B" w14:textId="77777777" w:rsidTr="00D91337">
        <w:trPr>
          <w:cantSplit/>
        </w:trPr>
        <w:tc>
          <w:tcPr>
            <w:tcW w:w="4644" w:type="dxa"/>
          </w:tcPr>
          <w:p w14:paraId="180330CE" w14:textId="77777777" w:rsidR="00D91337" w:rsidRPr="00215594" w:rsidRDefault="00D91337" w:rsidP="00D91337">
            <w:pPr>
              <w:rPr>
                <w:noProof/>
                <w:szCs w:val="22"/>
                <w:lang w:val="nn-NO"/>
              </w:rPr>
            </w:pPr>
            <w:r w:rsidRPr="000A0D33">
              <w:rPr>
                <w:noProof/>
                <w:szCs w:val="22"/>
              </w:rPr>
              <w:br w:type="page"/>
            </w:r>
            <w:r w:rsidRPr="00215594">
              <w:rPr>
                <w:b/>
                <w:noProof/>
                <w:szCs w:val="22"/>
                <w:lang w:val="nn-NO"/>
              </w:rPr>
              <w:t>Hrvatska</w:t>
            </w:r>
          </w:p>
          <w:p w14:paraId="4D740EC0" w14:textId="77777777" w:rsidR="00D91337" w:rsidRPr="009175A7" w:rsidRDefault="00D91337" w:rsidP="00D91337">
            <w:pPr>
              <w:rPr>
                <w:noProof/>
                <w:szCs w:val="22"/>
                <w:lang w:val="nn-NO" w:eastAsia="ko-KR"/>
              </w:rPr>
            </w:pPr>
            <w:r w:rsidRPr="009175A7">
              <w:rPr>
                <w:noProof/>
                <w:szCs w:val="22"/>
                <w:lang w:val="nn-NO" w:eastAsia="ko-KR"/>
              </w:rPr>
              <w:t>Samsung Bioepis NL B.V.</w:t>
            </w:r>
          </w:p>
          <w:p w14:paraId="7866B343" w14:textId="77777777" w:rsidR="00D91337" w:rsidRPr="00215594" w:rsidRDefault="00D91337" w:rsidP="00D91337">
            <w:pPr>
              <w:numPr>
                <w:ilvl w:val="12"/>
                <w:numId w:val="0"/>
              </w:numPr>
              <w:ind w:right="-2"/>
              <w:rPr>
                <w:noProof/>
                <w:szCs w:val="22"/>
                <w:lang w:val="nn-NO"/>
              </w:rPr>
            </w:pPr>
            <w:r w:rsidRPr="00215594">
              <w:rPr>
                <w:noProof/>
                <w:lang w:val="nn-NO"/>
              </w:rPr>
              <w:t>Olof Palmestraat 10, 2616 LR Delft</w:t>
            </w:r>
          </w:p>
          <w:p w14:paraId="16F8178A" w14:textId="77777777" w:rsidR="00D91337" w:rsidRPr="008976C3" w:rsidRDefault="00D91337" w:rsidP="00D91337">
            <w:pPr>
              <w:tabs>
                <w:tab w:val="left" w:pos="-720"/>
              </w:tabs>
              <w:suppressAutoHyphens/>
              <w:rPr>
                <w:lang w:val="nn-NO"/>
              </w:rPr>
            </w:pPr>
            <w:r w:rsidRPr="008976C3">
              <w:rPr>
                <w:lang w:val="nn-NO"/>
              </w:rPr>
              <w:t>Nizozemska</w:t>
            </w:r>
          </w:p>
          <w:p w14:paraId="46ABC8E6" w14:textId="77777777" w:rsidR="00760789" w:rsidRPr="008976C3" w:rsidRDefault="00B64E43" w:rsidP="00D91337">
            <w:pPr>
              <w:tabs>
                <w:tab w:val="left" w:pos="-720"/>
              </w:tabs>
              <w:suppressAutoHyphens/>
              <w:rPr>
                <w:lang w:val="nn-NO"/>
              </w:rPr>
            </w:pPr>
            <w:hyperlink r:id="rId34" w:history="1">
              <w:r w:rsidR="00760789" w:rsidRPr="008976C3">
                <w:rPr>
                  <w:rStyle w:val="Hyperlink"/>
                  <w:lang w:val="nn-NO"/>
                </w:rPr>
                <w:t>bioepis.mi@medinformation.co.uk</w:t>
              </w:r>
            </w:hyperlink>
          </w:p>
          <w:p w14:paraId="4746E922" w14:textId="77777777" w:rsidR="00D91337" w:rsidRPr="008976C3" w:rsidRDefault="00D91337" w:rsidP="00D91337">
            <w:pPr>
              <w:tabs>
                <w:tab w:val="left" w:pos="-720"/>
              </w:tabs>
              <w:suppressAutoHyphens/>
              <w:rPr>
                <w:rFonts w:eastAsia="Yu Mincho"/>
                <w:noProof/>
                <w:szCs w:val="22"/>
                <w:lang w:val="nn-NO"/>
              </w:rPr>
            </w:pPr>
          </w:p>
          <w:p w14:paraId="066AA56E" w14:textId="77777777" w:rsidR="00D91337" w:rsidRPr="00215594" w:rsidRDefault="00D91337" w:rsidP="00D91337">
            <w:pPr>
              <w:rPr>
                <w:noProof/>
                <w:szCs w:val="22"/>
                <w:lang w:val="nn-NO"/>
              </w:rPr>
            </w:pPr>
            <w:r w:rsidRPr="00215594">
              <w:rPr>
                <w:b/>
                <w:noProof/>
                <w:szCs w:val="22"/>
                <w:lang w:val="nn-NO"/>
              </w:rPr>
              <w:t>Ireland</w:t>
            </w:r>
          </w:p>
          <w:p w14:paraId="44592BE7" w14:textId="77777777" w:rsidR="00D91337" w:rsidRPr="009175A7" w:rsidRDefault="00D91337" w:rsidP="00D91337">
            <w:pPr>
              <w:rPr>
                <w:noProof/>
                <w:szCs w:val="22"/>
                <w:lang w:val="nn-NO" w:eastAsia="ko-KR"/>
              </w:rPr>
            </w:pPr>
            <w:r w:rsidRPr="009175A7">
              <w:rPr>
                <w:noProof/>
                <w:szCs w:val="22"/>
                <w:lang w:val="nn-NO" w:eastAsia="ko-KR"/>
              </w:rPr>
              <w:t>Samsung Bioepis NL B.V.</w:t>
            </w:r>
          </w:p>
          <w:p w14:paraId="2BF60693" w14:textId="77777777" w:rsidR="00D91337" w:rsidRPr="008976C3" w:rsidRDefault="00D91337" w:rsidP="00D91337">
            <w:pPr>
              <w:numPr>
                <w:ilvl w:val="12"/>
                <w:numId w:val="0"/>
              </w:numPr>
              <w:ind w:right="-2"/>
              <w:rPr>
                <w:noProof/>
                <w:lang w:val="nn-NO"/>
              </w:rPr>
            </w:pPr>
            <w:r w:rsidRPr="008976C3">
              <w:rPr>
                <w:noProof/>
                <w:lang w:val="nn-NO"/>
              </w:rPr>
              <w:t>Olof Palmestraat 10, 2616 LR Delft</w:t>
            </w:r>
          </w:p>
          <w:p w14:paraId="1866FE16" w14:textId="77777777" w:rsidR="00D91337" w:rsidRPr="008976C3" w:rsidRDefault="00D91337" w:rsidP="00D91337">
            <w:pPr>
              <w:tabs>
                <w:tab w:val="left" w:pos="-720"/>
              </w:tabs>
              <w:suppressAutoHyphens/>
              <w:rPr>
                <w:rFonts w:eastAsia="TimesNewRoman"/>
                <w:szCs w:val="22"/>
                <w:lang w:val="nn-NO"/>
              </w:rPr>
            </w:pPr>
            <w:r w:rsidRPr="008976C3">
              <w:rPr>
                <w:rFonts w:eastAsia="TimesNewRoman"/>
                <w:szCs w:val="22"/>
                <w:lang w:val="nn-NO"/>
              </w:rPr>
              <w:t>Netherlands</w:t>
            </w:r>
          </w:p>
          <w:p w14:paraId="422E4CD0" w14:textId="77777777" w:rsidR="00760789" w:rsidRPr="008976C3" w:rsidRDefault="00B64E43" w:rsidP="00D91337">
            <w:pPr>
              <w:tabs>
                <w:tab w:val="left" w:pos="-720"/>
              </w:tabs>
              <w:suppressAutoHyphens/>
              <w:rPr>
                <w:lang w:val="nn-NO"/>
              </w:rPr>
            </w:pPr>
            <w:hyperlink r:id="rId35" w:history="1">
              <w:r w:rsidR="00760789" w:rsidRPr="008976C3">
                <w:rPr>
                  <w:rStyle w:val="Hyperlink"/>
                  <w:lang w:val="nn-NO"/>
                </w:rPr>
                <w:t>bioepis.mi@medinformation.co.uk</w:t>
              </w:r>
            </w:hyperlink>
          </w:p>
          <w:p w14:paraId="05459198" w14:textId="77777777" w:rsidR="00D91337" w:rsidRPr="008976C3" w:rsidRDefault="00D91337" w:rsidP="00D91337">
            <w:pPr>
              <w:tabs>
                <w:tab w:val="left" w:pos="-720"/>
              </w:tabs>
              <w:suppressAutoHyphens/>
              <w:rPr>
                <w:noProof/>
                <w:szCs w:val="22"/>
                <w:lang w:val="nn-NO"/>
              </w:rPr>
            </w:pPr>
          </w:p>
        </w:tc>
        <w:tc>
          <w:tcPr>
            <w:tcW w:w="4678" w:type="dxa"/>
          </w:tcPr>
          <w:p w14:paraId="58EF3960" w14:textId="77777777" w:rsidR="00D91337" w:rsidRPr="00B64E29" w:rsidRDefault="00D91337" w:rsidP="00D91337">
            <w:pPr>
              <w:tabs>
                <w:tab w:val="left" w:pos="-720"/>
              </w:tabs>
              <w:suppressAutoHyphens/>
              <w:rPr>
                <w:b/>
                <w:noProof/>
                <w:szCs w:val="22"/>
                <w:lang w:val="en-US"/>
              </w:rPr>
            </w:pPr>
            <w:r w:rsidRPr="00B64E29">
              <w:rPr>
                <w:b/>
                <w:noProof/>
                <w:szCs w:val="22"/>
                <w:lang w:val="en-US"/>
              </w:rPr>
              <w:t>România</w:t>
            </w:r>
          </w:p>
          <w:p w14:paraId="6C790AD0" w14:textId="77777777" w:rsidR="00D91337" w:rsidRPr="00B64E29" w:rsidRDefault="00D91337" w:rsidP="00D91337">
            <w:pPr>
              <w:rPr>
                <w:noProof/>
                <w:szCs w:val="22"/>
                <w:lang w:val="en-US" w:eastAsia="ko-KR"/>
              </w:rPr>
            </w:pPr>
            <w:r w:rsidRPr="00B64E29">
              <w:rPr>
                <w:noProof/>
                <w:szCs w:val="22"/>
                <w:lang w:val="en-US" w:eastAsia="ko-KR"/>
              </w:rPr>
              <w:t>Samsung Bioepis NL B.V.</w:t>
            </w:r>
          </w:p>
          <w:p w14:paraId="7AA0BFD3" w14:textId="77777777" w:rsidR="00D91337" w:rsidRPr="008976C3" w:rsidRDefault="00D91337" w:rsidP="00D91337">
            <w:pPr>
              <w:numPr>
                <w:ilvl w:val="12"/>
                <w:numId w:val="0"/>
              </w:numPr>
              <w:ind w:right="-2"/>
              <w:rPr>
                <w:noProof/>
                <w:lang w:val="en-US"/>
              </w:rPr>
            </w:pPr>
            <w:r w:rsidRPr="008976C3">
              <w:rPr>
                <w:noProof/>
                <w:lang w:val="en-US"/>
              </w:rPr>
              <w:t>Olof Palmestraat 10, 2616 LR Delft</w:t>
            </w:r>
          </w:p>
          <w:p w14:paraId="03EC0202" w14:textId="77777777" w:rsidR="00D91337" w:rsidRDefault="00D91337" w:rsidP="00D91337">
            <w:pPr>
              <w:rPr>
                <w:rFonts w:eastAsia="TimesNewRoman"/>
                <w:szCs w:val="22"/>
                <w:lang w:val="nn-NO"/>
              </w:rPr>
            </w:pPr>
            <w:r w:rsidRPr="009175A7">
              <w:rPr>
                <w:rFonts w:eastAsia="TimesNewRoman"/>
                <w:szCs w:val="22"/>
                <w:lang w:val="nn-NO"/>
              </w:rPr>
              <w:t>Olanda</w:t>
            </w:r>
          </w:p>
          <w:p w14:paraId="1015C00D" w14:textId="77777777" w:rsidR="00760789" w:rsidRPr="008976C3" w:rsidRDefault="00B64E43" w:rsidP="00D91337">
            <w:pPr>
              <w:rPr>
                <w:lang w:val="en-US"/>
              </w:rPr>
            </w:pPr>
            <w:hyperlink r:id="rId36" w:history="1">
              <w:r w:rsidR="00760789" w:rsidRPr="008976C3">
                <w:rPr>
                  <w:rStyle w:val="Hyperlink"/>
                  <w:lang w:val="en-US"/>
                </w:rPr>
                <w:t>bioepis.mi@medinformation.co.uk</w:t>
              </w:r>
            </w:hyperlink>
          </w:p>
          <w:p w14:paraId="2D75647A" w14:textId="77777777" w:rsidR="00D91337" w:rsidRPr="00215594" w:rsidRDefault="00D91337" w:rsidP="00D91337">
            <w:pPr>
              <w:rPr>
                <w:b/>
                <w:noProof/>
                <w:szCs w:val="22"/>
                <w:lang w:val="nn-NO"/>
              </w:rPr>
            </w:pPr>
          </w:p>
          <w:p w14:paraId="0B9C672D" w14:textId="77777777" w:rsidR="00D91337" w:rsidRPr="00215594" w:rsidRDefault="00D91337" w:rsidP="00D91337">
            <w:pPr>
              <w:rPr>
                <w:noProof/>
                <w:szCs w:val="22"/>
                <w:lang w:val="nn-NO"/>
              </w:rPr>
            </w:pPr>
            <w:r w:rsidRPr="00215594">
              <w:rPr>
                <w:b/>
                <w:noProof/>
                <w:szCs w:val="22"/>
                <w:lang w:val="nn-NO"/>
              </w:rPr>
              <w:t>Slovenija</w:t>
            </w:r>
          </w:p>
          <w:p w14:paraId="0A2EEE6F" w14:textId="77777777" w:rsidR="00D91337" w:rsidRPr="009175A7" w:rsidRDefault="00D91337" w:rsidP="00D91337">
            <w:pPr>
              <w:rPr>
                <w:noProof/>
                <w:szCs w:val="22"/>
                <w:lang w:val="nn-NO" w:eastAsia="ko-KR"/>
              </w:rPr>
            </w:pPr>
            <w:r w:rsidRPr="009175A7">
              <w:rPr>
                <w:noProof/>
                <w:szCs w:val="22"/>
                <w:lang w:val="nn-NO" w:eastAsia="ko-KR"/>
              </w:rPr>
              <w:t>Samsung Bioepis NL B.V.</w:t>
            </w:r>
          </w:p>
          <w:p w14:paraId="457DDDEF" w14:textId="77777777" w:rsidR="00D91337" w:rsidRPr="008976C3" w:rsidRDefault="00D91337" w:rsidP="00D91337">
            <w:pPr>
              <w:numPr>
                <w:ilvl w:val="12"/>
                <w:numId w:val="0"/>
              </w:numPr>
              <w:ind w:right="-2"/>
              <w:rPr>
                <w:noProof/>
                <w:lang w:val="en-US"/>
              </w:rPr>
            </w:pPr>
            <w:r w:rsidRPr="008976C3">
              <w:rPr>
                <w:noProof/>
                <w:lang w:val="en-US"/>
              </w:rPr>
              <w:t>Olof Palmestraat 10, 2616 LR Delft</w:t>
            </w:r>
          </w:p>
          <w:p w14:paraId="08B7E9DA" w14:textId="77777777" w:rsidR="00D91337" w:rsidRPr="008976C3" w:rsidRDefault="00D91337" w:rsidP="00D91337">
            <w:pPr>
              <w:tabs>
                <w:tab w:val="left" w:pos="-720"/>
              </w:tabs>
              <w:suppressAutoHyphens/>
              <w:rPr>
                <w:noProof/>
                <w:szCs w:val="22"/>
                <w:lang w:val="en-US" w:eastAsia="ko-KR"/>
              </w:rPr>
            </w:pPr>
            <w:r w:rsidRPr="008976C3">
              <w:rPr>
                <w:rFonts w:eastAsia="TimesNewRoman"/>
                <w:szCs w:val="22"/>
                <w:lang w:val="en-US"/>
              </w:rPr>
              <w:t>Nizozemska</w:t>
            </w:r>
          </w:p>
          <w:p w14:paraId="12930360" w14:textId="77777777" w:rsidR="00D91337" w:rsidRPr="008976C3" w:rsidRDefault="00B64E43" w:rsidP="00D91337">
            <w:pPr>
              <w:tabs>
                <w:tab w:val="left" w:pos="-720"/>
              </w:tabs>
              <w:suppressAutoHyphens/>
              <w:rPr>
                <w:lang w:val="en-US"/>
              </w:rPr>
            </w:pPr>
            <w:hyperlink r:id="rId37" w:history="1">
              <w:r w:rsidR="00760789" w:rsidRPr="008976C3">
                <w:rPr>
                  <w:rStyle w:val="Hyperlink"/>
                  <w:lang w:val="en-US"/>
                </w:rPr>
                <w:t>bioepis.mi@medinformation.co.uk</w:t>
              </w:r>
            </w:hyperlink>
          </w:p>
          <w:p w14:paraId="2CF52FAD" w14:textId="77777777" w:rsidR="00760789" w:rsidRPr="008976C3" w:rsidRDefault="00760789" w:rsidP="00D91337">
            <w:pPr>
              <w:tabs>
                <w:tab w:val="left" w:pos="-720"/>
              </w:tabs>
              <w:suppressAutoHyphens/>
              <w:rPr>
                <w:noProof/>
                <w:szCs w:val="22"/>
                <w:lang w:val="en-US" w:eastAsia="ko-KR"/>
              </w:rPr>
            </w:pPr>
          </w:p>
        </w:tc>
      </w:tr>
      <w:tr w:rsidR="00D91337" w:rsidRPr="00215594" w14:paraId="29F1CE5B" w14:textId="77777777" w:rsidTr="00D91337">
        <w:trPr>
          <w:cantSplit/>
        </w:trPr>
        <w:tc>
          <w:tcPr>
            <w:tcW w:w="4644" w:type="dxa"/>
          </w:tcPr>
          <w:p w14:paraId="177D6D27" w14:textId="77777777" w:rsidR="00D91337" w:rsidRPr="00B64E29" w:rsidRDefault="00D91337" w:rsidP="00D91337">
            <w:pPr>
              <w:rPr>
                <w:b/>
                <w:noProof/>
                <w:szCs w:val="22"/>
                <w:lang w:val="en-US"/>
              </w:rPr>
            </w:pPr>
            <w:r w:rsidRPr="00B64E29">
              <w:rPr>
                <w:b/>
                <w:noProof/>
                <w:szCs w:val="22"/>
                <w:lang w:val="en-US"/>
              </w:rPr>
              <w:t>Ísland</w:t>
            </w:r>
          </w:p>
          <w:p w14:paraId="41D124A5" w14:textId="77777777" w:rsidR="00D91337" w:rsidRPr="00B64E29" w:rsidRDefault="00D91337" w:rsidP="00D91337">
            <w:pPr>
              <w:rPr>
                <w:noProof/>
                <w:szCs w:val="22"/>
                <w:lang w:val="en-US" w:eastAsia="ko-KR"/>
              </w:rPr>
            </w:pPr>
            <w:r w:rsidRPr="00B64E29">
              <w:rPr>
                <w:noProof/>
                <w:szCs w:val="22"/>
                <w:lang w:val="en-US" w:eastAsia="ko-KR"/>
              </w:rPr>
              <w:t>Samsung Bioepis NL B.V.</w:t>
            </w:r>
          </w:p>
          <w:p w14:paraId="0F779F9E" w14:textId="77777777" w:rsidR="00D91337" w:rsidRPr="00B64E29" w:rsidRDefault="00D91337" w:rsidP="00D91337">
            <w:pPr>
              <w:numPr>
                <w:ilvl w:val="12"/>
                <w:numId w:val="0"/>
              </w:numPr>
              <w:ind w:right="-2"/>
              <w:rPr>
                <w:noProof/>
                <w:lang w:val="en-US"/>
              </w:rPr>
            </w:pPr>
            <w:r w:rsidRPr="00B64E29">
              <w:rPr>
                <w:noProof/>
                <w:lang w:val="en-US"/>
              </w:rPr>
              <w:t>Olof Palmestraat 10, 2616 LR Delft</w:t>
            </w:r>
          </w:p>
          <w:p w14:paraId="7B33236C" w14:textId="77777777" w:rsidR="00D91337" w:rsidRDefault="00D91337" w:rsidP="00D91337">
            <w:pPr>
              <w:tabs>
                <w:tab w:val="left" w:pos="-720"/>
              </w:tabs>
              <w:suppressAutoHyphens/>
              <w:rPr>
                <w:rFonts w:eastAsia="TimesNewRoman"/>
                <w:szCs w:val="22"/>
                <w:lang w:val="en-US"/>
              </w:rPr>
            </w:pPr>
            <w:r w:rsidRPr="00B64E29">
              <w:rPr>
                <w:rFonts w:eastAsia="TimesNewRoman"/>
                <w:szCs w:val="22"/>
                <w:lang w:val="en-US"/>
              </w:rPr>
              <w:t>Holland</w:t>
            </w:r>
          </w:p>
          <w:p w14:paraId="73E2DAD2" w14:textId="77777777" w:rsidR="00760789" w:rsidRDefault="00B64E43" w:rsidP="00D91337">
            <w:pPr>
              <w:tabs>
                <w:tab w:val="left" w:pos="-720"/>
              </w:tabs>
              <w:suppressAutoHyphens/>
            </w:pPr>
            <w:hyperlink r:id="rId38" w:history="1">
              <w:r w:rsidR="00760789" w:rsidRPr="008A55C9">
                <w:rPr>
                  <w:rStyle w:val="Hyperlink"/>
                </w:rPr>
                <w:t>bioepis.mi@medinformation.co.uk</w:t>
              </w:r>
            </w:hyperlink>
          </w:p>
          <w:p w14:paraId="60F19C67" w14:textId="77777777" w:rsidR="00760789" w:rsidRPr="00B64E29" w:rsidRDefault="00760789" w:rsidP="00D91337">
            <w:pPr>
              <w:tabs>
                <w:tab w:val="left" w:pos="-720"/>
              </w:tabs>
              <w:suppressAutoHyphens/>
              <w:rPr>
                <w:rFonts w:eastAsia="Yu Mincho"/>
                <w:noProof/>
                <w:szCs w:val="22"/>
              </w:rPr>
            </w:pPr>
          </w:p>
        </w:tc>
        <w:tc>
          <w:tcPr>
            <w:tcW w:w="4678" w:type="dxa"/>
          </w:tcPr>
          <w:p w14:paraId="300A0DD6" w14:textId="77777777" w:rsidR="00D91337" w:rsidRPr="00B64E29" w:rsidRDefault="00D91337" w:rsidP="00D91337">
            <w:pPr>
              <w:tabs>
                <w:tab w:val="left" w:pos="-720"/>
              </w:tabs>
              <w:suppressAutoHyphens/>
              <w:rPr>
                <w:b/>
                <w:noProof/>
                <w:szCs w:val="22"/>
                <w:lang w:val="en-US"/>
              </w:rPr>
            </w:pPr>
            <w:r w:rsidRPr="00B64E29">
              <w:rPr>
                <w:b/>
                <w:noProof/>
                <w:szCs w:val="22"/>
                <w:lang w:val="en-US"/>
              </w:rPr>
              <w:t>Slovenská republika</w:t>
            </w:r>
          </w:p>
          <w:p w14:paraId="0CC18C3C" w14:textId="77777777" w:rsidR="00D91337" w:rsidRPr="00B64E29" w:rsidRDefault="00D91337" w:rsidP="00D91337">
            <w:pPr>
              <w:rPr>
                <w:noProof/>
                <w:szCs w:val="22"/>
                <w:lang w:val="en-US" w:eastAsia="ko-KR"/>
              </w:rPr>
            </w:pPr>
            <w:r w:rsidRPr="00B64E29">
              <w:rPr>
                <w:noProof/>
                <w:szCs w:val="22"/>
                <w:lang w:val="en-US" w:eastAsia="ko-KR"/>
              </w:rPr>
              <w:t>Samsung Bioepis NL B.V.</w:t>
            </w:r>
          </w:p>
          <w:p w14:paraId="782D83D4" w14:textId="77777777" w:rsidR="00D91337" w:rsidRPr="00215594" w:rsidRDefault="00D91337" w:rsidP="00D91337">
            <w:pPr>
              <w:numPr>
                <w:ilvl w:val="12"/>
                <w:numId w:val="0"/>
              </w:numPr>
              <w:ind w:right="-2"/>
              <w:rPr>
                <w:noProof/>
              </w:rPr>
            </w:pPr>
            <w:r w:rsidRPr="00215594">
              <w:rPr>
                <w:noProof/>
              </w:rPr>
              <w:t>Olof Palmestraat 10, 2616 LR Delft</w:t>
            </w:r>
          </w:p>
          <w:p w14:paraId="05275867" w14:textId="77777777" w:rsidR="00D91337" w:rsidRDefault="00D91337" w:rsidP="00D91337">
            <w:pPr>
              <w:autoSpaceDE w:val="0"/>
              <w:autoSpaceDN w:val="0"/>
              <w:adjustRightInd w:val="0"/>
              <w:rPr>
                <w:rFonts w:eastAsia="TimesNewRoman"/>
                <w:szCs w:val="22"/>
              </w:rPr>
            </w:pPr>
            <w:r w:rsidRPr="00F149CD">
              <w:rPr>
                <w:rFonts w:eastAsia="TimesNewRoman"/>
                <w:szCs w:val="22"/>
              </w:rPr>
              <w:t>Holandsko</w:t>
            </w:r>
          </w:p>
          <w:p w14:paraId="5177089C" w14:textId="77777777" w:rsidR="00760789" w:rsidRDefault="00B64E43" w:rsidP="00D91337">
            <w:pPr>
              <w:autoSpaceDE w:val="0"/>
              <w:autoSpaceDN w:val="0"/>
              <w:adjustRightInd w:val="0"/>
            </w:pPr>
            <w:hyperlink r:id="rId39" w:history="1">
              <w:r w:rsidR="00760789" w:rsidRPr="008A55C9">
                <w:rPr>
                  <w:rStyle w:val="Hyperlink"/>
                </w:rPr>
                <w:t>bioepis.mi@medinformation.co.uk</w:t>
              </w:r>
            </w:hyperlink>
          </w:p>
          <w:p w14:paraId="5E92346B" w14:textId="77777777" w:rsidR="00D91337" w:rsidRPr="00EE061A" w:rsidRDefault="00D91337" w:rsidP="00D91337">
            <w:pPr>
              <w:tabs>
                <w:tab w:val="left" w:pos="-720"/>
              </w:tabs>
              <w:suppressAutoHyphens/>
              <w:rPr>
                <w:b/>
                <w:noProof/>
                <w:color w:val="008000"/>
                <w:szCs w:val="22"/>
                <w:lang w:eastAsia="ko-KR"/>
              </w:rPr>
            </w:pPr>
          </w:p>
        </w:tc>
      </w:tr>
      <w:tr w:rsidR="00D91337" w:rsidRPr="00B64E29" w14:paraId="13949405" w14:textId="77777777" w:rsidTr="00D91337">
        <w:trPr>
          <w:cantSplit/>
        </w:trPr>
        <w:tc>
          <w:tcPr>
            <w:tcW w:w="4644" w:type="dxa"/>
          </w:tcPr>
          <w:p w14:paraId="3C863899" w14:textId="77777777" w:rsidR="00D91337" w:rsidRPr="00215594" w:rsidRDefault="00D91337" w:rsidP="00D91337">
            <w:pPr>
              <w:rPr>
                <w:noProof/>
                <w:szCs w:val="22"/>
                <w:lang w:val="es-ES"/>
              </w:rPr>
            </w:pPr>
            <w:r w:rsidRPr="00215594">
              <w:rPr>
                <w:b/>
                <w:noProof/>
                <w:szCs w:val="22"/>
                <w:lang w:val="es-ES"/>
              </w:rPr>
              <w:t>Italia</w:t>
            </w:r>
          </w:p>
          <w:p w14:paraId="043620A0" w14:textId="77777777" w:rsidR="00D91337" w:rsidRPr="009175A7" w:rsidRDefault="00803526" w:rsidP="00D91337">
            <w:pPr>
              <w:autoSpaceDE w:val="0"/>
              <w:autoSpaceDN w:val="0"/>
              <w:adjustRightInd w:val="0"/>
              <w:rPr>
                <w:rFonts w:eastAsia="TimesNewRoman"/>
                <w:szCs w:val="22"/>
                <w:lang w:val="es-ES"/>
              </w:rPr>
            </w:pPr>
            <w:r w:rsidRPr="00803526">
              <w:rPr>
                <w:rFonts w:eastAsia="TimesNewRoman"/>
                <w:szCs w:val="22"/>
                <w:lang w:val="es-ES"/>
              </w:rPr>
              <w:t>Organon</w:t>
            </w:r>
            <w:r w:rsidRPr="00803526" w:rsidDel="00803526">
              <w:rPr>
                <w:rFonts w:eastAsia="TimesNewRoman"/>
                <w:szCs w:val="22"/>
                <w:lang w:val="es-ES"/>
              </w:rPr>
              <w:t xml:space="preserve"> </w:t>
            </w:r>
            <w:r w:rsidR="00D91337" w:rsidRPr="009175A7">
              <w:rPr>
                <w:rFonts w:eastAsia="TimesNewRoman"/>
                <w:szCs w:val="22"/>
                <w:lang w:val="es-ES"/>
              </w:rPr>
              <w:t>Italia S.r.l.</w:t>
            </w:r>
          </w:p>
          <w:p w14:paraId="2B8E41D7" w14:textId="77777777" w:rsidR="00D91337" w:rsidRPr="006B0F86" w:rsidRDefault="00D91337" w:rsidP="00D91337">
            <w:pPr>
              <w:autoSpaceDE w:val="0"/>
              <w:autoSpaceDN w:val="0"/>
              <w:adjustRightInd w:val="0"/>
              <w:rPr>
                <w:rFonts w:eastAsia="TimesNewRoman"/>
                <w:szCs w:val="22"/>
              </w:rPr>
            </w:pPr>
            <w:r w:rsidRPr="006B0F86">
              <w:rPr>
                <w:rFonts w:eastAsia="TimesNewRoman"/>
                <w:szCs w:val="22"/>
              </w:rPr>
              <w:t xml:space="preserve">Tel: +39 06 </w:t>
            </w:r>
            <w:r w:rsidR="00C03411">
              <w:rPr>
                <w:rFonts w:eastAsia="TimesNewRoman"/>
                <w:szCs w:val="22"/>
              </w:rPr>
              <w:t>90259059</w:t>
            </w:r>
          </w:p>
          <w:p w14:paraId="0B8092ED" w14:textId="77777777" w:rsidR="00D91337" w:rsidRPr="003E68E0" w:rsidRDefault="00D91337" w:rsidP="00411507">
            <w:pPr>
              <w:rPr>
                <w:b/>
                <w:noProof/>
                <w:szCs w:val="22"/>
                <w:lang w:eastAsia="ko-KR"/>
              </w:rPr>
            </w:pPr>
          </w:p>
        </w:tc>
        <w:tc>
          <w:tcPr>
            <w:tcW w:w="4678" w:type="dxa"/>
          </w:tcPr>
          <w:p w14:paraId="5E913BF4" w14:textId="77777777" w:rsidR="00D91337" w:rsidRPr="00215594" w:rsidRDefault="00D91337" w:rsidP="00D91337">
            <w:pPr>
              <w:tabs>
                <w:tab w:val="left" w:pos="-720"/>
                <w:tab w:val="left" w:pos="4536"/>
              </w:tabs>
              <w:suppressAutoHyphens/>
              <w:rPr>
                <w:noProof/>
                <w:szCs w:val="22"/>
                <w:lang w:val="sv-SE"/>
              </w:rPr>
            </w:pPr>
            <w:r w:rsidRPr="00215594">
              <w:rPr>
                <w:b/>
                <w:noProof/>
                <w:szCs w:val="22"/>
                <w:lang w:val="sv-SE"/>
              </w:rPr>
              <w:t>Suomi/Finland</w:t>
            </w:r>
          </w:p>
          <w:p w14:paraId="04B5DFC7" w14:textId="77777777" w:rsidR="00D91337" w:rsidRPr="00B64E29" w:rsidRDefault="00D91337" w:rsidP="00D91337">
            <w:pPr>
              <w:rPr>
                <w:noProof/>
                <w:szCs w:val="22"/>
                <w:lang w:val="en-US" w:eastAsia="ko-KR"/>
              </w:rPr>
            </w:pPr>
            <w:r w:rsidRPr="00B64E29">
              <w:rPr>
                <w:noProof/>
                <w:szCs w:val="22"/>
                <w:lang w:val="en-US" w:eastAsia="ko-KR"/>
              </w:rPr>
              <w:t>Samsung Bioepis NL B.V.</w:t>
            </w:r>
          </w:p>
          <w:p w14:paraId="50568A7E" w14:textId="77777777" w:rsidR="00D91337" w:rsidRPr="00B64E29" w:rsidRDefault="00D91337" w:rsidP="00D91337">
            <w:pPr>
              <w:numPr>
                <w:ilvl w:val="12"/>
                <w:numId w:val="0"/>
              </w:numPr>
              <w:ind w:right="-2"/>
              <w:rPr>
                <w:noProof/>
                <w:lang w:val="en-US"/>
              </w:rPr>
            </w:pPr>
            <w:r w:rsidRPr="00B64E29">
              <w:rPr>
                <w:noProof/>
                <w:lang w:val="en-US"/>
              </w:rPr>
              <w:t>Olof Palmestraat 10, 2616 LR Delft</w:t>
            </w:r>
          </w:p>
          <w:p w14:paraId="230BDC44" w14:textId="77777777" w:rsidR="00D91337" w:rsidRDefault="00D91337" w:rsidP="00D91337">
            <w:pPr>
              <w:rPr>
                <w:noProof/>
                <w:szCs w:val="22"/>
                <w:lang w:val="en-US"/>
              </w:rPr>
            </w:pPr>
            <w:r w:rsidRPr="00B64E29">
              <w:rPr>
                <w:lang w:val="en-US"/>
              </w:rPr>
              <w:t>Alankomaat</w:t>
            </w:r>
            <w:r w:rsidRPr="00B64E29">
              <w:rPr>
                <w:noProof/>
                <w:szCs w:val="22"/>
                <w:lang w:val="en-US"/>
              </w:rPr>
              <w:t>/Nederländerna</w:t>
            </w:r>
          </w:p>
          <w:p w14:paraId="190DE40A" w14:textId="77777777" w:rsidR="00760789" w:rsidRDefault="00B64E43" w:rsidP="00D91337">
            <w:hyperlink r:id="rId40" w:history="1">
              <w:r w:rsidR="00760789" w:rsidRPr="008A55C9">
                <w:rPr>
                  <w:rStyle w:val="Hyperlink"/>
                </w:rPr>
                <w:t>bioepis.mi@medinformation.co.uk</w:t>
              </w:r>
            </w:hyperlink>
          </w:p>
          <w:p w14:paraId="44F2041D" w14:textId="77777777" w:rsidR="00760789" w:rsidRPr="00B64E29" w:rsidRDefault="00760789" w:rsidP="00D91337">
            <w:pPr>
              <w:rPr>
                <w:rFonts w:eastAsia="Yu Mincho"/>
                <w:noProof/>
                <w:szCs w:val="22"/>
              </w:rPr>
            </w:pPr>
          </w:p>
        </w:tc>
      </w:tr>
      <w:tr w:rsidR="00D91337" w:rsidRPr="00B64E29" w14:paraId="1A8B51D5" w14:textId="77777777" w:rsidTr="00D91337">
        <w:trPr>
          <w:cantSplit/>
        </w:trPr>
        <w:tc>
          <w:tcPr>
            <w:tcW w:w="4644" w:type="dxa"/>
          </w:tcPr>
          <w:p w14:paraId="45FF423B" w14:textId="77777777" w:rsidR="00D91337" w:rsidRPr="00B64E29" w:rsidRDefault="00D91337" w:rsidP="00D91337">
            <w:pPr>
              <w:rPr>
                <w:b/>
                <w:noProof/>
                <w:szCs w:val="22"/>
                <w:lang w:val="en-US"/>
              </w:rPr>
            </w:pPr>
            <w:r w:rsidRPr="00215594">
              <w:rPr>
                <w:b/>
                <w:noProof/>
                <w:szCs w:val="22"/>
              </w:rPr>
              <w:t>Κύπρος</w:t>
            </w:r>
          </w:p>
          <w:p w14:paraId="6C9CB709" w14:textId="77777777" w:rsidR="00D91337" w:rsidRPr="00B64E29" w:rsidRDefault="00D91337" w:rsidP="00D91337">
            <w:pPr>
              <w:rPr>
                <w:noProof/>
                <w:szCs w:val="22"/>
                <w:lang w:val="en-US" w:eastAsia="ko-KR"/>
              </w:rPr>
            </w:pPr>
            <w:r w:rsidRPr="00B64E29">
              <w:rPr>
                <w:noProof/>
                <w:szCs w:val="22"/>
                <w:lang w:val="en-US" w:eastAsia="ko-KR"/>
              </w:rPr>
              <w:t>Samsung Bioepis NL B.V.</w:t>
            </w:r>
          </w:p>
          <w:p w14:paraId="5326B9CC" w14:textId="77777777" w:rsidR="00D91337" w:rsidRPr="00B64E29" w:rsidRDefault="00D91337" w:rsidP="00D91337">
            <w:pPr>
              <w:numPr>
                <w:ilvl w:val="12"/>
                <w:numId w:val="0"/>
              </w:numPr>
              <w:ind w:right="-2"/>
              <w:rPr>
                <w:noProof/>
                <w:lang w:val="en-US"/>
              </w:rPr>
            </w:pPr>
            <w:r w:rsidRPr="00B64E29">
              <w:rPr>
                <w:noProof/>
                <w:lang w:val="en-US"/>
              </w:rPr>
              <w:t>Olof Palmestraat 10, 2616 LR Delft</w:t>
            </w:r>
          </w:p>
          <w:p w14:paraId="0FB2A5BF" w14:textId="77777777" w:rsidR="00D91337" w:rsidRDefault="00D91337" w:rsidP="00D91337">
            <w:r>
              <w:t>Ολλανδία</w:t>
            </w:r>
          </w:p>
          <w:p w14:paraId="538D53AC" w14:textId="77777777" w:rsidR="00760789" w:rsidRDefault="00B64E43" w:rsidP="00D91337">
            <w:hyperlink r:id="rId41" w:history="1">
              <w:r w:rsidR="00760789" w:rsidRPr="008A55C9">
                <w:rPr>
                  <w:rStyle w:val="Hyperlink"/>
                </w:rPr>
                <w:t>bioepis.mi@medinformation.co.uk</w:t>
              </w:r>
            </w:hyperlink>
          </w:p>
          <w:p w14:paraId="6FCFCBAB" w14:textId="77777777" w:rsidR="00760789" w:rsidRPr="00B64E29" w:rsidRDefault="00760789" w:rsidP="00D91337">
            <w:pPr>
              <w:rPr>
                <w:rFonts w:eastAsia="Yu Mincho"/>
                <w:b/>
                <w:noProof/>
                <w:szCs w:val="22"/>
              </w:rPr>
            </w:pPr>
          </w:p>
        </w:tc>
        <w:tc>
          <w:tcPr>
            <w:tcW w:w="4678" w:type="dxa"/>
          </w:tcPr>
          <w:p w14:paraId="11C54554" w14:textId="77777777" w:rsidR="00D91337" w:rsidRPr="00215594" w:rsidRDefault="00D91337" w:rsidP="00D91337">
            <w:pPr>
              <w:tabs>
                <w:tab w:val="left" w:pos="-720"/>
                <w:tab w:val="left" w:pos="4536"/>
              </w:tabs>
              <w:suppressAutoHyphens/>
              <w:rPr>
                <w:b/>
                <w:noProof/>
                <w:szCs w:val="22"/>
                <w:lang w:val="da-DK"/>
              </w:rPr>
            </w:pPr>
            <w:r w:rsidRPr="00215594">
              <w:rPr>
                <w:b/>
                <w:noProof/>
                <w:szCs w:val="22"/>
                <w:lang w:val="da-DK"/>
              </w:rPr>
              <w:t>Sverige</w:t>
            </w:r>
          </w:p>
          <w:p w14:paraId="580151B3" w14:textId="77777777" w:rsidR="00D91337" w:rsidRPr="009175A7" w:rsidRDefault="00D91337" w:rsidP="00D91337">
            <w:pPr>
              <w:rPr>
                <w:noProof/>
                <w:szCs w:val="22"/>
                <w:lang w:val="da-DK" w:eastAsia="ko-KR"/>
              </w:rPr>
            </w:pPr>
            <w:r w:rsidRPr="009175A7">
              <w:rPr>
                <w:noProof/>
                <w:szCs w:val="22"/>
                <w:lang w:val="da-DK" w:eastAsia="ko-KR"/>
              </w:rPr>
              <w:t>Samsung Bioepis NL B.V.</w:t>
            </w:r>
          </w:p>
          <w:p w14:paraId="45A823FB" w14:textId="77777777" w:rsidR="00D91337" w:rsidRPr="00B64E29" w:rsidRDefault="00D91337" w:rsidP="00D91337">
            <w:pPr>
              <w:numPr>
                <w:ilvl w:val="12"/>
                <w:numId w:val="0"/>
              </w:numPr>
              <w:ind w:right="-2"/>
              <w:rPr>
                <w:noProof/>
                <w:lang w:val="el-GR"/>
              </w:rPr>
            </w:pPr>
            <w:r w:rsidRPr="00215594">
              <w:rPr>
                <w:noProof/>
              </w:rPr>
              <w:t>Olof</w:t>
            </w:r>
            <w:r w:rsidRPr="00B64E29">
              <w:rPr>
                <w:noProof/>
                <w:lang w:val="el-GR"/>
              </w:rPr>
              <w:t xml:space="preserve"> </w:t>
            </w:r>
            <w:r w:rsidRPr="00215594">
              <w:rPr>
                <w:noProof/>
              </w:rPr>
              <w:t>Palmestraat</w:t>
            </w:r>
            <w:r w:rsidRPr="00B64E29">
              <w:rPr>
                <w:noProof/>
                <w:lang w:val="el-GR"/>
              </w:rPr>
              <w:t xml:space="preserve"> 10, 2616 </w:t>
            </w:r>
            <w:r w:rsidRPr="00215594">
              <w:rPr>
                <w:noProof/>
              </w:rPr>
              <w:t>LR</w:t>
            </w:r>
            <w:r w:rsidRPr="00B64E29">
              <w:rPr>
                <w:noProof/>
                <w:lang w:val="el-GR"/>
              </w:rPr>
              <w:t xml:space="preserve"> </w:t>
            </w:r>
            <w:r w:rsidRPr="00215594">
              <w:rPr>
                <w:noProof/>
              </w:rPr>
              <w:t>Delft</w:t>
            </w:r>
          </w:p>
          <w:p w14:paraId="5E7939DC" w14:textId="77777777" w:rsidR="00D91337" w:rsidRPr="00B64E29" w:rsidRDefault="00D91337" w:rsidP="00D91337">
            <w:pPr>
              <w:numPr>
                <w:ilvl w:val="12"/>
                <w:numId w:val="0"/>
              </w:numPr>
              <w:ind w:right="-2"/>
              <w:rPr>
                <w:noProof/>
                <w:lang w:val="el-GR"/>
              </w:rPr>
            </w:pPr>
            <w:r w:rsidRPr="00215594">
              <w:rPr>
                <w:noProof/>
                <w:szCs w:val="22"/>
              </w:rPr>
              <w:t>Nederl</w:t>
            </w:r>
            <w:r w:rsidRPr="00B64E29">
              <w:rPr>
                <w:noProof/>
                <w:szCs w:val="22"/>
                <w:lang w:val="el-GR"/>
              </w:rPr>
              <w:t>ä</w:t>
            </w:r>
            <w:r w:rsidRPr="00215594">
              <w:rPr>
                <w:noProof/>
                <w:szCs w:val="22"/>
              </w:rPr>
              <w:t>nderna</w:t>
            </w:r>
          </w:p>
          <w:p w14:paraId="6BAD996A" w14:textId="77777777" w:rsidR="00D91337" w:rsidRDefault="00B64E43" w:rsidP="00D91337">
            <w:pPr>
              <w:tabs>
                <w:tab w:val="left" w:pos="-720"/>
                <w:tab w:val="left" w:pos="4536"/>
              </w:tabs>
              <w:suppressAutoHyphens/>
            </w:pPr>
            <w:hyperlink r:id="rId42" w:history="1">
              <w:r w:rsidR="00760789" w:rsidRPr="008A55C9">
                <w:rPr>
                  <w:rStyle w:val="Hyperlink"/>
                </w:rPr>
                <w:t>bioepis.mi@medinformation.co.uk</w:t>
              </w:r>
            </w:hyperlink>
          </w:p>
          <w:p w14:paraId="7DE3784E" w14:textId="77777777" w:rsidR="00760789" w:rsidRPr="00B64E29" w:rsidRDefault="00760789" w:rsidP="00D91337">
            <w:pPr>
              <w:tabs>
                <w:tab w:val="left" w:pos="-720"/>
                <w:tab w:val="left" w:pos="4536"/>
              </w:tabs>
              <w:suppressAutoHyphens/>
              <w:rPr>
                <w:b/>
                <w:noProof/>
                <w:szCs w:val="22"/>
                <w:lang w:eastAsia="ko-KR"/>
              </w:rPr>
            </w:pPr>
          </w:p>
        </w:tc>
      </w:tr>
      <w:tr w:rsidR="00D91337" w:rsidRPr="00215594" w14:paraId="10DFE6DC" w14:textId="77777777" w:rsidTr="00D91337">
        <w:trPr>
          <w:cantSplit/>
        </w:trPr>
        <w:tc>
          <w:tcPr>
            <w:tcW w:w="4644" w:type="dxa"/>
          </w:tcPr>
          <w:p w14:paraId="6DCF17D7" w14:textId="77777777" w:rsidR="00D91337" w:rsidRPr="00B64E29" w:rsidRDefault="00D91337" w:rsidP="00D91337">
            <w:pPr>
              <w:rPr>
                <w:b/>
                <w:noProof/>
                <w:szCs w:val="22"/>
                <w:lang w:val="en-US"/>
              </w:rPr>
            </w:pPr>
            <w:r w:rsidRPr="00B64E29">
              <w:rPr>
                <w:b/>
                <w:noProof/>
                <w:szCs w:val="22"/>
                <w:lang w:val="en-US"/>
              </w:rPr>
              <w:t>Latvija</w:t>
            </w:r>
          </w:p>
          <w:p w14:paraId="3CD28D8A" w14:textId="77777777" w:rsidR="00D91337" w:rsidRPr="00B64E29" w:rsidRDefault="00D91337" w:rsidP="00D91337">
            <w:pPr>
              <w:rPr>
                <w:noProof/>
                <w:szCs w:val="22"/>
                <w:lang w:val="en-US" w:eastAsia="ko-KR"/>
              </w:rPr>
            </w:pPr>
            <w:r w:rsidRPr="00B64E29">
              <w:rPr>
                <w:noProof/>
                <w:szCs w:val="22"/>
                <w:lang w:val="en-US" w:eastAsia="ko-KR"/>
              </w:rPr>
              <w:t>Samsung Bioepis NL B.V.</w:t>
            </w:r>
          </w:p>
          <w:p w14:paraId="748CB97A" w14:textId="77777777" w:rsidR="00D91337" w:rsidRPr="00215594" w:rsidRDefault="00D91337" w:rsidP="00D91337">
            <w:pPr>
              <w:numPr>
                <w:ilvl w:val="12"/>
                <w:numId w:val="0"/>
              </w:numPr>
              <w:ind w:right="-2"/>
              <w:rPr>
                <w:noProof/>
                <w:szCs w:val="22"/>
                <w:lang w:val="da-DK"/>
              </w:rPr>
            </w:pPr>
            <w:r w:rsidRPr="00215594">
              <w:rPr>
                <w:noProof/>
                <w:lang w:val="da-DK"/>
              </w:rPr>
              <w:t>Olof Palmestraat 10, 2616 LR Delft</w:t>
            </w:r>
          </w:p>
          <w:p w14:paraId="55B46F0F" w14:textId="77777777" w:rsidR="00D91337" w:rsidRDefault="00D91337" w:rsidP="00D91337">
            <w:pPr>
              <w:tabs>
                <w:tab w:val="left" w:pos="-720"/>
              </w:tabs>
              <w:suppressAutoHyphens/>
              <w:rPr>
                <w:rFonts w:eastAsia="TimesNewRoman"/>
                <w:szCs w:val="22"/>
                <w:lang w:val="da-DK"/>
              </w:rPr>
            </w:pPr>
            <w:r w:rsidRPr="009175A7">
              <w:rPr>
                <w:rFonts w:eastAsia="TimesNewRoman"/>
                <w:szCs w:val="22"/>
                <w:lang w:val="da-DK"/>
              </w:rPr>
              <w:t>Nīderlande</w:t>
            </w:r>
          </w:p>
          <w:p w14:paraId="06158877" w14:textId="77777777" w:rsidR="00760789" w:rsidRDefault="00B64E43" w:rsidP="00D91337">
            <w:pPr>
              <w:tabs>
                <w:tab w:val="left" w:pos="-720"/>
              </w:tabs>
              <w:suppressAutoHyphens/>
            </w:pPr>
            <w:hyperlink r:id="rId43" w:history="1">
              <w:r w:rsidR="00760789" w:rsidRPr="008A55C9">
                <w:rPr>
                  <w:rStyle w:val="Hyperlink"/>
                </w:rPr>
                <w:t>bioepis.mi@medinformation.co.uk</w:t>
              </w:r>
            </w:hyperlink>
          </w:p>
          <w:p w14:paraId="0320F3EF" w14:textId="77777777" w:rsidR="00760789" w:rsidRPr="00B64E29" w:rsidRDefault="00760789" w:rsidP="00D91337">
            <w:pPr>
              <w:tabs>
                <w:tab w:val="left" w:pos="-720"/>
              </w:tabs>
              <w:suppressAutoHyphens/>
              <w:rPr>
                <w:rFonts w:eastAsia="Yu Mincho"/>
                <w:noProof/>
                <w:szCs w:val="22"/>
              </w:rPr>
            </w:pPr>
          </w:p>
        </w:tc>
        <w:tc>
          <w:tcPr>
            <w:tcW w:w="4678" w:type="dxa"/>
          </w:tcPr>
          <w:p w14:paraId="223ABBDE" w14:textId="77777777" w:rsidR="00D91337" w:rsidRPr="003E68E0" w:rsidRDefault="00D91337" w:rsidP="00D91337">
            <w:pPr>
              <w:numPr>
                <w:ilvl w:val="12"/>
                <w:numId w:val="0"/>
              </w:numPr>
              <w:rPr>
                <w:noProof/>
                <w:szCs w:val="22"/>
                <w:lang w:eastAsia="ko-KR"/>
              </w:rPr>
            </w:pPr>
          </w:p>
          <w:p w14:paraId="4245F54A" w14:textId="77777777" w:rsidR="00D91337" w:rsidRPr="00215594" w:rsidRDefault="00D91337" w:rsidP="00D91337">
            <w:pPr>
              <w:rPr>
                <w:noProof/>
                <w:szCs w:val="22"/>
              </w:rPr>
            </w:pPr>
          </w:p>
        </w:tc>
      </w:tr>
    </w:tbl>
    <w:p w14:paraId="78A84AA1" w14:textId="77777777" w:rsidR="00216910" w:rsidRDefault="00216910" w:rsidP="00D40457">
      <w:pPr>
        <w:keepNext/>
        <w:keepLines/>
        <w:outlineLvl w:val="0"/>
        <w:rPr>
          <w:b/>
        </w:rPr>
      </w:pPr>
    </w:p>
    <w:p w14:paraId="6B43F1FB" w14:textId="77777777" w:rsidR="00400398" w:rsidRDefault="00400398" w:rsidP="00D40457">
      <w:pPr>
        <w:keepNext/>
        <w:keepLines/>
        <w:outlineLvl w:val="0"/>
        <w:rPr>
          <w:b/>
        </w:rPr>
      </w:pPr>
      <w:r w:rsidRPr="007232E4">
        <w:rPr>
          <w:b/>
        </w:rPr>
        <w:t xml:space="preserve">Este folheto foi revisto pela última vez em </w:t>
      </w:r>
    </w:p>
    <w:p w14:paraId="28A70ED0" w14:textId="77777777" w:rsidR="00400398" w:rsidRPr="007232E4" w:rsidRDefault="00400398" w:rsidP="00D40457">
      <w:pPr>
        <w:keepNext/>
        <w:keepLines/>
        <w:outlineLvl w:val="0"/>
        <w:rPr>
          <w:b/>
        </w:rPr>
      </w:pPr>
    </w:p>
    <w:p w14:paraId="2BF0194E" w14:textId="77777777" w:rsidR="00400398" w:rsidRPr="007232E4" w:rsidRDefault="00400398" w:rsidP="009F196F">
      <w:pPr>
        <w:numPr>
          <w:ilvl w:val="12"/>
          <w:numId w:val="0"/>
        </w:numPr>
        <w:ind w:right="-2"/>
        <w:outlineLvl w:val="0"/>
        <w:rPr>
          <w:b/>
        </w:rPr>
      </w:pPr>
      <w:r w:rsidRPr="007232E4">
        <w:rPr>
          <w:b/>
        </w:rPr>
        <w:t>Outras fontes de informação</w:t>
      </w:r>
    </w:p>
    <w:p w14:paraId="350793B6" w14:textId="77777777" w:rsidR="00400398" w:rsidRPr="00C82494" w:rsidRDefault="00400398">
      <w:pPr>
        <w:rPr>
          <w:noProof/>
        </w:rPr>
      </w:pPr>
    </w:p>
    <w:p w14:paraId="7EBA86CE" w14:textId="77777777" w:rsidR="00872DC0" w:rsidRDefault="00400398">
      <w:pPr>
        <w:rPr>
          <w:noProof/>
        </w:rPr>
      </w:pPr>
      <w:r w:rsidRPr="00C82494">
        <w:rPr>
          <w:noProof/>
        </w:rPr>
        <w:t xml:space="preserve">Está disponível informação pormenorizada sobre este medicamento no sítio da internet da Agência Europeia de Medicamentos: </w:t>
      </w:r>
      <w:hyperlink r:id="rId44" w:history="1">
        <w:r w:rsidR="00872DC0" w:rsidRPr="009E01A6">
          <w:rPr>
            <w:rStyle w:val="Hyperlink"/>
            <w:noProof/>
          </w:rPr>
          <w:t>http://www.ema.europa.eu</w:t>
        </w:r>
      </w:hyperlink>
    </w:p>
    <w:p w14:paraId="54D276EF" w14:textId="77777777" w:rsidR="00400398" w:rsidRDefault="00400398">
      <w:pPr>
        <w:outlineLvl w:val="0"/>
      </w:pPr>
    </w:p>
    <w:p w14:paraId="29299075" w14:textId="77777777" w:rsidR="00216910" w:rsidRDefault="00216910">
      <w:pPr>
        <w:outlineLvl w:val="0"/>
      </w:pPr>
      <w:r w:rsidRPr="009E7BE5">
        <w:lastRenderedPageBreak/>
        <w:t>Este folheto está disponível em</w:t>
      </w:r>
      <w:r w:rsidRPr="0058485B">
        <w:t xml:space="preserve"> todas as línguas da UE/EEE n</w:t>
      </w:r>
      <w:r w:rsidRPr="00472DFE">
        <w:t>o sítio da internet da Agência Europeia de Medicamentos.</w:t>
      </w:r>
    </w:p>
    <w:p w14:paraId="3A97A5FB" w14:textId="77777777" w:rsidR="00267D69" w:rsidRDefault="00267D69" w:rsidP="00267D69">
      <w:pPr>
        <w:widowControl w:val="0"/>
        <w:autoSpaceDE w:val="0"/>
        <w:autoSpaceDN w:val="0"/>
        <w:adjustRightInd w:val="0"/>
        <w:spacing w:after="140" w:line="280" w:lineRule="atLeast"/>
        <w:ind w:left="127" w:right="120"/>
        <w:rPr>
          <w:rFonts w:cs="Verdana"/>
          <w:color w:val="000000"/>
        </w:rPr>
      </w:pPr>
    </w:p>
    <w:p w14:paraId="66C760FA" w14:textId="77777777" w:rsidR="00267D69" w:rsidRDefault="00267D69" w:rsidP="00267D69">
      <w:pPr>
        <w:outlineLvl w:val="0"/>
      </w:pPr>
    </w:p>
    <w:p w14:paraId="09E04C03" w14:textId="5AA8F2EE" w:rsidR="00267D69" w:rsidRPr="007232E4" w:rsidRDefault="00267D69">
      <w:pPr>
        <w:outlineLvl w:val="0"/>
      </w:pPr>
    </w:p>
    <w:sectPr w:rsidR="00267D69" w:rsidRPr="007232E4" w:rsidSect="0053094D">
      <w:footerReference w:type="default" r:id="rId45"/>
      <w:footerReference w:type="first" r:id="rId46"/>
      <w:endnotePr>
        <w:numFmt w:val="decimal"/>
      </w:endnotePr>
      <w:pgSz w:w="11907"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0C597" w14:textId="77777777" w:rsidR="00B64E43" w:rsidRDefault="00B64E43">
      <w:r>
        <w:separator/>
      </w:r>
    </w:p>
  </w:endnote>
  <w:endnote w:type="continuationSeparator" w:id="0">
    <w:p w14:paraId="6505CAEE" w14:textId="77777777" w:rsidR="00B64E43" w:rsidRDefault="00B64E43">
      <w:r>
        <w:continuationSeparator/>
      </w:r>
    </w:p>
  </w:endnote>
  <w:endnote w:type="continuationNotice" w:id="1">
    <w:p w14:paraId="7F878C6A" w14:textId="77777777" w:rsidR="00B64E43" w:rsidRDefault="00B64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86D5" w14:textId="77777777" w:rsidR="00B76559" w:rsidRDefault="00B76559">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53094D">
      <w:rPr>
        <w:rStyle w:val="PageNumber"/>
      </w:rPr>
      <w:t>81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43931" w14:textId="77777777" w:rsidR="00B76559" w:rsidRDefault="00B76559">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01048" w14:textId="77777777" w:rsidR="00B64E43" w:rsidRDefault="00B64E43">
      <w:r>
        <w:separator/>
      </w:r>
    </w:p>
  </w:footnote>
  <w:footnote w:type="continuationSeparator" w:id="0">
    <w:p w14:paraId="380AB555" w14:textId="77777777" w:rsidR="00B64E43" w:rsidRDefault="00B64E43">
      <w:r>
        <w:continuationSeparator/>
      </w:r>
    </w:p>
  </w:footnote>
  <w:footnote w:type="continuationNotice" w:id="1">
    <w:p w14:paraId="30489BF8" w14:textId="77777777" w:rsidR="00B64E43" w:rsidRDefault="00B64E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BT_1000x858px" style="width:15.65pt;height:14.4pt;visibility:visible;mso-wrap-style:square" o:bullet="t">
        <v:imagedata r:id="rId1" o:title="BT_1000x858px"/>
      </v:shape>
    </w:pict>
  </w:numPicBullet>
  <w:abstractNum w:abstractNumId="0" w15:restartNumberingAfterBreak="0">
    <w:nsid w:val="FFFFFF7C"/>
    <w:multiLevelType w:val="singleLevel"/>
    <w:tmpl w:val="8BB056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4F202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A2BC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EE8C9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A645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C2F1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1C9C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A84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78B8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3C3F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23790C"/>
    <w:multiLevelType w:val="hybridMultilevel"/>
    <w:tmpl w:val="AFBE8C6E"/>
    <w:lvl w:ilvl="0" w:tplc="0C2C6574">
      <w:numFmt w:val="bullet"/>
      <w:lvlText w:val=""/>
      <w:lvlJc w:val="left"/>
      <w:pPr>
        <w:ind w:left="930" w:hanging="57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D13B6"/>
    <w:multiLevelType w:val="hybridMultilevel"/>
    <w:tmpl w:val="3FEC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D58A0"/>
    <w:multiLevelType w:val="hybridMultilevel"/>
    <w:tmpl w:val="2214C95A"/>
    <w:lvl w:ilvl="0" w:tplc="55B8CDAE">
      <w:numFmt w:val="bullet"/>
      <w:lvlText w:val=""/>
      <w:lvlJc w:val="left"/>
      <w:pPr>
        <w:ind w:left="930" w:hanging="57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B74EC"/>
    <w:multiLevelType w:val="hybridMultilevel"/>
    <w:tmpl w:val="83E4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B3AA0"/>
    <w:multiLevelType w:val="hybridMultilevel"/>
    <w:tmpl w:val="8076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7315A"/>
    <w:multiLevelType w:val="hybridMultilevel"/>
    <w:tmpl w:val="898C5E5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8317A4"/>
    <w:multiLevelType w:val="hybridMultilevel"/>
    <w:tmpl w:val="4B9E8488"/>
    <w:lvl w:ilvl="0" w:tplc="F154C5A2">
      <w:start w:val="1"/>
      <w:numFmt w:val="bullet"/>
      <w:lvlText w:val=""/>
      <w:lvlPicBulletId w:val="0"/>
      <w:lvlJc w:val="left"/>
      <w:pPr>
        <w:tabs>
          <w:tab w:val="num" w:pos="720"/>
        </w:tabs>
        <w:ind w:left="720" w:hanging="360"/>
      </w:pPr>
      <w:rPr>
        <w:rFonts w:ascii="Symbol" w:hAnsi="Symbol" w:hint="default"/>
      </w:rPr>
    </w:lvl>
    <w:lvl w:ilvl="1" w:tplc="709A6610" w:tentative="1">
      <w:start w:val="1"/>
      <w:numFmt w:val="bullet"/>
      <w:lvlText w:val=""/>
      <w:lvlJc w:val="left"/>
      <w:pPr>
        <w:tabs>
          <w:tab w:val="num" w:pos="1440"/>
        </w:tabs>
        <w:ind w:left="1440" w:hanging="360"/>
      </w:pPr>
      <w:rPr>
        <w:rFonts w:ascii="Symbol" w:hAnsi="Symbol" w:hint="default"/>
      </w:rPr>
    </w:lvl>
    <w:lvl w:ilvl="2" w:tplc="D35868B6" w:tentative="1">
      <w:start w:val="1"/>
      <w:numFmt w:val="bullet"/>
      <w:lvlText w:val=""/>
      <w:lvlJc w:val="left"/>
      <w:pPr>
        <w:tabs>
          <w:tab w:val="num" w:pos="2160"/>
        </w:tabs>
        <w:ind w:left="2160" w:hanging="360"/>
      </w:pPr>
      <w:rPr>
        <w:rFonts w:ascii="Symbol" w:hAnsi="Symbol" w:hint="default"/>
      </w:rPr>
    </w:lvl>
    <w:lvl w:ilvl="3" w:tplc="8548A592" w:tentative="1">
      <w:start w:val="1"/>
      <w:numFmt w:val="bullet"/>
      <w:lvlText w:val=""/>
      <w:lvlJc w:val="left"/>
      <w:pPr>
        <w:tabs>
          <w:tab w:val="num" w:pos="2880"/>
        </w:tabs>
        <w:ind w:left="2880" w:hanging="360"/>
      </w:pPr>
      <w:rPr>
        <w:rFonts w:ascii="Symbol" w:hAnsi="Symbol" w:hint="default"/>
      </w:rPr>
    </w:lvl>
    <w:lvl w:ilvl="4" w:tplc="84F679A8" w:tentative="1">
      <w:start w:val="1"/>
      <w:numFmt w:val="bullet"/>
      <w:lvlText w:val=""/>
      <w:lvlJc w:val="left"/>
      <w:pPr>
        <w:tabs>
          <w:tab w:val="num" w:pos="3600"/>
        </w:tabs>
        <w:ind w:left="3600" w:hanging="360"/>
      </w:pPr>
      <w:rPr>
        <w:rFonts w:ascii="Symbol" w:hAnsi="Symbol" w:hint="default"/>
      </w:rPr>
    </w:lvl>
    <w:lvl w:ilvl="5" w:tplc="83A00958" w:tentative="1">
      <w:start w:val="1"/>
      <w:numFmt w:val="bullet"/>
      <w:lvlText w:val=""/>
      <w:lvlJc w:val="left"/>
      <w:pPr>
        <w:tabs>
          <w:tab w:val="num" w:pos="4320"/>
        </w:tabs>
        <w:ind w:left="4320" w:hanging="360"/>
      </w:pPr>
      <w:rPr>
        <w:rFonts w:ascii="Symbol" w:hAnsi="Symbol" w:hint="default"/>
      </w:rPr>
    </w:lvl>
    <w:lvl w:ilvl="6" w:tplc="F8825AE4" w:tentative="1">
      <w:start w:val="1"/>
      <w:numFmt w:val="bullet"/>
      <w:lvlText w:val=""/>
      <w:lvlJc w:val="left"/>
      <w:pPr>
        <w:tabs>
          <w:tab w:val="num" w:pos="5040"/>
        </w:tabs>
        <w:ind w:left="5040" w:hanging="360"/>
      </w:pPr>
      <w:rPr>
        <w:rFonts w:ascii="Symbol" w:hAnsi="Symbol" w:hint="default"/>
      </w:rPr>
    </w:lvl>
    <w:lvl w:ilvl="7" w:tplc="3B081886" w:tentative="1">
      <w:start w:val="1"/>
      <w:numFmt w:val="bullet"/>
      <w:lvlText w:val=""/>
      <w:lvlJc w:val="left"/>
      <w:pPr>
        <w:tabs>
          <w:tab w:val="num" w:pos="5760"/>
        </w:tabs>
        <w:ind w:left="5760" w:hanging="360"/>
      </w:pPr>
      <w:rPr>
        <w:rFonts w:ascii="Symbol" w:hAnsi="Symbol" w:hint="default"/>
      </w:rPr>
    </w:lvl>
    <w:lvl w:ilvl="8" w:tplc="32EC01C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DDA4F58"/>
    <w:multiLevelType w:val="hybridMultilevel"/>
    <w:tmpl w:val="5DF0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8B2718"/>
    <w:multiLevelType w:val="hybridMultilevel"/>
    <w:tmpl w:val="064AB57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C719CC"/>
    <w:multiLevelType w:val="hybridMultilevel"/>
    <w:tmpl w:val="4660611C"/>
    <w:lvl w:ilvl="0" w:tplc="D58AA25C">
      <w:numFmt w:val="bullet"/>
      <w:lvlText w:val=""/>
      <w:lvlJc w:val="left"/>
      <w:pPr>
        <w:ind w:left="930" w:hanging="57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8"/>
  </w:num>
  <w:num w:numId="17">
    <w:abstractNumId w:val="19"/>
  </w:num>
  <w:num w:numId="18">
    <w:abstractNumId w:val="15"/>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 w:name="Registered" w:val="-1"/>
    <w:docVar w:name="Version" w:val="0"/>
  </w:docVars>
  <w:rsids>
    <w:rsidRoot w:val="00456E76"/>
    <w:rsid w:val="00000BB6"/>
    <w:rsid w:val="000017E7"/>
    <w:rsid w:val="00002502"/>
    <w:rsid w:val="00002E35"/>
    <w:rsid w:val="000047CC"/>
    <w:rsid w:val="00005B6C"/>
    <w:rsid w:val="0001006D"/>
    <w:rsid w:val="000133CD"/>
    <w:rsid w:val="00014430"/>
    <w:rsid w:val="0001493D"/>
    <w:rsid w:val="00014A0A"/>
    <w:rsid w:val="00016D42"/>
    <w:rsid w:val="0002292A"/>
    <w:rsid w:val="00022939"/>
    <w:rsid w:val="00022DD7"/>
    <w:rsid w:val="000239FB"/>
    <w:rsid w:val="00024E72"/>
    <w:rsid w:val="000252E1"/>
    <w:rsid w:val="00026209"/>
    <w:rsid w:val="00026622"/>
    <w:rsid w:val="00027BF1"/>
    <w:rsid w:val="00032C35"/>
    <w:rsid w:val="00032D62"/>
    <w:rsid w:val="0003406B"/>
    <w:rsid w:val="000373D9"/>
    <w:rsid w:val="00037DC9"/>
    <w:rsid w:val="00041580"/>
    <w:rsid w:val="000416C1"/>
    <w:rsid w:val="0004375D"/>
    <w:rsid w:val="00043B6C"/>
    <w:rsid w:val="00045945"/>
    <w:rsid w:val="00053D14"/>
    <w:rsid w:val="00053FD3"/>
    <w:rsid w:val="0005444C"/>
    <w:rsid w:val="00055D69"/>
    <w:rsid w:val="0005650C"/>
    <w:rsid w:val="00056BE1"/>
    <w:rsid w:val="000603E8"/>
    <w:rsid w:val="00060CC1"/>
    <w:rsid w:val="000626BA"/>
    <w:rsid w:val="00064B6A"/>
    <w:rsid w:val="00066027"/>
    <w:rsid w:val="000667F6"/>
    <w:rsid w:val="00066BFF"/>
    <w:rsid w:val="0007039A"/>
    <w:rsid w:val="00070415"/>
    <w:rsid w:val="000722FB"/>
    <w:rsid w:val="000727C1"/>
    <w:rsid w:val="000730A4"/>
    <w:rsid w:val="00073E6A"/>
    <w:rsid w:val="00075178"/>
    <w:rsid w:val="00077FA6"/>
    <w:rsid w:val="0008029C"/>
    <w:rsid w:val="000824E0"/>
    <w:rsid w:val="00083C0E"/>
    <w:rsid w:val="00084FF9"/>
    <w:rsid w:val="000859BB"/>
    <w:rsid w:val="000864F3"/>
    <w:rsid w:val="00087046"/>
    <w:rsid w:val="00087936"/>
    <w:rsid w:val="00087CAC"/>
    <w:rsid w:val="00090542"/>
    <w:rsid w:val="000920D7"/>
    <w:rsid w:val="00092408"/>
    <w:rsid w:val="000935EF"/>
    <w:rsid w:val="000949CE"/>
    <w:rsid w:val="000956FF"/>
    <w:rsid w:val="00096A57"/>
    <w:rsid w:val="00096F93"/>
    <w:rsid w:val="00097288"/>
    <w:rsid w:val="000976F8"/>
    <w:rsid w:val="000A0027"/>
    <w:rsid w:val="000A0D33"/>
    <w:rsid w:val="000A1FB3"/>
    <w:rsid w:val="000A34BD"/>
    <w:rsid w:val="000A77FA"/>
    <w:rsid w:val="000B0513"/>
    <w:rsid w:val="000B1497"/>
    <w:rsid w:val="000B28D5"/>
    <w:rsid w:val="000B2C94"/>
    <w:rsid w:val="000B43F5"/>
    <w:rsid w:val="000B475D"/>
    <w:rsid w:val="000B47A8"/>
    <w:rsid w:val="000B50F1"/>
    <w:rsid w:val="000B682D"/>
    <w:rsid w:val="000B743F"/>
    <w:rsid w:val="000C334A"/>
    <w:rsid w:val="000C3BFB"/>
    <w:rsid w:val="000C455D"/>
    <w:rsid w:val="000C66A3"/>
    <w:rsid w:val="000C742E"/>
    <w:rsid w:val="000D0309"/>
    <w:rsid w:val="000D15EF"/>
    <w:rsid w:val="000D181B"/>
    <w:rsid w:val="000D1FB2"/>
    <w:rsid w:val="000D28C0"/>
    <w:rsid w:val="000D47A1"/>
    <w:rsid w:val="000D578D"/>
    <w:rsid w:val="000D6311"/>
    <w:rsid w:val="000D667B"/>
    <w:rsid w:val="000D7F32"/>
    <w:rsid w:val="000D7F81"/>
    <w:rsid w:val="000E02F8"/>
    <w:rsid w:val="000E1D77"/>
    <w:rsid w:val="000E25A9"/>
    <w:rsid w:val="000E29A8"/>
    <w:rsid w:val="000E3055"/>
    <w:rsid w:val="000E5531"/>
    <w:rsid w:val="000E56FB"/>
    <w:rsid w:val="000E634D"/>
    <w:rsid w:val="000E7494"/>
    <w:rsid w:val="000F18B8"/>
    <w:rsid w:val="000F5857"/>
    <w:rsid w:val="000F6755"/>
    <w:rsid w:val="000F76E9"/>
    <w:rsid w:val="001012A0"/>
    <w:rsid w:val="001012F4"/>
    <w:rsid w:val="00102055"/>
    <w:rsid w:val="0010384B"/>
    <w:rsid w:val="00103E8C"/>
    <w:rsid w:val="0010475C"/>
    <w:rsid w:val="00105B88"/>
    <w:rsid w:val="001062C5"/>
    <w:rsid w:val="001069FB"/>
    <w:rsid w:val="00107E04"/>
    <w:rsid w:val="00112A4E"/>
    <w:rsid w:val="001131B5"/>
    <w:rsid w:val="00113A49"/>
    <w:rsid w:val="00114690"/>
    <w:rsid w:val="001179BD"/>
    <w:rsid w:val="001210E3"/>
    <w:rsid w:val="00122A28"/>
    <w:rsid w:val="001259C1"/>
    <w:rsid w:val="001267E8"/>
    <w:rsid w:val="00127FDF"/>
    <w:rsid w:val="00131EAC"/>
    <w:rsid w:val="00131FD8"/>
    <w:rsid w:val="00132900"/>
    <w:rsid w:val="00133BD4"/>
    <w:rsid w:val="00134AB3"/>
    <w:rsid w:val="00134B8B"/>
    <w:rsid w:val="00134D4A"/>
    <w:rsid w:val="0013728A"/>
    <w:rsid w:val="00142EEA"/>
    <w:rsid w:val="00150230"/>
    <w:rsid w:val="001508D6"/>
    <w:rsid w:val="00154950"/>
    <w:rsid w:val="00157612"/>
    <w:rsid w:val="0015799B"/>
    <w:rsid w:val="00157D89"/>
    <w:rsid w:val="00157E6B"/>
    <w:rsid w:val="001622A0"/>
    <w:rsid w:val="00163E3B"/>
    <w:rsid w:val="001644B7"/>
    <w:rsid w:val="001653DE"/>
    <w:rsid w:val="0016576C"/>
    <w:rsid w:val="0016790F"/>
    <w:rsid w:val="00170075"/>
    <w:rsid w:val="00170505"/>
    <w:rsid w:val="00171A40"/>
    <w:rsid w:val="00174055"/>
    <w:rsid w:val="0017417B"/>
    <w:rsid w:val="0018136C"/>
    <w:rsid w:val="00184862"/>
    <w:rsid w:val="00185520"/>
    <w:rsid w:val="0018581A"/>
    <w:rsid w:val="00187ACD"/>
    <w:rsid w:val="00192A11"/>
    <w:rsid w:val="001947DD"/>
    <w:rsid w:val="00197BCD"/>
    <w:rsid w:val="001A06FE"/>
    <w:rsid w:val="001A16B2"/>
    <w:rsid w:val="001A4C42"/>
    <w:rsid w:val="001A4C97"/>
    <w:rsid w:val="001A4D97"/>
    <w:rsid w:val="001A58BE"/>
    <w:rsid w:val="001A5EBF"/>
    <w:rsid w:val="001A61BA"/>
    <w:rsid w:val="001A61E1"/>
    <w:rsid w:val="001A63F9"/>
    <w:rsid w:val="001B0A55"/>
    <w:rsid w:val="001B1DA8"/>
    <w:rsid w:val="001B322A"/>
    <w:rsid w:val="001B6ECB"/>
    <w:rsid w:val="001B78D8"/>
    <w:rsid w:val="001B7EDC"/>
    <w:rsid w:val="001C0FF8"/>
    <w:rsid w:val="001C1710"/>
    <w:rsid w:val="001C36E6"/>
    <w:rsid w:val="001C3882"/>
    <w:rsid w:val="001C420C"/>
    <w:rsid w:val="001C488E"/>
    <w:rsid w:val="001C66E8"/>
    <w:rsid w:val="001C7893"/>
    <w:rsid w:val="001C7ECB"/>
    <w:rsid w:val="001D1AC7"/>
    <w:rsid w:val="001D2618"/>
    <w:rsid w:val="001D2BD6"/>
    <w:rsid w:val="001D576C"/>
    <w:rsid w:val="001D616A"/>
    <w:rsid w:val="001D6750"/>
    <w:rsid w:val="001D6E31"/>
    <w:rsid w:val="001D6FF7"/>
    <w:rsid w:val="001D7713"/>
    <w:rsid w:val="001E05C2"/>
    <w:rsid w:val="001E5360"/>
    <w:rsid w:val="001F0E77"/>
    <w:rsid w:val="001F349A"/>
    <w:rsid w:val="001F3EE8"/>
    <w:rsid w:val="001F3F77"/>
    <w:rsid w:val="00202E0B"/>
    <w:rsid w:val="00205F7E"/>
    <w:rsid w:val="00207949"/>
    <w:rsid w:val="00210AD8"/>
    <w:rsid w:val="00212B39"/>
    <w:rsid w:val="002136AD"/>
    <w:rsid w:val="00215594"/>
    <w:rsid w:val="002166F9"/>
    <w:rsid w:val="00216910"/>
    <w:rsid w:val="00220638"/>
    <w:rsid w:val="002206F3"/>
    <w:rsid w:val="00223886"/>
    <w:rsid w:val="002247C9"/>
    <w:rsid w:val="002301FA"/>
    <w:rsid w:val="002322F4"/>
    <w:rsid w:val="0023393A"/>
    <w:rsid w:val="00233EB7"/>
    <w:rsid w:val="00236329"/>
    <w:rsid w:val="00240996"/>
    <w:rsid w:val="00240A7E"/>
    <w:rsid w:val="00243763"/>
    <w:rsid w:val="00244812"/>
    <w:rsid w:val="002448D3"/>
    <w:rsid w:val="00245514"/>
    <w:rsid w:val="0024738C"/>
    <w:rsid w:val="00247886"/>
    <w:rsid w:val="00250628"/>
    <w:rsid w:val="00250B59"/>
    <w:rsid w:val="002535A3"/>
    <w:rsid w:val="00253E4A"/>
    <w:rsid w:val="00254BAB"/>
    <w:rsid w:val="00254FC4"/>
    <w:rsid w:val="00255136"/>
    <w:rsid w:val="00255CFB"/>
    <w:rsid w:val="00260398"/>
    <w:rsid w:val="00264F46"/>
    <w:rsid w:val="00267220"/>
    <w:rsid w:val="00267D69"/>
    <w:rsid w:val="002707AB"/>
    <w:rsid w:val="00270AF0"/>
    <w:rsid w:val="00271663"/>
    <w:rsid w:val="0027235E"/>
    <w:rsid w:val="00274DB4"/>
    <w:rsid w:val="00275480"/>
    <w:rsid w:val="002759BA"/>
    <w:rsid w:val="002770D6"/>
    <w:rsid w:val="00277535"/>
    <w:rsid w:val="002779A0"/>
    <w:rsid w:val="00285742"/>
    <w:rsid w:val="002868D7"/>
    <w:rsid w:val="00286CE0"/>
    <w:rsid w:val="00287AD4"/>
    <w:rsid w:val="002925F3"/>
    <w:rsid w:val="00292ADE"/>
    <w:rsid w:val="00295F6C"/>
    <w:rsid w:val="002967BB"/>
    <w:rsid w:val="00296A0D"/>
    <w:rsid w:val="00296E60"/>
    <w:rsid w:val="002A160C"/>
    <w:rsid w:val="002A3643"/>
    <w:rsid w:val="002A3D87"/>
    <w:rsid w:val="002A3F95"/>
    <w:rsid w:val="002A5F16"/>
    <w:rsid w:val="002B139F"/>
    <w:rsid w:val="002B3A52"/>
    <w:rsid w:val="002B4833"/>
    <w:rsid w:val="002B4E89"/>
    <w:rsid w:val="002B56BE"/>
    <w:rsid w:val="002B7CBE"/>
    <w:rsid w:val="002C00EE"/>
    <w:rsid w:val="002C1D88"/>
    <w:rsid w:val="002C25CD"/>
    <w:rsid w:val="002C295F"/>
    <w:rsid w:val="002C60CF"/>
    <w:rsid w:val="002C6991"/>
    <w:rsid w:val="002C7271"/>
    <w:rsid w:val="002C7C57"/>
    <w:rsid w:val="002D0221"/>
    <w:rsid w:val="002D12ED"/>
    <w:rsid w:val="002D4B17"/>
    <w:rsid w:val="002D4DDC"/>
    <w:rsid w:val="002D54D5"/>
    <w:rsid w:val="002D7231"/>
    <w:rsid w:val="002E0C5A"/>
    <w:rsid w:val="002E2463"/>
    <w:rsid w:val="002E2B0A"/>
    <w:rsid w:val="002E444A"/>
    <w:rsid w:val="002E650A"/>
    <w:rsid w:val="002E6B14"/>
    <w:rsid w:val="002F1425"/>
    <w:rsid w:val="002F461C"/>
    <w:rsid w:val="002F4FCC"/>
    <w:rsid w:val="002F5094"/>
    <w:rsid w:val="002F775D"/>
    <w:rsid w:val="002F7881"/>
    <w:rsid w:val="002F789E"/>
    <w:rsid w:val="00300B15"/>
    <w:rsid w:val="003033A7"/>
    <w:rsid w:val="00303810"/>
    <w:rsid w:val="0030403E"/>
    <w:rsid w:val="003040DC"/>
    <w:rsid w:val="0030488B"/>
    <w:rsid w:val="003056A3"/>
    <w:rsid w:val="00310293"/>
    <w:rsid w:val="003102CE"/>
    <w:rsid w:val="003109A2"/>
    <w:rsid w:val="003117CF"/>
    <w:rsid w:val="00315827"/>
    <w:rsid w:val="00316B4F"/>
    <w:rsid w:val="00317C85"/>
    <w:rsid w:val="0032273B"/>
    <w:rsid w:val="0033231C"/>
    <w:rsid w:val="00333151"/>
    <w:rsid w:val="003367EA"/>
    <w:rsid w:val="00336EB5"/>
    <w:rsid w:val="00344C29"/>
    <w:rsid w:val="00346304"/>
    <w:rsid w:val="00347BB4"/>
    <w:rsid w:val="0035083F"/>
    <w:rsid w:val="0035145A"/>
    <w:rsid w:val="0035208A"/>
    <w:rsid w:val="0035221E"/>
    <w:rsid w:val="0035595D"/>
    <w:rsid w:val="00356DA9"/>
    <w:rsid w:val="0035751C"/>
    <w:rsid w:val="00357CC5"/>
    <w:rsid w:val="00357ED8"/>
    <w:rsid w:val="00360DBA"/>
    <w:rsid w:val="003613AD"/>
    <w:rsid w:val="003627FA"/>
    <w:rsid w:val="003631E1"/>
    <w:rsid w:val="0036673B"/>
    <w:rsid w:val="00366EA5"/>
    <w:rsid w:val="00367164"/>
    <w:rsid w:val="00367AEB"/>
    <w:rsid w:val="00370862"/>
    <w:rsid w:val="003712EF"/>
    <w:rsid w:val="00376D12"/>
    <w:rsid w:val="00377778"/>
    <w:rsid w:val="003778BB"/>
    <w:rsid w:val="00380346"/>
    <w:rsid w:val="00380CC1"/>
    <w:rsid w:val="0038429A"/>
    <w:rsid w:val="00384C7E"/>
    <w:rsid w:val="00387CBF"/>
    <w:rsid w:val="003924D5"/>
    <w:rsid w:val="00395274"/>
    <w:rsid w:val="0039760E"/>
    <w:rsid w:val="003A1B1A"/>
    <w:rsid w:val="003A3399"/>
    <w:rsid w:val="003A3450"/>
    <w:rsid w:val="003A4136"/>
    <w:rsid w:val="003A4296"/>
    <w:rsid w:val="003A43B3"/>
    <w:rsid w:val="003A4BA8"/>
    <w:rsid w:val="003A5972"/>
    <w:rsid w:val="003A6611"/>
    <w:rsid w:val="003A6FAA"/>
    <w:rsid w:val="003A73A1"/>
    <w:rsid w:val="003A7FA8"/>
    <w:rsid w:val="003B10EC"/>
    <w:rsid w:val="003B326C"/>
    <w:rsid w:val="003B40EF"/>
    <w:rsid w:val="003B603A"/>
    <w:rsid w:val="003B669F"/>
    <w:rsid w:val="003B7DD1"/>
    <w:rsid w:val="003C0618"/>
    <w:rsid w:val="003C264D"/>
    <w:rsid w:val="003C38B4"/>
    <w:rsid w:val="003C3CD9"/>
    <w:rsid w:val="003C6316"/>
    <w:rsid w:val="003C65CB"/>
    <w:rsid w:val="003C67CE"/>
    <w:rsid w:val="003D00A7"/>
    <w:rsid w:val="003D0408"/>
    <w:rsid w:val="003D0E8C"/>
    <w:rsid w:val="003D3513"/>
    <w:rsid w:val="003D46F8"/>
    <w:rsid w:val="003D4769"/>
    <w:rsid w:val="003D560F"/>
    <w:rsid w:val="003D6149"/>
    <w:rsid w:val="003D692C"/>
    <w:rsid w:val="003E0170"/>
    <w:rsid w:val="003E1526"/>
    <w:rsid w:val="003E297F"/>
    <w:rsid w:val="003E3026"/>
    <w:rsid w:val="003F00C7"/>
    <w:rsid w:val="003F06E8"/>
    <w:rsid w:val="003F0EBF"/>
    <w:rsid w:val="003F2503"/>
    <w:rsid w:val="003F2C40"/>
    <w:rsid w:val="003F361F"/>
    <w:rsid w:val="003F3D13"/>
    <w:rsid w:val="003F5F24"/>
    <w:rsid w:val="003F77F7"/>
    <w:rsid w:val="00400398"/>
    <w:rsid w:val="0040463A"/>
    <w:rsid w:val="00405C75"/>
    <w:rsid w:val="004060F9"/>
    <w:rsid w:val="0040621F"/>
    <w:rsid w:val="004067A0"/>
    <w:rsid w:val="00407FA7"/>
    <w:rsid w:val="00410876"/>
    <w:rsid w:val="00411507"/>
    <w:rsid w:val="00411C71"/>
    <w:rsid w:val="00412087"/>
    <w:rsid w:val="0042289F"/>
    <w:rsid w:val="004229F0"/>
    <w:rsid w:val="00425D72"/>
    <w:rsid w:val="004278E6"/>
    <w:rsid w:val="004305E2"/>
    <w:rsid w:val="00430888"/>
    <w:rsid w:val="004353F4"/>
    <w:rsid w:val="00435CBC"/>
    <w:rsid w:val="004403DB"/>
    <w:rsid w:val="004411BC"/>
    <w:rsid w:val="004426B2"/>
    <w:rsid w:val="00442951"/>
    <w:rsid w:val="00442C6C"/>
    <w:rsid w:val="00446CFF"/>
    <w:rsid w:val="00447C8D"/>
    <w:rsid w:val="00451730"/>
    <w:rsid w:val="004528F1"/>
    <w:rsid w:val="00452D98"/>
    <w:rsid w:val="00455C83"/>
    <w:rsid w:val="00456E76"/>
    <w:rsid w:val="00460B4F"/>
    <w:rsid w:val="004619D2"/>
    <w:rsid w:val="00463806"/>
    <w:rsid w:val="004648CF"/>
    <w:rsid w:val="00466A99"/>
    <w:rsid w:val="004675AA"/>
    <w:rsid w:val="004720B2"/>
    <w:rsid w:val="00472DFE"/>
    <w:rsid w:val="00477BBE"/>
    <w:rsid w:val="00477C8A"/>
    <w:rsid w:val="00480628"/>
    <w:rsid w:val="00481C46"/>
    <w:rsid w:val="0048261B"/>
    <w:rsid w:val="004845A2"/>
    <w:rsid w:val="00487CD4"/>
    <w:rsid w:val="00487D6F"/>
    <w:rsid w:val="004962E1"/>
    <w:rsid w:val="00496A85"/>
    <w:rsid w:val="004975B9"/>
    <w:rsid w:val="004A12FA"/>
    <w:rsid w:val="004A1544"/>
    <w:rsid w:val="004A1C26"/>
    <w:rsid w:val="004A2AEE"/>
    <w:rsid w:val="004A2C43"/>
    <w:rsid w:val="004A5C89"/>
    <w:rsid w:val="004A66E1"/>
    <w:rsid w:val="004B072E"/>
    <w:rsid w:val="004B5567"/>
    <w:rsid w:val="004B564E"/>
    <w:rsid w:val="004B6535"/>
    <w:rsid w:val="004B7E17"/>
    <w:rsid w:val="004C082B"/>
    <w:rsid w:val="004C0BDE"/>
    <w:rsid w:val="004C339C"/>
    <w:rsid w:val="004C52F9"/>
    <w:rsid w:val="004C6019"/>
    <w:rsid w:val="004D0E83"/>
    <w:rsid w:val="004D2086"/>
    <w:rsid w:val="004D2539"/>
    <w:rsid w:val="004D491C"/>
    <w:rsid w:val="004D6674"/>
    <w:rsid w:val="004D6F91"/>
    <w:rsid w:val="004E0120"/>
    <w:rsid w:val="004E1427"/>
    <w:rsid w:val="004E291D"/>
    <w:rsid w:val="004E4503"/>
    <w:rsid w:val="004E526A"/>
    <w:rsid w:val="004E727C"/>
    <w:rsid w:val="004F0BDB"/>
    <w:rsid w:val="004F155C"/>
    <w:rsid w:val="004F2578"/>
    <w:rsid w:val="004F423C"/>
    <w:rsid w:val="004F48CB"/>
    <w:rsid w:val="004F7FC2"/>
    <w:rsid w:val="00502AA2"/>
    <w:rsid w:val="00506162"/>
    <w:rsid w:val="00507C92"/>
    <w:rsid w:val="005108DC"/>
    <w:rsid w:val="0051151C"/>
    <w:rsid w:val="005123C6"/>
    <w:rsid w:val="005124FA"/>
    <w:rsid w:val="00512BAA"/>
    <w:rsid w:val="00514928"/>
    <w:rsid w:val="00514F43"/>
    <w:rsid w:val="00515346"/>
    <w:rsid w:val="00515764"/>
    <w:rsid w:val="0051588C"/>
    <w:rsid w:val="005176B7"/>
    <w:rsid w:val="00522A45"/>
    <w:rsid w:val="0052320E"/>
    <w:rsid w:val="005237E6"/>
    <w:rsid w:val="0052529F"/>
    <w:rsid w:val="00526E0A"/>
    <w:rsid w:val="0053094D"/>
    <w:rsid w:val="00530EB5"/>
    <w:rsid w:val="005328A5"/>
    <w:rsid w:val="005336EE"/>
    <w:rsid w:val="00533D07"/>
    <w:rsid w:val="005341EC"/>
    <w:rsid w:val="005345A1"/>
    <w:rsid w:val="005346B4"/>
    <w:rsid w:val="005350F6"/>
    <w:rsid w:val="0053569F"/>
    <w:rsid w:val="00536556"/>
    <w:rsid w:val="00536887"/>
    <w:rsid w:val="00540EAF"/>
    <w:rsid w:val="00541CA8"/>
    <w:rsid w:val="005442E6"/>
    <w:rsid w:val="00544B7A"/>
    <w:rsid w:val="00546D37"/>
    <w:rsid w:val="00547C7A"/>
    <w:rsid w:val="00554019"/>
    <w:rsid w:val="00555C36"/>
    <w:rsid w:val="00557158"/>
    <w:rsid w:val="00557659"/>
    <w:rsid w:val="005617CB"/>
    <w:rsid w:val="005624D6"/>
    <w:rsid w:val="00564C08"/>
    <w:rsid w:val="0056688F"/>
    <w:rsid w:val="00567343"/>
    <w:rsid w:val="00567698"/>
    <w:rsid w:val="00567C28"/>
    <w:rsid w:val="0057077A"/>
    <w:rsid w:val="005709B7"/>
    <w:rsid w:val="00571F6E"/>
    <w:rsid w:val="00572936"/>
    <w:rsid w:val="00574474"/>
    <w:rsid w:val="00575B98"/>
    <w:rsid w:val="00576529"/>
    <w:rsid w:val="00576899"/>
    <w:rsid w:val="005769C3"/>
    <w:rsid w:val="0058137C"/>
    <w:rsid w:val="005816D3"/>
    <w:rsid w:val="005817E3"/>
    <w:rsid w:val="00581A1A"/>
    <w:rsid w:val="00581E79"/>
    <w:rsid w:val="00582580"/>
    <w:rsid w:val="00583284"/>
    <w:rsid w:val="0058485B"/>
    <w:rsid w:val="00586957"/>
    <w:rsid w:val="0058748E"/>
    <w:rsid w:val="00587763"/>
    <w:rsid w:val="0059032D"/>
    <w:rsid w:val="00590ED2"/>
    <w:rsid w:val="005911E6"/>
    <w:rsid w:val="005946B4"/>
    <w:rsid w:val="0059729D"/>
    <w:rsid w:val="005A1F7D"/>
    <w:rsid w:val="005A246D"/>
    <w:rsid w:val="005A30CC"/>
    <w:rsid w:val="005A3C4E"/>
    <w:rsid w:val="005A52EB"/>
    <w:rsid w:val="005A7F93"/>
    <w:rsid w:val="005B1146"/>
    <w:rsid w:val="005B34B3"/>
    <w:rsid w:val="005B3F08"/>
    <w:rsid w:val="005B5FD6"/>
    <w:rsid w:val="005C0776"/>
    <w:rsid w:val="005C2FC3"/>
    <w:rsid w:val="005C5058"/>
    <w:rsid w:val="005C5702"/>
    <w:rsid w:val="005C7768"/>
    <w:rsid w:val="005C7F2F"/>
    <w:rsid w:val="005D25D9"/>
    <w:rsid w:val="005D469C"/>
    <w:rsid w:val="005D5A55"/>
    <w:rsid w:val="005E5EAA"/>
    <w:rsid w:val="005E63A9"/>
    <w:rsid w:val="005E7608"/>
    <w:rsid w:val="005F139F"/>
    <w:rsid w:val="005F25A8"/>
    <w:rsid w:val="005F4061"/>
    <w:rsid w:val="005F50E7"/>
    <w:rsid w:val="005F5ED9"/>
    <w:rsid w:val="005F75B2"/>
    <w:rsid w:val="005F7AD5"/>
    <w:rsid w:val="006004A7"/>
    <w:rsid w:val="00600AFF"/>
    <w:rsid w:val="00600EDF"/>
    <w:rsid w:val="0060221E"/>
    <w:rsid w:val="006028C6"/>
    <w:rsid w:val="00605459"/>
    <w:rsid w:val="00610E65"/>
    <w:rsid w:val="00612985"/>
    <w:rsid w:val="00612DF5"/>
    <w:rsid w:val="0061410F"/>
    <w:rsid w:val="0061463A"/>
    <w:rsid w:val="0061583C"/>
    <w:rsid w:val="00615C29"/>
    <w:rsid w:val="00615E24"/>
    <w:rsid w:val="00622536"/>
    <w:rsid w:val="00622AC7"/>
    <w:rsid w:val="006233C8"/>
    <w:rsid w:val="00623C6A"/>
    <w:rsid w:val="00623EFF"/>
    <w:rsid w:val="0063026F"/>
    <w:rsid w:val="00630861"/>
    <w:rsid w:val="00630923"/>
    <w:rsid w:val="00630FB8"/>
    <w:rsid w:val="006336E0"/>
    <w:rsid w:val="00633986"/>
    <w:rsid w:val="0063616C"/>
    <w:rsid w:val="00641591"/>
    <w:rsid w:val="006450CF"/>
    <w:rsid w:val="00646E66"/>
    <w:rsid w:val="00650EE0"/>
    <w:rsid w:val="00651D5A"/>
    <w:rsid w:val="00652DA5"/>
    <w:rsid w:val="00654553"/>
    <w:rsid w:val="00654891"/>
    <w:rsid w:val="006557B0"/>
    <w:rsid w:val="006560D8"/>
    <w:rsid w:val="00665D08"/>
    <w:rsid w:val="006707E9"/>
    <w:rsid w:val="0067258F"/>
    <w:rsid w:val="00673AED"/>
    <w:rsid w:val="00675D37"/>
    <w:rsid w:val="00675E28"/>
    <w:rsid w:val="00677D11"/>
    <w:rsid w:val="00681759"/>
    <w:rsid w:val="00685084"/>
    <w:rsid w:val="00685C84"/>
    <w:rsid w:val="00690371"/>
    <w:rsid w:val="006904D3"/>
    <w:rsid w:val="00692334"/>
    <w:rsid w:val="006928A2"/>
    <w:rsid w:val="00692F5B"/>
    <w:rsid w:val="006932C8"/>
    <w:rsid w:val="006937F8"/>
    <w:rsid w:val="00695507"/>
    <w:rsid w:val="006A0358"/>
    <w:rsid w:val="006A1F57"/>
    <w:rsid w:val="006A2115"/>
    <w:rsid w:val="006A2124"/>
    <w:rsid w:val="006A358C"/>
    <w:rsid w:val="006A39DE"/>
    <w:rsid w:val="006A46E8"/>
    <w:rsid w:val="006A62AF"/>
    <w:rsid w:val="006A7215"/>
    <w:rsid w:val="006A7E1D"/>
    <w:rsid w:val="006B4D8E"/>
    <w:rsid w:val="006B554B"/>
    <w:rsid w:val="006B61BB"/>
    <w:rsid w:val="006B73CE"/>
    <w:rsid w:val="006B7662"/>
    <w:rsid w:val="006C5E8B"/>
    <w:rsid w:val="006C6CAA"/>
    <w:rsid w:val="006C78FB"/>
    <w:rsid w:val="006C7C03"/>
    <w:rsid w:val="006D194C"/>
    <w:rsid w:val="006D3578"/>
    <w:rsid w:val="006E0F34"/>
    <w:rsid w:val="006E15B8"/>
    <w:rsid w:val="006E1AB2"/>
    <w:rsid w:val="006E39A1"/>
    <w:rsid w:val="006E4575"/>
    <w:rsid w:val="006E5FD8"/>
    <w:rsid w:val="006E61A6"/>
    <w:rsid w:val="006F1AD1"/>
    <w:rsid w:val="006F35E0"/>
    <w:rsid w:val="006F38E9"/>
    <w:rsid w:val="006F40DD"/>
    <w:rsid w:val="006F70EE"/>
    <w:rsid w:val="006F71A6"/>
    <w:rsid w:val="006F7293"/>
    <w:rsid w:val="007013B7"/>
    <w:rsid w:val="00701AD7"/>
    <w:rsid w:val="00701BA9"/>
    <w:rsid w:val="00701F1C"/>
    <w:rsid w:val="007029EC"/>
    <w:rsid w:val="00702B2F"/>
    <w:rsid w:val="00705053"/>
    <w:rsid w:val="00705BB3"/>
    <w:rsid w:val="00710942"/>
    <w:rsid w:val="007109F4"/>
    <w:rsid w:val="00711068"/>
    <w:rsid w:val="007126F1"/>
    <w:rsid w:val="00712983"/>
    <w:rsid w:val="00712E12"/>
    <w:rsid w:val="007149D4"/>
    <w:rsid w:val="00714C32"/>
    <w:rsid w:val="0071611C"/>
    <w:rsid w:val="0071625B"/>
    <w:rsid w:val="00716575"/>
    <w:rsid w:val="00716E41"/>
    <w:rsid w:val="00717AD7"/>
    <w:rsid w:val="00717FB4"/>
    <w:rsid w:val="00721657"/>
    <w:rsid w:val="00721B6B"/>
    <w:rsid w:val="00722358"/>
    <w:rsid w:val="007232E4"/>
    <w:rsid w:val="00723B10"/>
    <w:rsid w:val="00726A84"/>
    <w:rsid w:val="00726B37"/>
    <w:rsid w:val="00730542"/>
    <w:rsid w:val="00730676"/>
    <w:rsid w:val="0073199F"/>
    <w:rsid w:val="00732625"/>
    <w:rsid w:val="007344AE"/>
    <w:rsid w:val="007408E7"/>
    <w:rsid w:val="007415B3"/>
    <w:rsid w:val="00742CCC"/>
    <w:rsid w:val="0074371B"/>
    <w:rsid w:val="00743806"/>
    <w:rsid w:val="00743CD7"/>
    <w:rsid w:val="007441A1"/>
    <w:rsid w:val="00744291"/>
    <w:rsid w:val="0074453C"/>
    <w:rsid w:val="00744694"/>
    <w:rsid w:val="007447F4"/>
    <w:rsid w:val="00744A3E"/>
    <w:rsid w:val="0074506D"/>
    <w:rsid w:val="00745443"/>
    <w:rsid w:val="00746812"/>
    <w:rsid w:val="00746BE0"/>
    <w:rsid w:val="00750C99"/>
    <w:rsid w:val="00751462"/>
    <w:rsid w:val="00751588"/>
    <w:rsid w:val="007534AB"/>
    <w:rsid w:val="00755194"/>
    <w:rsid w:val="007567C4"/>
    <w:rsid w:val="007577CB"/>
    <w:rsid w:val="007579E0"/>
    <w:rsid w:val="00757AC1"/>
    <w:rsid w:val="0076012F"/>
    <w:rsid w:val="00760789"/>
    <w:rsid w:val="00761069"/>
    <w:rsid w:val="007614DC"/>
    <w:rsid w:val="00763B1F"/>
    <w:rsid w:val="00765F0B"/>
    <w:rsid w:val="007662AF"/>
    <w:rsid w:val="007662B6"/>
    <w:rsid w:val="00770130"/>
    <w:rsid w:val="0077020D"/>
    <w:rsid w:val="0077101D"/>
    <w:rsid w:val="007733ED"/>
    <w:rsid w:val="00774497"/>
    <w:rsid w:val="007746AF"/>
    <w:rsid w:val="00777BE7"/>
    <w:rsid w:val="00777DB9"/>
    <w:rsid w:val="00782512"/>
    <w:rsid w:val="00782CA9"/>
    <w:rsid w:val="00784007"/>
    <w:rsid w:val="00786C8E"/>
    <w:rsid w:val="00786EAB"/>
    <w:rsid w:val="00787F4A"/>
    <w:rsid w:val="007922CC"/>
    <w:rsid w:val="0079249E"/>
    <w:rsid w:val="007926C8"/>
    <w:rsid w:val="0079281E"/>
    <w:rsid w:val="007952BA"/>
    <w:rsid w:val="00797D97"/>
    <w:rsid w:val="007A0581"/>
    <w:rsid w:val="007A2B1F"/>
    <w:rsid w:val="007A5D48"/>
    <w:rsid w:val="007A6891"/>
    <w:rsid w:val="007B04B8"/>
    <w:rsid w:val="007B37CC"/>
    <w:rsid w:val="007B383A"/>
    <w:rsid w:val="007B4A1B"/>
    <w:rsid w:val="007B565D"/>
    <w:rsid w:val="007B5884"/>
    <w:rsid w:val="007B67CE"/>
    <w:rsid w:val="007B7616"/>
    <w:rsid w:val="007C2305"/>
    <w:rsid w:val="007C2638"/>
    <w:rsid w:val="007C6337"/>
    <w:rsid w:val="007C735C"/>
    <w:rsid w:val="007D06D5"/>
    <w:rsid w:val="007D1017"/>
    <w:rsid w:val="007D302E"/>
    <w:rsid w:val="007D3E07"/>
    <w:rsid w:val="007D51F9"/>
    <w:rsid w:val="007D5A1E"/>
    <w:rsid w:val="007E0727"/>
    <w:rsid w:val="007E1FA7"/>
    <w:rsid w:val="007E34F0"/>
    <w:rsid w:val="007E4A0C"/>
    <w:rsid w:val="007E4BAC"/>
    <w:rsid w:val="007E63BB"/>
    <w:rsid w:val="007F14EA"/>
    <w:rsid w:val="007F185E"/>
    <w:rsid w:val="007F29CA"/>
    <w:rsid w:val="007F2A00"/>
    <w:rsid w:val="007F3B87"/>
    <w:rsid w:val="007F4655"/>
    <w:rsid w:val="007F4ED9"/>
    <w:rsid w:val="007F6EAF"/>
    <w:rsid w:val="007F6FB3"/>
    <w:rsid w:val="007F7FED"/>
    <w:rsid w:val="0080059C"/>
    <w:rsid w:val="0080100E"/>
    <w:rsid w:val="008017DD"/>
    <w:rsid w:val="008018D2"/>
    <w:rsid w:val="00801B26"/>
    <w:rsid w:val="00802AD0"/>
    <w:rsid w:val="008034E7"/>
    <w:rsid w:val="00803526"/>
    <w:rsid w:val="00804B28"/>
    <w:rsid w:val="008051AE"/>
    <w:rsid w:val="00806A2A"/>
    <w:rsid w:val="00811239"/>
    <w:rsid w:val="008122AA"/>
    <w:rsid w:val="00812456"/>
    <w:rsid w:val="00812A50"/>
    <w:rsid w:val="00813978"/>
    <w:rsid w:val="00813E28"/>
    <w:rsid w:val="008146FD"/>
    <w:rsid w:val="008157C1"/>
    <w:rsid w:val="00815CA6"/>
    <w:rsid w:val="00816695"/>
    <w:rsid w:val="0081678E"/>
    <w:rsid w:val="00821018"/>
    <w:rsid w:val="008226DD"/>
    <w:rsid w:val="00824C6B"/>
    <w:rsid w:val="00825BA0"/>
    <w:rsid w:val="00827FD8"/>
    <w:rsid w:val="00831B4C"/>
    <w:rsid w:val="0083513E"/>
    <w:rsid w:val="00835CCD"/>
    <w:rsid w:val="0083751C"/>
    <w:rsid w:val="0084050F"/>
    <w:rsid w:val="00840DD4"/>
    <w:rsid w:val="008416C2"/>
    <w:rsid w:val="00843076"/>
    <w:rsid w:val="008435D9"/>
    <w:rsid w:val="00845CC3"/>
    <w:rsid w:val="00845F46"/>
    <w:rsid w:val="008460E6"/>
    <w:rsid w:val="008477CB"/>
    <w:rsid w:val="00850AF0"/>
    <w:rsid w:val="00852C3B"/>
    <w:rsid w:val="008531A0"/>
    <w:rsid w:val="008541EB"/>
    <w:rsid w:val="00856363"/>
    <w:rsid w:val="00856922"/>
    <w:rsid w:val="00856C97"/>
    <w:rsid w:val="00861144"/>
    <w:rsid w:val="00861EFB"/>
    <w:rsid w:val="00865C28"/>
    <w:rsid w:val="00872DC0"/>
    <w:rsid w:val="0087354B"/>
    <w:rsid w:val="00875438"/>
    <w:rsid w:val="00876644"/>
    <w:rsid w:val="00880E7B"/>
    <w:rsid w:val="00885073"/>
    <w:rsid w:val="008865AF"/>
    <w:rsid w:val="00886D58"/>
    <w:rsid w:val="00887E12"/>
    <w:rsid w:val="008938BC"/>
    <w:rsid w:val="00893DDD"/>
    <w:rsid w:val="00893ED0"/>
    <w:rsid w:val="00894746"/>
    <w:rsid w:val="008950FF"/>
    <w:rsid w:val="00895DD9"/>
    <w:rsid w:val="00896AE3"/>
    <w:rsid w:val="008976C3"/>
    <w:rsid w:val="008978E8"/>
    <w:rsid w:val="00897B6E"/>
    <w:rsid w:val="008A0894"/>
    <w:rsid w:val="008A2AC1"/>
    <w:rsid w:val="008A2B13"/>
    <w:rsid w:val="008A467F"/>
    <w:rsid w:val="008A76B8"/>
    <w:rsid w:val="008B03F5"/>
    <w:rsid w:val="008B3CC3"/>
    <w:rsid w:val="008B4543"/>
    <w:rsid w:val="008B5DE2"/>
    <w:rsid w:val="008B7341"/>
    <w:rsid w:val="008B76A7"/>
    <w:rsid w:val="008C26D2"/>
    <w:rsid w:val="008C2AB3"/>
    <w:rsid w:val="008C3EBA"/>
    <w:rsid w:val="008C4809"/>
    <w:rsid w:val="008C4E5D"/>
    <w:rsid w:val="008D1471"/>
    <w:rsid w:val="008D1EB3"/>
    <w:rsid w:val="008D1FD6"/>
    <w:rsid w:val="008D2229"/>
    <w:rsid w:val="008D4766"/>
    <w:rsid w:val="008D4FA6"/>
    <w:rsid w:val="008D57CE"/>
    <w:rsid w:val="008D6237"/>
    <w:rsid w:val="008E2960"/>
    <w:rsid w:val="008E2D83"/>
    <w:rsid w:val="008E39C7"/>
    <w:rsid w:val="008E3A13"/>
    <w:rsid w:val="008E5A3A"/>
    <w:rsid w:val="008F05EE"/>
    <w:rsid w:val="008F0795"/>
    <w:rsid w:val="008F16FC"/>
    <w:rsid w:val="008F2C25"/>
    <w:rsid w:val="008F39E3"/>
    <w:rsid w:val="008F413F"/>
    <w:rsid w:val="008F6174"/>
    <w:rsid w:val="008F7E5E"/>
    <w:rsid w:val="00903E3F"/>
    <w:rsid w:val="00903FD5"/>
    <w:rsid w:val="00904D10"/>
    <w:rsid w:val="00906E07"/>
    <w:rsid w:val="00913779"/>
    <w:rsid w:val="009161F6"/>
    <w:rsid w:val="009166B7"/>
    <w:rsid w:val="00922A31"/>
    <w:rsid w:val="009248C5"/>
    <w:rsid w:val="00924AED"/>
    <w:rsid w:val="00925124"/>
    <w:rsid w:val="009268BE"/>
    <w:rsid w:val="00927244"/>
    <w:rsid w:val="0093005F"/>
    <w:rsid w:val="009324C6"/>
    <w:rsid w:val="009330DB"/>
    <w:rsid w:val="00934A27"/>
    <w:rsid w:val="0093590A"/>
    <w:rsid w:val="00936AF1"/>
    <w:rsid w:val="0094271B"/>
    <w:rsid w:val="0094420F"/>
    <w:rsid w:val="00947564"/>
    <w:rsid w:val="00951D45"/>
    <w:rsid w:val="009532AD"/>
    <w:rsid w:val="009553DA"/>
    <w:rsid w:val="009556B7"/>
    <w:rsid w:val="00957742"/>
    <w:rsid w:val="00962580"/>
    <w:rsid w:val="00962631"/>
    <w:rsid w:val="009632FC"/>
    <w:rsid w:val="00965BC6"/>
    <w:rsid w:val="00965E1A"/>
    <w:rsid w:val="009663B4"/>
    <w:rsid w:val="00966D42"/>
    <w:rsid w:val="00970CEB"/>
    <w:rsid w:val="00971A85"/>
    <w:rsid w:val="00971F05"/>
    <w:rsid w:val="00971F4D"/>
    <w:rsid w:val="0097225B"/>
    <w:rsid w:val="009728E9"/>
    <w:rsid w:val="00972921"/>
    <w:rsid w:val="0097696E"/>
    <w:rsid w:val="00977792"/>
    <w:rsid w:val="00980123"/>
    <w:rsid w:val="0098074D"/>
    <w:rsid w:val="00981717"/>
    <w:rsid w:val="00981C8E"/>
    <w:rsid w:val="00983911"/>
    <w:rsid w:val="009847BD"/>
    <w:rsid w:val="0098519D"/>
    <w:rsid w:val="009856F3"/>
    <w:rsid w:val="00985933"/>
    <w:rsid w:val="009860F0"/>
    <w:rsid w:val="009866FA"/>
    <w:rsid w:val="009866FE"/>
    <w:rsid w:val="0098705E"/>
    <w:rsid w:val="00987330"/>
    <w:rsid w:val="00990E9A"/>
    <w:rsid w:val="009917C7"/>
    <w:rsid w:val="00991F73"/>
    <w:rsid w:val="00993884"/>
    <w:rsid w:val="0099388C"/>
    <w:rsid w:val="00996CDB"/>
    <w:rsid w:val="009A07FF"/>
    <w:rsid w:val="009A1886"/>
    <w:rsid w:val="009A236A"/>
    <w:rsid w:val="009A2488"/>
    <w:rsid w:val="009A338D"/>
    <w:rsid w:val="009A49AC"/>
    <w:rsid w:val="009A519B"/>
    <w:rsid w:val="009A59AD"/>
    <w:rsid w:val="009A5B33"/>
    <w:rsid w:val="009A6D83"/>
    <w:rsid w:val="009A7820"/>
    <w:rsid w:val="009A7EFA"/>
    <w:rsid w:val="009B11D3"/>
    <w:rsid w:val="009B540A"/>
    <w:rsid w:val="009B66CB"/>
    <w:rsid w:val="009B6B58"/>
    <w:rsid w:val="009B7213"/>
    <w:rsid w:val="009B7994"/>
    <w:rsid w:val="009C5583"/>
    <w:rsid w:val="009C5F90"/>
    <w:rsid w:val="009C6396"/>
    <w:rsid w:val="009C63A7"/>
    <w:rsid w:val="009C779C"/>
    <w:rsid w:val="009C7B71"/>
    <w:rsid w:val="009D07C2"/>
    <w:rsid w:val="009D13B0"/>
    <w:rsid w:val="009D1771"/>
    <w:rsid w:val="009D2E40"/>
    <w:rsid w:val="009D6176"/>
    <w:rsid w:val="009D62DA"/>
    <w:rsid w:val="009D6737"/>
    <w:rsid w:val="009D783B"/>
    <w:rsid w:val="009E65F2"/>
    <w:rsid w:val="009E6771"/>
    <w:rsid w:val="009E6921"/>
    <w:rsid w:val="009E7BE5"/>
    <w:rsid w:val="009F0138"/>
    <w:rsid w:val="009F113D"/>
    <w:rsid w:val="009F1436"/>
    <w:rsid w:val="009F196F"/>
    <w:rsid w:val="009F2602"/>
    <w:rsid w:val="009F6BAD"/>
    <w:rsid w:val="00A045BA"/>
    <w:rsid w:val="00A04D85"/>
    <w:rsid w:val="00A0525E"/>
    <w:rsid w:val="00A07C3B"/>
    <w:rsid w:val="00A117AE"/>
    <w:rsid w:val="00A122C7"/>
    <w:rsid w:val="00A12A61"/>
    <w:rsid w:val="00A14DAD"/>
    <w:rsid w:val="00A1731C"/>
    <w:rsid w:val="00A176C3"/>
    <w:rsid w:val="00A2011F"/>
    <w:rsid w:val="00A20651"/>
    <w:rsid w:val="00A21D17"/>
    <w:rsid w:val="00A21D46"/>
    <w:rsid w:val="00A22238"/>
    <w:rsid w:val="00A2273E"/>
    <w:rsid w:val="00A22855"/>
    <w:rsid w:val="00A22A1A"/>
    <w:rsid w:val="00A22A99"/>
    <w:rsid w:val="00A23719"/>
    <w:rsid w:val="00A25482"/>
    <w:rsid w:val="00A25C38"/>
    <w:rsid w:val="00A3033F"/>
    <w:rsid w:val="00A3037E"/>
    <w:rsid w:val="00A30B86"/>
    <w:rsid w:val="00A30DA5"/>
    <w:rsid w:val="00A31057"/>
    <w:rsid w:val="00A33084"/>
    <w:rsid w:val="00A337F6"/>
    <w:rsid w:val="00A34357"/>
    <w:rsid w:val="00A35186"/>
    <w:rsid w:val="00A36557"/>
    <w:rsid w:val="00A3715C"/>
    <w:rsid w:val="00A40956"/>
    <w:rsid w:val="00A41354"/>
    <w:rsid w:val="00A43BBD"/>
    <w:rsid w:val="00A45F53"/>
    <w:rsid w:val="00A461DB"/>
    <w:rsid w:val="00A4668F"/>
    <w:rsid w:val="00A47D40"/>
    <w:rsid w:val="00A47E11"/>
    <w:rsid w:val="00A55213"/>
    <w:rsid w:val="00A559BD"/>
    <w:rsid w:val="00A55B8C"/>
    <w:rsid w:val="00A55F3E"/>
    <w:rsid w:val="00A56411"/>
    <w:rsid w:val="00A579A8"/>
    <w:rsid w:val="00A57AAB"/>
    <w:rsid w:val="00A60B6E"/>
    <w:rsid w:val="00A61D3E"/>
    <w:rsid w:val="00A6267F"/>
    <w:rsid w:val="00A63CE3"/>
    <w:rsid w:val="00A64E0A"/>
    <w:rsid w:val="00A652B8"/>
    <w:rsid w:val="00A65619"/>
    <w:rsid w:val="00A65F59"/>
    <w:rsid w:val="00A67B46"/>
    <w:rsid w:val="00A7086D"/>
    <w:rsid w:val="00A70C54"/>
    <w:rsid w:val="00A73A88"/>
    <w:rsid w:val="00A74560"/>
    <w:rsid w:val="00A76007"/>
    <w:rsid w:val="00A770CB"/>
    <w:rsid w:val="00A805EF"/>
    <w:rsid w:val="00A80EA5"/>
    <w:rsid w:val="00A8167E"/>
    <w:rsid w:val="00A8405C"/>
    <w:rsid w:val="00A86646"/>
    <w:rsid w:val="00A87CA3"/>
    <w:rsid w:val="00A90124"/>
    <w:rsid w:val="00A92CE9"/>
    <w:rsid w:val="00A931D6"/>
    <w:rsid w:val="00A96897"/>
    <w:rsid w:val="00A97BC3"/>
    <w:rsid w:val="00AA0792"/>
    <w:rsid w:val="00AA1131"/>
    <w:rsid w:val="00AA1367"/>
    <w:rsid w:val="00AA139D"/>
    <w:rsid w:val="00AA2401"/>
    <w:rsid w:val="00AA3D01"/>
    <w:rsid w:val="00AA7B7F"/>
    <w:rsid w:val="00AA7E1A"/>
    <w:rsid w:val="00AA7F21"/>
    <w:rsid w:val="00AB0707"/>
    <w:rsid w:val="00AB10F9"/>
    <w:rsid w:val="00AB33CC"/>
    <w:rsid w:val="00AB3913"/>
    <w:rsid w:val="00AB3C87"/>
    <w:rsid w:val="00AB5534"/>
    <w:rsid w:val="00AB7190"/>
    <w:rsid w:val="00AB7900"/>
    <w:rsid w:val="00AC23F0"/>
    <w:rsid w:val="00AC2DD9"/>
    <w:rsid w:val="00AC6587"/>
    <w:rsid w:val="00AC71E5"/>
    <w:rsid w:val="00AC785A"/>
    <w:rsid w:val="00AD009F"/>
    <w:rsid w:val="00AD0277"/>
    <w:rsid w:val="00AD0B05"/>
    <w:rsid w:val="00AD16A1"/>
    <w:rsid w:val="00AD3821"/>
    <w:rsid w:val="00AD3E86"/>
    <w:rsid w:val="00AD46CC"/>
    <w:rsid w:val="00AD47D9"/>
    <w:rsid w:val="00AD502C"/>
    <w:rsid w:val="00AD5EA7"/>
    <w:rsid w:val="00AD684A"/>
    <w:rsid w:val="00AD68C9"/>
    <w:rsid w:val="00AD7152"/>
    <w:rsid w:val="00AD7CFC"/>
    <w:rsid w:val="00AE0778"/>
    <w:rsid w:val="00AE17BB"/>
    <w:rsid w:val="00AE200B"/>
    <w:rsid w:val="00AE27D3"/>
    <w:rsid w:val="00AE4169"/>
    <w:rsid w:val="00AE56C9"/>
    <w:rsid w:val="00AE6AF8"/>
    <w:rsid w:val="00AE77AF"/>
    <w:rsid w:val="00AE7A78"/>
    <w:rsid w:val="00AF04C0"/>
    <w:rsid w:val="00AF087B"/>
    <w:rsid w:val="00AF2A1A"/>
    <w:rsid w:val="00AF3C1F"/>
    <w:rsid w:val="00AF3C7D"/>
    <w:rsid w:val="00AF4F1A"/>
    <w:rsid w:val="00AF7CF9"/>
    <w:rsid w:val="00B01308"/>
    <w:rsid w:val="00B03ADF"/>
    <w:rsid w:val="00B04B1A"/>
    <w:rsid w:val="00B0530B"/>
    <w:rsid w:val="00B06421"/>
    <w:rsid w:val="00B07DED"/>
    <w:rsid w:val="00B103F7"/>
    <w:rsid w:val="00B107E6"/>
    <w:rsid w:val="00B10EA3"/>
    <w:rsid w:val="00B117F5"/>
    <w:rsid w:val="00B11D96"/>
    <w:rsid w:val="00B13671"/>
    <w:rsid w:val="00B147C7"/>
    <w:rsid w:val="00B15094"/>
    <w:rsid w:val="00B1569D"/>
    <w:rsid w:val="00B15BD3"/>
    <w:rsid w:val="00B166EE"/>
    <w:rsid w:val="00B17706"/>
    <w:rsid w:val="00B17A31"/>
    <w:rsid w:val="00B20F98"/>
    <w:rsid w:val="00B24A23"/>
    <w:rsid w:val="00B256FF"/>
    <w:rsid w:val="00B2708C"/>
    <w:rsid w:val="00B276E5"/>
    <w:rsid w:val="00B307E9"/>
    <w:rsid w:val="00B31100"/>
    <w:rsid w:val="00B315DE"/>
    <w:rsid w:val="00B33CA5"/>
    <w:rsid w:val="00B347B0"/>
    <w:rsid w:val="00B35395"/>
    <w:rsid w:val="00B40A83"/>
    <w:rsid w:val="00B40E90"/>
    <w:rsid w:val="00B4142B"/>
    <w:rsid w:val="00B41F37"/>
    <w:rsid w:val="00B439CA"/>
    <w:rsid w:val="00B443FD"/>
    <w:rsid w:val="00B45B27"/>
    <w:rsid w:val="00B460B0"/>
    <w:rsid w:val="00B462BB"/>
    <w:rsid w:val="00B47EC5"/>
    <w:rsid w:val="00B5025D"/>
    <w:rsid w:val="00B50729"/>
    <w:rsid w:val="00B52EB3"/>
    <w:rsid w:val="00B53B43"/>
    <w:rsid w:val="00B54200"/>
    <w:rsid w:val="00B5468A"/>
    <w:rsid w:val="00B549EF"/>
    <w:rsid w:val="00B54C2F"/>
    <w:rsid w:val="00B55229"/>
    <w:rsid w:val="00B556B3"/>
    <w:rsid w:val="00B56630"/>
    <w:rsid w:val="00B566F0"/>
    <w:rsid w:val="00B5684D"/>
    <w:rsid w:val="00B56BC5"/>
    <w:rsid w:val="00B6014E"/>
    <w:rsid w:val="00B6033E"/>
    <w:rsid w:val="00B61BDD"/>
    <w:rsid w:val="00B6299A"/>
    <w:rsid w:val="00B639DB"/>
    <w:rsid w:val="00B64403"/>
    <w:rsid w:val="00B64C47"/>
    <w:rsid w:val="00B64E29"/>
    <w:rsid w:val="00B64E43"/>
    <w:rsid w:val="00B659AF"/>
    <w:rsid w:val="00B67106"/>
    <w:rsid w:val="00B74DE5"/>
    <w:rsid w:val="00B76559"/>
    <w:rsid w:val="00B77695"/>
    <w:rsid w:val="00B77739"/>
    <w:rsid w:val="00B8353C"/>
    <w:rsid w:val="00B871E2"/>
    <w:rsid w:val="00B90A6C"/>
    <w:rsid w:val="00B93408"/>
    <w:rsid w:val="00B93617"/>
    <w:rsid w:val="00B94FF3"/>
    <w:rsid w:val="00B964D3"/>
    <w:rsid w:val="00B96995"/>
    <w:rsid w:val="00BA0395"/>
    <w:rsid w:val="00BA0996"/>
    <w:rsid w:val="00BA1445"/>
    <w:rsid w:val="00BA230C"/>
    <w:rsid w:val="00BA23D8"/>
    <w:rsid w:val="00BA3AB6"/>
    <w:rsid w:val="00BA3F99"/>
    <w:rsid w:val="00BA4189"/>
    <w:rsid w:val="00BA59DA"/>
    <w:rsid w:val="00BA75E5"/>
    <w:rsid w:val="00BB0863"/>
    <w:rsid w:val="00BB1467"/>
    <w:rsid w:val="00BB202E"/>
    <w:rsid w:val="00BB7047"/>
    <w:rsid w:val="00BB7ABA"/>
    <w:rsid w:val="00BC025C"/>
    <w:rsid w:val="00BC0F82"/>
    <w:rsid w:val="00BC154B"/>
    <w:rsid w:val="00BC4CB9"/>
    <w:rsid w:val="00BC5DE0"/>
    <w:rsid w:val="00BC62C9"/>
    <w:rsid w:val="00BD2230"/>
    <w:rsid w:val="00BD2575"/>
    <w:rsid w:val="00BD387A"/>
    <w:rsid w:val="00BD4506"/>
    <w:rsid w:val="00BD536A"/>
    <w:rsid w:val="00BD6823"/>
    <w:rsid w:val="00BE0481"/>
    <w:rsid w:val="00BE0853"/>
    <w:rsid w:val="00BE10BE"/>
    <w:rsid w:val="00BE2A55"/>
    <w:rsid w:val="00BE5744"/>
    <w:rsid w:val="00BF07DC"/>
    <w:rsid w:val="00BF116F"/>
    <w:rsid w:val="00BF1F02"/>
    <w:rsid w:val="00BF2A88"/>
    <w:rsid w:val="00BF43A4"/>
    <w:rsid w:val="00BF704B"/>
    <w:rsid w:val="00BF7DA9"/>
    <w:rsid w:val="00C01793"/>
    <w:rsid w:val="00C03411"/>
    <w:rsid w:val="00C0512B"/>
    <w:rsid w:val="00C05291"/>
    <w:rsid w:val="00C10168"/>
    <w:rsid w:val="00C10356"/>
    <w:rsid w:val="00C108DE"/>
    <w:rsid w:val="00C10C41"/>
    <w:rsid w:val="00C11B68"/>
    <w:rsid w:val="00C1331D"/>
    <w:rsid w:val="00C138FA"/>
    <w:rsid w:val="00C15E3A"/>
    <w:rsid w:val="00C172CD"/>
    <w:rsid w:val="00C20EA5"/>
    <w:rsid w:val="00C20FE1"/>
    <w:rsid w:val="00C2219C"/>
    <w:rsid w:val="00C2273A"/>
    <w:rsid w:val="00C24389"/>
    <w:rsid w:val="00C31105"/>
    <w:rsid w:val="00C3240A"/>
    <w:rsid w:val="00C33975"/>
    <w:rsid w:val="00C36BDE"/>
    <w:rsid w:val="00C400C9"/>
    <w:rsid w:val="00C401C5"/>
    <w:rsid w:val="00C40E15"/>
    <w:rsid w:val="00C41537"/>
    <w:rsid w:val="00C41641"/>
    <w:rsid w:val="00C46A87"/>
    <w:rsid w:val="00C5025C"/>
    <w:rsid w:val="00C516C1"/>
    <w:rsid w:val="00C51D98"/>
    <w:rsid w:val="00C523C4"/>
    <w:rsid w:val="00C53143"/>
    <w:rsid w:val="00C5435B"/>
    <w:rsid w:val="00C54B28"/>
    <w:rsid w:val="00C54EA4"/>
    <w:rsid w:val="00C555A1"/>
    <w:rsid w:val="00C57BB3"/>
    <w:rsid w:val="00C60A13"/>
    <w:rsid w:val="00C61B15"/>
    <w:rsid w:val="00C61C42"/>
    <w:rsid w:val="00C62983"/>
    <w:rsid w:val="00C6448F"/>
    <w:rsid w:val="00C644FB"/>
    <w:rsid w:val="00C6702F"/>
    <w:rsid w:val="00C71921"/>
    <w:rsid w:val="00C72946"/>
    <w:rsid w:val="00C73172"/>
    <w:rsid w:val="00C7687D"/>
    <w:rsid w:val="00C77AAC"/>
    <w:rsid w:val="00C80D3B"/>
    <w:rsid w:val="00C82037"/>
    <w:rsid w:val="00C8207B"/>
    <w:rsid w:val="00C82494"/>
    <w:rsid w:val="00C838D6"/>
    <w:rsid w:val="00C85A0A"/>
    <w:rsid w:val="00C8652D"/>
    <w:rsid w:val="00C86AA6"/>
    <w:rsid w:val="00C876C5"/>
    <w:rsid w:val="00C87D99"/>
    <w:rsid w:val="00C90533"/>
    <w:rsid w:val="00C92B2E"/>
    <w:rsid w:val="00C92BA9"/>
    <w:rsid w:val="00C93B1B"/>
    <w:rsid w:val="00C9615B"/>
    <w:rsid w:val="00CA0155"/>
    <w:rsid w:val="00CA1787"/>
    <w:rsid w:val="00CA2A74"/>
    <w:rsid w:val="00CA4C72"/>
    <w:rsid w:val="00CA4FD5"/>
    <w:rsid w:val="00CA5962"/>
    <w:rsid w:val="00CA699D"/>
    <w:rsid w:val="00CA6F59"/>
    <w:rsid w:val="00CB0F73"/>
    <w:rsid w:val="00CB18D9"/>
    <w:rsid w:val="00CB2F6B"/>
    <w:rsid w:val="00CB3482"/>
    <w:rsid w:val="00CB38F2"/>
    <w:rsid w:val="00CB41D9"/>
    <w:rsid w:val="00CB4C82"/>
    <w:rsid w:val="00CB78AD"/>
    <w:rsid w:val="00CB7E12"/>
    <w:rsid w:val="00CC1754"/>
    <w:rsid w:val="00CC1D8D"/>
    <w:rsid w:val="00CC285E"/>
    <w:rsid w:val="00CC3C1D"/>
    <w:rsid w:val="00CC4C8E"/>
    <w:rsid w:val="00CC5AE2"/>
    <w:rsid w:val="00CC732D"/>
    <w:rsid w:val="00CC7C75"/>
    <w:rsid w:val="00CD045C"/>
    <w:rsid w:val="00CD0796"/>
    <w:rsid w:val="00CD0F7E"/>
    <w:rsid w:val="00CD2C23"/>
    <w:rsid w:val="00CD4102"/>
    <w:rsid w:val="00CD7715"/>
    <w:rsid w:val="00CE19D7"/>
    <w:rsid w:val="00CE37A8"/>
    <w:rsid w:val="00CE3A38"/>
    <w:rsid w:val="00CE3FF2"/>
    <w:rsid w:val="00CE408C"/>
    <w:rsid w:val="00CE4668"/>
    <w:rsid w:val="00CE611D"/>
    <w:rsid w:val="00CE61A9"/>
    <w:rsid w:val="00CE6B3F"/>
    <w:rsid w:val="00CF0676"/>
    <w:rsid w:val="00CF10E5"/>
    <w:rsid w:val="00CF2827"/>
    <w:rsid w:val="00CF4B1B"/>
    <w:rsid w:val="00CF71E1"/>
    <w:rsid w:val="00D0241A"/>
    <w:rsid w:val="00D04819"/>
    <w:rsid w:val="00D06F06"/>
    <w:rsid w:val="00D07CB7"/>
    <w:rsid w:val="00D110E2"/>
    <w:rsid w:val="00D112EC"/>
    <w:rsid w:val="00D125A9"/>
    <w:rsid w:val="00D15A07"/>
    <w:rsid w:val="00D15ACC"/>
    <w:rsid w:val="00D17215"/>
    <w:rsid w:val="00D20652"/>
    <w:rsid w:val="00D20D9A"/>
    <w:rsid w:val="00D21456"/>
    <w:rsid w:val="00D2681A"/>
    <w:rsid w:val="00D31830"/>
    <w:rsid w:val="00D31F5A"/>
    <w:rsid w:val="00D33320"/>
    <w:rsid w:val="00D35B8D"/>
    <w:rsid w:val="00D35F45"/>
    <w:rsid w:val="00D37A49"/>
    <w:rsid w:val="00D400D3"/>
    <w:rsid w:val="00D402A1"/>
    <w:rsid w:val="00D40457"/>
    <w:rsid w:val="00D408CD"/>
    <w:rsid w:val="00D41D0F"/>
    <w:rsid w:val="00D4237A"/>
    <w:rsid w:val="00D425CF"/>
    <w:rsid w:val="00D4306C"/>
    <w:rsid w:val="00D44282"/>
    <w:rsid w:val="00D44B8F"/>
    <w:rsid w:val="00D4598B"/>
    <w:rsid w:val="00D46C87"/>
    <w:rsid w:val="00D47B82"/>
    <w:rsid w:val="00D50285"/>
    <w:rsid w:val="00D508E1"/>
    <w:rsid w:val="00D50ED7"/>
    <w:rsid w:val="00D5129F"/>
    <w:rsid w:val="00D51B0C"/>
    <w:rsid w:val="00D51D1F"/>
    <w:rsid w:val="00D524A8"/>
    <w:rsid w:val="00D539A5"/>
    <w:rsid w:val="00D539AC"/>
    <w:rsid w:val="00D53E7F"/>
    <w:rsid w:val="00D56114"/>
    <w:rsid w:val="00D56226"/>
    <w:rsid w:val="00D56911"/>
    <w:rsid w:val="00D56E99"/>
    <w:rsid w:val="00D64826"/>
    <w:rsid w:val="00D70A8C"/>
    <w:rsid w:val="00D717BD"/>
    <w:rsid w:val="00D73493"/>
    <w:rsid w:val="00D7539E"/>
    <w:rsid w:val="00D75ABC"/>
    <w:rsid w:val="00D77ABF"/>
    <w:rsid w:val="00D848ED"/>
    <w:rsid w:val="00D84B57"/>
    <w:rsid w:val="00D86F86"/>
    <w:rsid w:val="00D91337"/>
    <w:rsid w:val="00D91B70"/>
    <w:rsid w:val="00D9230E"/>
    <w:rsid w:val="00D9280D"/>
    <w:rsid w:val="00D92E42"/>
    <w:rsid w:val="00D9512B"/>
    <w:rsid w:val="00D957E7"/>
    <w:rsid w:val="00D95DF9"/>
    <w:rsid w:val="00D9656A"/>
    <w:rsid w:val="00D9751F"/>
    <w:rsid w:val="00D97CDA"/>
    <w:rsid w:val="00DA2AB3"/>
    <w:rsid w:val="00DA2DBC"/>
    <w:rsid w:val="00DA3A56"/>
    <w:rsid w:val="00DA44E4"/>
    <w:rsid w:val="00DA4D8E"/>
    <w:rsid w:val="00DA6018"/>
    <w:rsid w:val="00DA713B"/>
    <w:rsid w:val="00DB1E4F"/>
    <w:rsid w:val="00DB215C"/>
    <w:rsid w:val="00DB33CB"/>
    <w:rsid w:val="00DB6982"/>
    <w:rsid w:val="00DC3202"/>
    <w:rsid w:val="00DC4322"/>
    <w:rsid w:val="00DC74D6"/>
    <w:rsid w:val="00DD00C0"/>
    <w:rsid w:val="00DD0A32"/>
    <w:rsid w:val="00DD1578"/>
    <w:rsid w:val="00DD2E28"/>
    <w:rsid w:val="00DD377D"/>
    <w:rsid w:val="00DD4043"/>
    <w:rsid w:val="00DD552C"/>
    <w:rsid w:val="00DE0A26"/>
    <w:rsid w:val="00DE1170"/>
    <w:rsid w:val="00DE16DF"/>
    <w:rsid w:val="00DE1C5F"/>
    <w:rsid w:val="00DE2383"/>
    <w:rsid w:val="00DE2B6D"/>
    <w:rsid w:val="00DE308F"/>
    <w:rsid w:val="00DE37F5"/>
    <w:rsid w:val="00DE3F64"/>
    <w:rsid w:val="00DE6857"/>
    <w:rsid w:val="00DE7233"/>
    <w:rsid w:val="00DE7896"/>
    <w:rsid w:val="00DE7916"/>
    <w:rsid w:val="00DE7D67"/>
    <w:rsid w:val="00DF2AD6"/>
    <w:rsid w:val="00DF3063"/>
    <w:rsid w:val="00DF3286"/>
    <w:rsid w:val="00DF3AA9"/>
    <w:rsid w:val="00DF467A"/>
    <w:rsid w:val="00DF5651"/>
    <w:rsid w:val="00DF567A"/>
    <w:rsid w:val="00DF56F2"/>
    <w:rsid w:val="00DF654F"/>
    <w:rsid w:val="00DF6AF2"/>
    <w:rsid w:val="00E00544"/>
    <w:rsid w:val="00E0122F"/>
    <w:rsid w:val="00E05F28"/>
    <w:rsid w:val="00E07280"/>
    <w:rsid w:val="00E074AF"/>
    <w:rsid w:val="00E1105C"/>
    <w:rsid w:val="00E1171A"/>
    <w:rsid w:val="00E1284D"/>
    <w:rsid w:val="00E13B24"/>
    <w:rsid w:val="00E147D4"/>
    <w:rsid w:val="00E1567F"/>
    <w:rsid w:val="00E15FA6"/>
    <w:rsid w:val="00E16015"/>
    <w:rsid w:val="00E16671"/>
    <w:rsid w:val="00E17075"/>
    <w:rsid w:val="00E17AFA"/>
    <w:rsid w:val="00E20685"/>
    <w:rsid w:val="00E22ACF"/>
    <w:rsid w:val="00E239D4"/>
    <w:rsid w:val="00E23AA9"/>
    <w:rsid w:val="00E24D77"/>
    <w:rsid w:val="00E24DD7"/>
    <w:rsid w:val="00E27971"/>
    <w:rsid w:val="00E27B51"/>
    <w:rsid w:val="00E3099D"/>
    <w:rsid w:val="00E3213E"/>
    <w:rsid w:val="00E3251B"/>
    <w:rsid w:val="00E3272C"/>
    <w:rsid w:val="00E32AF9"/>
    <w:rsid w:val="00E3301D"/>
    <w:rsid w:val="00E3315E"/>
    <w:rsid w:val="00E3434A"/>
    <w:rsid w:val="00E35183"/>
    <w:rsid w:val="00E37140"/>
    <w:rsid w:val="00E37FEF"/>
    <w:rsid w:val="00E402D6"/>
    <w:rsid w:val="00E4083B"/>
    <w:rsid w:val="00E4145B"/>
    <w:rsid w:val="00E41661"/>
    <w:rsid w:val="00E41784"/>
    <w:rsid w:val="00E41D80"/>
    <w:rsid w:val="00E422E0"/>
    <w:rsid w:val="00E44D8F"/>
    <w:rsid w:val="00E46F4C"/>
    <w:rsid w:val="00E47633"/>
    <w:rsid w:val="00E57E7F"/>
    <w:rsid w:val="00E607FC"/>
    <w:rsid w:val="00E622D2"/>
    <w:rsid w:val="00E66DED"/>
    <w:rsid w:val="00E728B2"/>
    <w:rsid w:val="00E7325C"/>
    <w:rsid w:val="00E7381A"/>
    <w:rsid w:val="00E73A02"/>
    <w:rsid w:val="00E73DAA"/>
    <w:rsid w:val="00E73DFC"/>
    <w:rsid w:val="00E741CF"/>
    <w:rsid w:val="00E74D27"/>
    <w:rsid w:val="00E74E50"/>
    <w:rsid w:val="00E767E9"/>
    <w:rsid w:val="00E814E3"/>
    <w:rsid w:val="00E81A51"/>
    <w:rsid w:val="00E8295C"/>
    <w:rsid w:val="00E83268"/>
    <w:rsid w:val="00E8337B"/>
    <w:rsid w:val="00E833EE"/>
    <w:rsid w:val="00E8703A"/>
    <w:rsid w:val="00E906A0"/>
    <w:rsid w:val="00E92998"/>
    <w:rsid w:val="00E93194"/>
    <w:rsid w:val="00E9342E"/>
    <w:rsid w:val="00E961AA"/>
    <w:rsid w:val="00E96E71"/>
    <w:rsid w:val="00E973C3"/>
    <w:rsid w:val="00EA31CF"/>
    <w:rsid w:val="00EA3963"/>
    <w:rsid w:val="00EA4EF3"/>
    <w:rsid w:val="00EA6218"/>
    <w:rsid w:val="00EA6CE2"/>
    <w:rsid w:val="00EA76D9"/>
    <w:rsid w:val="00EB14BE"/>
    <w:rsid w:val="00EB1E8F"/>
    <w:rsid w:val="00EB201D"/>
    <w:rsid w:val="00EB4038"/>
    <w:rsid w:val="00EB4196"/>
    <w:rsid w:val="00EB73E9"/>
    <w:rsid w:val="00EC042D"/>
    <w:rsid w:val="00EC08CE"/>
    <w:rsid w:val="00EC1CB2"/>
    <w:rsid w:val="00EC4184"/>
    <w:rsid w:val="00EC4850"/>
    <w:rsid w:val="00EC4C19"/>
    <w:rsid w:val="00ED0237"/>
    <w:rsid w:val="00ED1EC7"/>
    <w:rsid w:val="00ED3944"/>
    <w:rsid w:val="00ED4046"/>
    <w:rsid w:val="00ED45B5"/>
    <w:rsid w:val="00ED5169"/>
    <w:rsid w:val="00ED614C"/>
    <w:rsid w:val="00EE42F0"/>
    <w:rsid w:val="00EE4D25"/>
    <w:rsid w:val="00EF1087"/>
    <w:rsid w:val="00EF34F7"/>
    <w:rsid w:val="00EF3E24"/>
    <w:rsid w:val="00EF7876"/>
    <w:rsid w:val="00EF7D1D"/>
    <w:rsid w:val="00F007CE"/>
    <w:rsid w:val="00F0095E"/>
    <w:rsid w:val="00F017B3"/>
    <w:rsid w:val="00F02FB8"/>
    <w:rsid w:val="00F049B1"/>
    <w:rsid w:val="00F051D4"/>
    <w:rsid w:val="00F06519"/>
    <w:rsid w:val="00F06553"/>
    <w:rsid w:val="00F107A4"/>
    <w:rsid w:val="00F10EB6"/>
    <w:rsid w:val="00F12801"/>
    <w:rsid w:val="00F129CC"/>
    <w:rsid w:val="00F138EA"/>
    <w:rsid w:val="00F14480"/>
    <w:rsid w:val="00F16D29"/>
    <w:rsid w:val="00F205E5"/>
    <w:rsid w:val="00F206BA"/>
    <w:rsid w:val="00F21DB6"/>
    <w:rsid w:val="00F21DF9"/>
    <w:rsid w:val="00F22147"/>
    <w:rsid w:val="00F242A2"/>
    <w:rsid w:val="00F2698A"/>
    <w:rsid w:val="00F26B2B"/>
    <w:rsid w:val="00F271A0"/>
    <w:rsid w:val="00F32341"/>
    <w:rsid w:val="00F33CFD"/>
    <w:rsid w:val="00F34C3D"/>
    <w:rsid w:val="00F36D72"/>
    <w:rsid w:val="00F3779B"/>
    <w:rsid w:val="00F452C9"/>
    <w:rsid w:val="00F45CBB"/>
    <w:rsid w:val="00F46ECE"/>
    <w:rsid w:val="00F50BC9"/>
    <w:rsid w:val="00F5204E"/>
    <w:rsid w:val="00F53CC4"/>
    <w:rsid w:val="00F53DB3"/>
    <w:rsid w:val="00F549B1"/>
    <w:rsid w:val="00F551A9"/>
    <w:rsid w:val="00F56028"/>
    <w:rsid w:val="00F570E4"/>
    <w:rsid w:val="00F60614"/>
    <w:rsid w:val="00F62068"/>
    <w:rsid w:val="00F6224E"/>
    <w:rsid w:val="00F622E5"/>
    <w:rsid w:val="00F631B5"/>
    <w:rsid w:val="00F639D0"/>
    <w:rsid w:val="00F659B5"/>
    <w:rsid w:val="00F65A07"/>
    <w:rsid w:val="00F70254"/>
    <w:rsid w:val="00F70E1D"/>
    <w:rsid w:val="00F70EDB"/>
    <w:rsid w:val="00F73DA2"/>
    <w:rsid w:val="00F74B73"/>
    <w:rsid w:val="00F76657"/>
    <w:rsid w:val="00F7738C"/>
    <w:rsid w:val="00F801E3"/>
    <w:rsid w:val="00F80539"/>
    <w:rsid w:val="00F817A9"/>
    <w:rsid w:val="00F81FF5"/>
    <w:rsid w:val="00F8347E"/>
    <w:rsid w:val="00F83A8F"/>
    <w:rsid w:val="00F84709"/>
    <w:rsid w:val="00F85B72"/>
    <w:rsid w:val="00F87938"/>
    <w:rsid w:val="00F900E4"/>
    <w:rsid w:val="00F91FD6"/>
    <w:rsid w:val="00F920AC"/>
    <w:rsid w:val="00F939C3"/>
    <w:rsid w:val="00F94268"/>
    <w:rsid w:val="00F97121"/>
    <w:rsid w:val="00F978CC"/>
    <w:rsid w:val="00FA0062"/>
    <w:rsid w:val="00FA027C"/>
    <w:rsid w:val="00FA0291"/>
    <w:rsid w:val="00FA07DD"/>
    <w:rsid w:val="00FA1256"/>
    <w:rsid w:val="00FA67A2"/>
    <w:rsid w:val="00FA6F24"/>
    <w:rsid w:val="00FB12DA"/>
    <w:rsid w:val="00FB6E00"/>
    <w:rsid w:val="00FB7CF6"/>
    <w:rsid w:val="00FC1902"/>
    <w:rsid w:val="00FC2453"/>
    <w:rsid w:val="00FC24D6"/>
    <w:rsid w:val="00FC26E9"/>
    <w:rsid w:val="00FC31B0"/>
    <w:rsid w:val="00FC3C51"/>
    <w:rsid w:val="00FC5198"/>
    <w:rsid w:val="00FC5C84"/>
    <w:rsid w:val="00FC6568"/>
    <w:rsid w:val="00FC6717"/>
    <w:rsid w:val="00FC78FC"/>
    <w:rsid w:val="00FD1111"/>
    <w:rsid w:val="00FD120F"/>
    <w:rsid w:val="00FD2267"/>
    <w:rsid w:val="00FD234E"/>
    <w:rsid w:val="00FD3231"/>
    <w:rsid w:val="00FD40A3"/>
    <w:rsid w:val="00FD5578"/>
    <w:rsid w:val="00FD7A11"/>
    <w:rsid w:val="00FE100E"/>
    <w:rsid w:val="00FE1FC1"/>
    <w:rsid w:val="00FE2E09"/>
    <w:rsid w:val="00FE2F8A"/>
    <w:rsid w:val="00FE7BEC"/>
    <w:rsid w:val="00FF0662"/>
    <w:rsid w:val="00FF18D4"/>
    <w:rsid w:val="00FF3400"/>
    <w:rsid w:val="00FF34A2"/>
    <w:rsid w:val="00FF42FB"/>
    <w:rsid w:val="00FF48C6"/>
    <w:rsid w:val="00FF4F41"/>
    <w:rsid w:val="00FF5C8E"/>
    <w:rsid w:val="00FF6028"/>
    <w:rsid w:val="00FF62A5"/>
    <w:rsid w:val="00FF67A4"/>
    <w:rsid w:val="00FF755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68F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308F"/>
    <w:rPr>
      <w:sz w:val="22"/>
      <w:lang w:val="pt-PT" w:eastAsia="ja-JP"/>
    </w:rPr>
  </w:style>
  <w:style w:type="paragraph" w:styleId="Heading1">
    <w:name w:val="heading 1"/>
    <w:aliases w:val="D70AR,Info rubrik 1,titel 1"/>
    <w:basedOn w:val="Normal"/>
    <w:next w:val="Normal"/>
    <w:link w:val="Heading1Char"/>
    <w:qFormat/>
    <w:rsid w:val="00DE308F"/>
    <w:pPr>
      <w:ind w:left="567" w:hanging="567"/>
      <w:outlineLvl w:val="0"/>
    </w:pPr>
    <w:rPr>
      <w:b/>
      <w:caps/>
    </w:rPr>
  </w:style>
  <w:style w:type="paragraph" w:styleId="Heading2">
    <w:name w:val="heading 2"/>
    <w:basedOn w:val="Heading1"/>
    <w:next w:val="Normal"/>
    <w:link w:val="Heading2Char"/>
    <w:qFormat/>
    <w:rsid w:val="00DE308F"/>
    <w:pPr>
      <w:outlineLvl w:val="1"/>
    </w:pPr>
    <w:rPr>
      <w:caps w:val="0"/>
    </w:rPr>
  </w:style>
  <w:style w:type="paragraph" w:styleId="Heading3">
    <w:name w:val="heading 3"/>
    <w:basedOn w:val="Normal"/>
    <w:next w:val="Normal"/>
    <w:link w:val="Heading3Char"/>
    <w:qFormat/>
    <w:rsid w:val="00DE308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A0581"/>
    <w:pPr>
      <w:keepNext/>
      <w:suppressAutoHyphens/>
      <w:ind w:right="14"/>
      <w:jc w:val="center"/>
      <w:outlineLvl w:val="3"/>
    </w:pPr>
    <w:rPr>
      <w:b/>
    </w:rPr>
  </w:style>
  <w:style w:type="paragraph" w:styleId="Heading5">
    <w:name w:val="heading 5"/>
    <w:basedOn w:val="Normal"/>
    <w:next w:val="Normal"/>
    <w:link w:val="Heading5Char"/>
    <w:qFormat/>
    <w:rsid w:val="007A0581"/>
    <w:pPr>
      <w:keepNext/>
      <w:suppressAutoHyphens/>
      <w:outlineLvl w:val="4"/>
    </w:pPr>
    <w:rPr>
      <w:b/>
    </w:rPr>
  </w:style>
  <w:style w:type="paragraph" w:styleId="Heading6">
    <w:name w:val="heading 6"/>
    <w:basedOn w:val="Normal"/>
    <w:next w:val="Normal"/>
    <w:link w:val="Heading6Char"/>
    <w:qFormat/>
    <w:rsid w:val="007A0581"/>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qFormat/>
    <w:rsid w:val="007A0581"/>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qFormat/>
    <w:rsid w:val="007A0581"/>
    <w:pPr>
      <w:keepNext/>
      <w:suppressAutoHyphens/>
      <w:ind w:left="567" w:hanging="567"/>
      <w:outlineLvl w:val="7"/>
    </w:pPr>
    <w:rPr>
      <w:i/>
    </w:rPr>
  </w:style>
  <w:style w:type="paragraph" w:styleId="Heading9">
    <w:name w:val="heading 9"/>
    <w:basedOn w:val="Normal"/>
    <w:next w:val="Normal"/>
    <w:link w:val="Heading9Char"/>
    <w:qFormat/>
    <w:rsid w:val="007A0581"/>
    <w:pPr>
      <w:keepNext/>
      <w:numPr>
        <w:ilvl w:val="12"/>
      </w:numPr>
      <w:ind w:right="-2"/>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
    <w:link w:val="Heading1"/>
    <w:locked/>
    <w:rsid w:val="000C455D"/>
    <w:rPr>
      <w:rFonts w:ascii="Cambria" w:hAnsi="Cambria" w:cs="Times New Roman"/>
      <w:b/>
      <w:bCs/>
      <w:kern w:val="32"/>
      <w:sz w:val="32"/>
      <w:szCs w:val="32"/>
      <w:lang w:val="x-none" w:eastAsia="ja-JP"/>
    </w:rPr>
  </w:style>
  <w:style w:type="character" w:customStyle="1" w:styleId="Heading2Char">
    <w:name w:val="Heading 2 Char"/>
    <w:link w:val="Heading2"/>
    <w:semiHidden/>
    <w:locked/>
    <w:rsid w:val="000C455D"/>
    <w:rPr>
      <w:rFonts w:ascii="Cambria" w:hAnsi="Cambria" w:cs="Times New Roman"/>
      <w:b/>
      <w:bCs/>
      <w:i/>
      <w:iCs/>
      <w:sz w:val="28"/>
      <w:szCs w:val="28"/>
      <w:lang w:val="x-none" w:eastAsia="ja-JP"/>
    </w:rPr>
  </w:style>
  <w:style w:type="character" w:customStyle="1" w:styleId="Heading3Char">
    <w:name w:val="Heading 3 Char"/>
    <w:link w:val="Heading3"/>
    <w:semiHidden/>
    <w:locked/>
    <w:rsid w:val="000C455D"/>
    <w:rPr>
      <w:rFonts w:ascii="Cambria" w:hAnsi="Cambria" w:cs="Times New Roman"/>
      <w:b/>
      <w:bCs/>
      <w:sz w:val="26"/>
      <w:szCs w:val="26"/>
      <w:lang w:val="x-none" w:eastAsia="ja-JP"/>
    </w:rPr>
  </w:style>
  <w:style w:type="character" w:customStyle="1" w:styleId="Heading4Char">
    <w:name w:val="Heading 4 Char"/>
    <w:link w:val="Heading4"/>
    <w:semiHidden/>
    <w:locked/>
    <w:rsid w:val="000C455D"/>
    <w:rPr>
      <w:rFonts w:ascii="Calibri" w:hAnsi="Calibri" w:cs="Times New Roman"/>
      <w:b/>
      <w:bCs/>
      <w:sz w:val="28"/>
      <w:szCs w:val="28"/>
      <w:lang w:val="x-none" w:eastAsia="ja-JP"/>
    </w:rPr>
  </w:style>
  <w:style w:type="character" w:customStyle="1" w:styleId="Heading5Char">
    <w:name w:val="Heading 5 Char"/>
    <w:link w:val="Heading5"/>
    <w:semiHidden/>
    <w:locked/>
    <w:rsid w:val="000C455D"/>
    <w:rPr>
      <w:rFonts w:ascii="Calibri" w:hAnsi="Calibri" w:cs="Times New Roman"/>
      <w:b/>
      <w:bCs/>
      <w:i/>
      <w:iCs/>
      <w:sz w:val="26"/>
      <w:szCs w:val="26"/>
      <w:lang w:val="x-none" w:eastAsia="ja-JP"/>
    </w:rPr>
  </w:style>
  <w:style w:type="character" w:customStyle="1" w:styleId="Heading6Char">
    <w:name w:val="Heading 6 Char"/>
    <w:link w:val="Heading6"/>
    <w:semiHidden/>
    <w:locked/>
    <w:rsid w:val="000C455D"/>
    <w:rPr>
      <w:rFonts w:ascii="Calibri" w:hAnsi="Calibri" w:cs="Times New Roman"/>
      <w:b/>
      <w:bCs/>
      <w:lang w:val="x-none" w:eastAsia="ja-JP"/>
    </w:rPr>
  </w:style>
  <w:style w:type="character" w:customStyle="1" w:styleId="Heading7Char">
    <w:name w:val="Heading 7 Char"/>
    <w:link w:val="Heading7"/>
    <w:semiHidden/>
    <w:locked/>
    <w:rsid w:val="000C455D"/>
    <w:rPr>
      <w:rFonts w:ascii="Calibri" w:hAnsi="Calibri" w:cs="Times New Roman"/>
      <w:sz w:val="24"/>
      <w:szCs w:val="24"/>
      <w:lang w:val="x-none" w:eastAsia="ja-JP"/>
    </w:rPr>
  </w:style>
  <w:style w:type="character" w:customStyle="1" w:styleId="Heading8Char">
    <w:name w:val="Heading 8 Char"/>
    <w:link w:val="Heading8"/>
    <w:semiHidden/>
    <w:locked/>
    <w:rsid w:val="000C455D"/>
    <w:rPr>
      <w:rFonts w:ascii="Calibri" w:hAnsi="Calibri" w:cs="Times New Roman"/>
      <w:i/>
      <w:iCs/>
      <w:sz w:val="24"/>
      <w:szCs w:val="24"/>
      <w:lang w:val="x-none" w:eastAsia="ja-JP"/>
    </w:rPr>
  </w:style>
  <w:style w:type="character" w:customStyle="1" w:styleId="Heading9Char">
    <w:name w:val="Heading 9 Char"/>
    <w:link w:val="Heading9"/>
    <w:semiHidden/>
    <w:locked/>
    <w:rsid w:val="000C455D"/>
    <w:rPr>
      <w:rFonts w:ascii="Cambria" w:hAnsi="Cambria" w:cs="Times New Roman"/>
      <w:lang w:val="x-none" w:eastAsia="ja-JP"/>
    </w:rPr>
  </w:style>
  <w:style w:type="paragraph" w:styleId="EndnoteText">
    <w:name w:val="endnote text"/>
    <w:basedOn w:val="Normal"/>
    <w:link w:val="EndnoteTextChar"/>
    <w:semiHidden/>
    <w:rsid w:val="007A0581"/>
    <w:pPr>
      <w:widowControl w:val="0"/>
      <w:tabs>
        <w:tab w:val="left" w:pos="567"/>
      </w:tabs>
    </w:pPr>
  </w:style>
  <w:style w:type="character" w:customStyle="1" w:styleId="EndnoteTextChar">
    <w:name w:val="Endnote Text Char"/>
    <w:link w:val="EndnoteText"/>
    <w:semiHidden/>
    <w:locked/>
    <w:rsid w:val="000C455D"/>
    <w:rPr>
      <w:rFonts w:cs="Times New Roman"/>
      <w:sz w:val="20"/>
      <w:szCs w:val="20"/>
      <w:lang w:val="x-none" w:eastAsia="ja-JP"/>
    </w:rPr>
  </w:style>
  <w:style w:type="character" w:styleId="EndnoteReference">
    <w:name w:val="endnote reference"/>
    <w:semiHidden/>
    <w:rsid w:val="007A0581"/>
    <w:rPr>
      <w:rFonts w:cs="Times New Roman"/>
      <w:vertAlign w:val="superscript"/>
    </w:rPr>
  </w:style>
  <w:style w:type="paragraph" w:styleId="Header">
    <w:name w:val="header"/>
    <w:basedOn w:val="Normal"/>
    <w:link w:val="HeaderChar"/>
    <w:rsid w:val="00DE308F"/>
    <w:pPr>
      <w:tabs>
        <w:tab w:val="center" w:pos="4536"/>
        <w:tab w:val="right" w:pos="9072"/>
      </w:tabs>
    </w:pPr>
  </w:style>
  <w:style w:type="character" w:customStyle="1" w:styleId="HeaderChar">
    <w:name w:val="Header Char"/>
    <w:link w:val="Header"/>
    <w:semiHidden/>
    <w:locked/>
    <w:rsid w:val="000C455D"/>
    <w:rPr>
      <w:rFonts w:cs="Times New Roman"/>
      <w:sz w:val="20"/>
      <w:szCs w:val="20"/>
      <w:lang w:val="x-none" w:eastAsia="ja-JP"/>
    </w:rPr>
  </w:style>
  <w:style w:type="paragraph" w:styleId="Footer">
    <w:name w:val="footer"/>
    <w:basedOn w:val="Normal"/>
    <w:link w:val="FooterChar"/>
    <w:rsid w:val="00DE308F"/>
    <w:rPr>
      <w:rFonts w:ascii="Arial" w:hAnsi="Arial"/>
      <w:sz w:val="16"/>
    </w:rPr>
  </w:style>
  <w:style w:type="character" w:customStyle="1" w:styleId="FooterChar">
    <w:name w:val="Footer Char"/>
    <w:link w:val="Footer"/>
    <w:semiHidden/>
    <w:locked/>
    <w:rsid w:val="000C455D"/>
    <w:rPr>
      <w:rFonts w:cs="Times New Roman"/>
      <w:sz w:val="20"/>
      <w:szCs w:val="20"/>
      <w:lang w:val="x-none" w:eastAsia="ja-JP"/>
    </w:rPr>
  </w:style>
  <w:style w:type="character" w:styleId="PageNumber">
    <w:name w:val="page number"/>
    <w:rsid w:val="00DE308F"/>
    <w:rPr>
      <w:rFonts w:ascii="Arial" w:hAnsi="Arial" w:cs="Times New Roman"/>
      <w:noProof/>
      <w:sz w:val="16"/>
    </w:rPr>
  </w:style>
  <w:style w:type="paragraph" w:styleId="BodyText">
    <w:name w:val="Body Text"/>
    <w:basedOn w:val="Normal"/>
    <w:link w:val="BodyTextChar"/>
    <w:rsid w:val="007A0581"/>
    <w:pPr>
      <w:suppressAutoHyphens/>
      <w:ind w:right="14"/>
      <w:jc w:val="both"/>
    </w:pPr>
    <w:rPr>
      <w:b/>
      <w:noProof/>
    </w:rPr>
  </w:style>
  <w:style w:type="character" w:customStyle="1" w:styleId="BodyTextChar">
    <w:name w:val="Body Text Char"/>
    <w:link w:val="BodyText"/>
    <w:semiHidden/>
    <w:locked/>
    <w:rsid w:val="000C455D"/>
    <w:rPr>
      <w:rFonts w:cs="Times New Roman"/>
      <w:sz w:val="20"/>
      <w:szCs w:val="20"/>
      <w:lang w:val="x-none" w:eastAsia="ja-JP"/>
    </w:rPr>
  </w:style>
  <w:style w:type="paragraph" w:customStyle="1" w:styleId="EmeaHeading">
    <w:name w:val="Emea Heading"/>
    <w:basedOn w:val="Normal"/>
    <w:rsid w:val="007A0581"/>
    <w:pPr>
      <w:framePr w:wrap="notBeside" w:vAnchor="text" w:hAnchor="text" w:y="1"/>
      <w:widowControl w:val="0"/>
      <w:shd w:val="solid" w:color="C0C0C0" w:fill="auto"/>
    </w:pPr>
    <w:rPr>
      <w:lang w:val="en-GB"/>
    </w:rPr>
  </w:style>
  <w:style w:type="paragraph" w:styleId="BodyText2">
    <w:name w:val="Body Text 2"/>
    <w:basedOn w:val="Normal"/>
    <w:link w:val="BodyText2Char"/>
    <w:rsid w:val="007A0581"/>
    <w:pPr>
      <w:suppressAutoHyphens/>
    </w:pPr>
  </w:style>
  <w:style w:type="character" w:customStyle="1" w:styleId="BodyText2Char">
    <w:name w:val="Body Text 2 Char"/>
    <w:link w:val="BodyText2"/>
    <w:semiHidden/>
    <w:locked/>
    <w:rsid w:val="000C455D"/>
    <w:rPr>
      <w:rFonts w:cs="Times New Roman"/>
      <w:sz w:val="20"/>
      <w:szCs w:val="20"/>
      <w:lang w:val="x-none" w:eastAsia="ja-JP"/>
    </w:rPr>
  </w:style>
  <w:style w:type="character" w:styleId="CommentReference">
    <w:name w:val="annotation reference"/>
    <w:uiPriority w:val="99"/>
    <w:rsid w:val="007A0581"/>
    <w:rPr>
      <w:rFonts w:cs="Times New Roman"/>
      <w:sz w:val="16"/>
    </w:rPr>
  </w:style>
  <w:style w:type="paragraph" w:styleId="CommentText">
    <w:name w:val="annotation text"/>
    <w:basedOn w:val="Normal"/>
    <w:link w:val="CommentTextChar"/>
    <w:uiPriority w:val="99"/>
    <w:semiHidden/>
    <w:rsid w:val="007A0581"/>
    <w:pPr>
      <w:tabs>
        <w:tab w:val="left" w:pos="567"/>
      </w:tabs>
      <w:spacing w:line="260" w:lineRule="exact"/>
    </w:pPr>
    <w:rPr>
      <w:lang w:val="en-GB"/>
    </w:rPr>
  </w:style>
  <w:style w:type="character" w:customStyle="1" w:styleId="CommentTextChar">
    <w:name w:val="Comment Text Char"/>
    <w:link w:val="CommentText"/>
    <w:uiPriority w:val="99"/>
    <w:semiHidden/>
    <w:locked/>
    <w:rsid w:val="003D6149"/>
    <w:rPr>
      <w:rFonts w:cs="Times New Roman"/>
      <w:sz w:val="22"/>
      <w:lang w:val="en-GB" w:eastAsia="ja-JP"/>
    </w:rPr>
  </w:style>
  <w:style w:type="paragraph" w:styleId="BlockText">
    <w:name w:val="Block Text"/>
    <w:basedOn w:val="Normal"/>
    <w:rsid w:val="007A0581"/>
    <w:pPr>
      <w:tabs>
        <w:tab w:val="left" w:pos="2657"/>
      </w:tabs>
      <w:spacing w:before="120"/>
      <w:ind w:left="-37" w:right="-28"/>
    </w:pPr>
    <w:rPr>
      <w:lang w:val="en-GB"/>
    </w:rPr>
  </w:style>
  <w:style w:type="paragraph" w:styleId="BodyText3">
    <w:name w:val="Body Text 3"/>
    <w:basedOn w:val="Normal"/>
    <w:link w:val="BodyText3Char"/>
    <w:rsid w:val="007A0581"/>
    <w:pPr>
      <w:numPr>
        <w:ilvl w:val="12"/>
      </w:numPr>
      <w:shd w:val="pct25" w:color="000000" w:fill="FFFFFF"/>
      <w:suppressAutoHyphens/>
    </w:pPr>
    <w:rPr>
      <w:i/>
    </w:rPr>
  </w:style>
  <w:style w:type="character" w:customStyle="1" w:styleId="BodyText3Char">
    <w:name w:val="Body Text 3 Char"/>
    <w:link w:val="BodyText3"/>
    <w:semiHidden/>
    <w:locked/>
    <w:rsid w:val="000C455D"/>
    <w:rPr>
      <w:rFonts w:cs="Times New Roman"/>
      <w:sz w:val="16"/>
      <w:szCs w:val="16"/>
      <w:lang w:val="x-none" w:eastAsia="ja-JP"/>
    </w:rPr>
  </w:style>
  <w:style w:type="paragraph" w:customStyle="1" w:styleId="Annex">
    <w:name w:val="Annex"/>
    <w:basedOn w:val="Normal"/>
    <w:next w:val="Normal"/>
    <w:rsid w:val="00DE308F"/>
    <w:pPr>
      <w:jc w:val="center"/>
    </w:pPr>
    <w:rPr>
      <w:b/>
    </w:rPr>
  </w:style>
  <w:style w:type="paragraph" w:customStyle="1" w:styleId="Description">
    <w:name w:val="Description"/>
    <w:basedOn w:val="Normal"/>
    <w:next w:val="Normal"/>
    <w:rsid w:val="00DE308F"/>
  </w:style>
  <w:style w:type="paragraph" w:customStyle="1" w:styleId="HangingIndent">
    <w:name w:val="HangingIndent"/>
    <w:basedOn w:val="Normal"/>
    <w:rsid w:val="007A0581"/>
    <w:pPr>
      <w:ind w:left="567" w:hanging="567"/>
    </w:pPr>
  </w:style>
  <w:style w:type="character" w:styleId="Hyperlink">
    <w:name w:val="Hyperlink"/>
    <w:rsid w:val="007A0581"/>
    <w:rPr>
      <w:rFonts w:cs="Times New Roman"/>
      <w:color w:val="0000FF"/>
      <w:u w:val="single"/>
    </w:rPr>
  </w:style>
  <w:style w:type="paragraph" w:styleId="BalloonText">
    <w:name w:val="Balloon Text"/>
    <w:basedOn w:val="Normal"/>
    <w:link w:val="BalloonTextChar"/>
    <w:semiHidden/>
    <w:rsid w:val="007A0581"/>
    <w:rPr>
      <w:rFonts w:ascii="Tahoma" w:hAnsi="Tahoma" w:cs="Tahoma"/>
      <w:sz w:val="16"/>
      <w:szCs w:val="16"/>
    </w:rPr>
  </w:style>
  <w:style w:type="character" w:customStyle="1" w:styleId="BalloonTextChar">
    <w:name w:val="Balloon Text Char"/>
    <w:link w:val="BalloonText"/>
    <w:semiHidden/>
    <w:locked/>
    <w:rsid w:val="000C455D"/>
    <w:rPr>
      <w:rFonts w:cs="Times New Roman"/>
      <w:sz w:val="2"/>
      <w:lang w:val="x-none" w:eastAsia="ja-JP"/>
    </w:rPr>
  </w:style>
  <w:style w:type="paragraph" w:customStyle="1" w:styleId="TextTi10">
    <w:name w:val="Text:Ti10"/>
    <w:basedOn w:val="Normal"/>
    <w:rsid w:val="007A0581"/>
    <w:rPr>
      <w:sz w:val="20"/>
    </w:rPr>
  </w:style>
  <w:style w:type="paragraph" w:customStyle="1" w:styleId="TableCellCenter">
    <w:name w:val="Table Cell Center"/>
    <w:basedOn w:val="Normal"/>
    <w:rsid w:val="007A0581"/>
    <w:pPr>
      <w:keepNext/>
      <w:keepLines/>
      <w:spacing w:before="50" w:after="50" w:line="240" w:lineRule="exact"/>
      <w:jc w:val="center"/>
    </w:pPr>
    <w:rPr>
      <w:sz w:val="20"/>
      <w:lang w:eastAsia="da-DK"/>
    </w:rPr>
  </w:style>
  <w:style w:type="paragraph" w:customStyle="1" w:styleId="TableCellLeft">
    <w:name w:val="Table Cell Left"/>
    <w:basedOn w:val="Normal"/>
    <w:rsid w:val="007A0581"/>
    <w:pPr>
      <w:keepNext/>
      <w:keepLines/>
      <w:spacing w:before="50" w:after="50" w:line="240" w:lineRule="exact"/>
    </w:pPr>
    <w:rPr>
      <w:sz w:val="20"/>
      <w:lang w:eastAsia="da-DK"/>
    </w:rPr>
  </w:style>
  <w:style w:type="paragraph" w:customStyle="1" w:styleId="TableCellHead">
    <w:name w:val="Table Cell Head"/>
    <w:basedOn w:val="Normal"/>
    <w:next w:val="Normal"/>
    <w:rsid w:val="007A0581"/>
    <w:pPr>
      <w:keepNext/>
      <w:keepLines/>
      <w:spacing w:before="100" w:line="240" w:lineRule="exact"/>
    </w:pPr>
    <w:rPr>
      <w:sz w:val="20"/>
      <w:u w:val="single"/>
      <w:lang w:eastAsia="da-DK"/>
    </w:rPr>
  </w:style>
  <w:style w:type="paragraph" w:customStyle="1" w:styleId="TableFooter">
    <w:name w:val="Table Footer"/>
    <w:basedOn w:val="Normal"/>
    <w:rsid w:val="007A0581"/>
    <w:pPr>
      <w:keepNext/>
      <w:keepLines/>
      <w:tabs>
        <w:tab w:val="right" w:pos="144"/>
      </w:tabs>
      <w:spacing w:before="60" w:line="240" w:lineRule="exact"/>
      <w:ind w:left="216" w:hanging="216"/>
    </w:pPr>
    <w:rPr>
      <w:sz w:val="20"/>
      <w:lang w:eastAsia="da-DK"/>
    </w:rPr>
  </w:style>
  <w:style w:type="paragraph" w:customStyle="1" w:styleId="TextTi12CharCharChar">
    <w:name w:val="Text:Ti12 Char Char Char"/>
    <w:basedOn w:val="Normal"/>
    <w:rsid w:val="007A0581"/>
    <w:pPr>
      <w:spacing w:after="170" w:line="280" w:lineRule="atLeast"/>
      <w:jc w:val="both"/>
    </w:pPr>
    <w:rPr>
      <w:sz w:val="24"/>
    </w:rPr>
  </w:style>
  <w:style w:type="paragraph" w:customStyle="1" w:styleId="TextTi12">
    <w:name w:val="Text:Ti12"/>
    <w:basedOn w:val="Normal"/>
    <w:rsid w:val="007A0581"/>
    <w:pPr>
      <w:spacing w:after="170" w:line="280" w:lineRule="atLeast"/>
      <w:jc w:val="both"/>
    </w:pPr>
    <w:rPr>
      <w:sz w:val="24"/>
    </w:rPr>
  </w:style>
  <w:style w:type="paragraph" w:customStyle="1" w:styleId="AnnexHeading">
    <w:name w:val="Annex Heading"/>
    <w:basedOn w:val="Normal"/>
    <w:next w:val="Normal"/>
    <w:rsid w:val="00DE308F"/>
    <w:pPr>
      <w:ind w:left="567" w:hanging="567"/>
    </w:pPr>
    <w:rPr>
      <w:b/>
    </w:rPr>
  </w:style>
  <w:style w:type="character" w:customStyle="1" w:styleId="TextTi12Char2">
    <w:name w:val="Text:Ti12 Char2"/>
    <w:rsid w:val="007A0581"/>
    <w:rPr>
      <w:sz w:val="24"/>
      <w:lang w:val="en-US" w:eastAsia="ja-JP"/>
    </w:rPr>
  </w:style>
  <w:style w:type="paragraph" w:customStyle="1" w:styleId="HdTab1">
    <w:name w:val="Hd:Tab:1"/>
    <w:basedOn w:val="Caption"/>
    <w:next w:val="TextTi12"/>
    <w:rsid w:val="007A0581"/>
    <w:pPr>
      <w:keepNext/>
      <w:spacing w:before="113" w:after="57" w:line="280" w:lineRule="atLeast"/>
      <w:ind w:left="1701" w:hanging="1701"/>
      <w:outlineLvl w:val="4"/>
    </w:pPr>
    <w:rPr>
      <w:rFonts w:ascii="Arial" w:hAnsi="Arial"/>
      <w:bCs w:val="0"/>
      <w:sz w:val="24"/>
      <w:lang w:val="en-GB"/>
    </w:rPr>
  </w:style>
  <w:style w:type="paragraph" w:styleId="Caption">
    <w:name w:val="caption"/>
    <w:basedOn w:val="Normal"/>
    <w:next w:val="Normal"/>
    <w:qFormat/>
    <w:rsid w:val="007A0581"/>
    <w:rPr>
      <w:b/>
      <w:bCs/>
      <w:sz w:val="20"/>
    </w:rPr>
  </w:style>
  <w:style w:type="character" w:customStyle="1" w:styleId="HdTab1Char">
    <w:name w:val="Hd:Tab:1 Char"/>
    <w:rsid w:val="007A0581"/>
    <w:rPr>
      <w:rFonts w:ascii="Arial" w:hAnsi="Arial"/>
      <w:b/>
      <w:sz w:val="24"/>
      <w:lang w:val="en-GB" w:eastAsia="ja-JP"/>
    </w:rPr>
  </w:style>
  <w:style w:type="character" w:customStyle="1" w:styleId="EmailStyle451">
    <w:name w:val="EmailStyle451"/>
    <w:semiHidden/>
    <w:rsid w:val="007A0581"/>
    <w:rPr>
      <w:rFonts w:ascii="Arial" w:hAnsi="Arial"/>
      <w:color w:val="000080"/>
      <w:sz w:val="20"/>
    </w:rPr>
  </w:style>
  <w:style w:type="character" w:styleId="Emphasis">
    <w:name w:val="Emphasis"/>
    <w:qFormat/>
    <w:rsid w:val="007A0581"/>
    <w:rPr>
      <w:rFonts w:cs="Times New Roman"/>
      <w:i/>
    </w:rPr>
  </w:style>
  <w:style w:type="paragraph" w:styleId="CommentSubject">
    <w:name w:val="annotation subject"/>
    <w:basedOn w:val="CommentText"/>
    <w:next w:val="CommentText"/>
    <w:link w:val="CommentSubjectChar"/>
    <w:semiHidden/>
    <w:rsid w:val="007A0581"/>
    <w:pPr>
      <w:tabs>
        <w:tab w:val="clear" w:pos="567"/>
      </w:tabs>
      <w:spacing w:line="240" w:lineRule="auto"/>
    </w:pPr>
    <w:rPr>
      <w:b/>
      <w:bCs/>
      <w:sz w:val="20"/>
      <w:lang w:val="en-US"/>
    </w:rPr>
  </w:style>
  <w:style w:type="character" w:customStyle="1" w:styleId="CommentSubjectChar">
    <w:name w:val="Comment Subject Char"/>
    <w:link w:val="CommentSubject"/>
    <w:semiHidden/>
    <w:locked/>
    <w:rsid w:val="000C455D"/>
    <w:rPr>
      <w:rFonts w:cs="Times New Roman"/>
      <w:b/>
      <w:bCs/>
      <w:sz w:val="20"/>
      <w:szCs w:val="20"/>
      <w:lang w:val="en-GB" w:eastAsia="ja-JP"/>
    </w:rPr>
  </w:style>
  <w:style w:type="character" w:customStyle="1" w:styleId="Initial">
    <w:name w:val="Initial"/>
    <w:rsid w:val="007A0581"/>
    <w:rPr>
      <w:rFonts w:ascii="CG Times" w:hAnsi="CG Times"/>
      <w:sz w:val="24"/>
      <w:lang w:val="en-US" w:eastAsia="x-none"/>
    </w:rPr>
  </w:style>
  <w:style w:type="character" w:customStyle="1" w:styleId="CharChar">
    <w:name w:val="Char Char"/>
    <w:semiHidden/>
    <w:rsid w:val="007A0581"/>
    <w:rPr>
      <w:sz w:val="22"/>
      <w:lang w:val="en-GB" w:eastAsia="ja-JP"/>
    </w:rPr>
  </w:style>
  <w:style w:type="character" w:customStyle="1" w:styleId="CarcterCarcter26">
    <w:name w:val="Carácter Carácter26"/>
    <w:semiHidden/>
    <w:rsid w:val="007A0581"/>
    <w:rPr>
      <w:sz w:val="24"/>
      <w:lang w:val="pt-PT" w:eastAsia="fr-FR"/>
    </w:rPr>
  </w:style>
  <w:style w:type="paragraph" w:styleId="DocumentMap">
    <w:name w:val="Document Map"/>
    <w:basedOn w:val="Normal"/>
    <w:link w:val="DocumentMapChar"/>
    <w:semiHidden/>
    <w:rsid w:val="007A0581"/>
    <w:pPr>
      <w:shd w:val="clear" w:color="auto" w:fill="000080"/>
    </w:pPr>
    <w:rPr>
      <w:rFonts w:ascii="Tahoma" w:hAnsi="Tahoma" w:cs="Tahoma"/>
      <w:sz w:val="20"/>
    </w:rPr>
  </w:style>
  <w:style w:type="character" w:customStyle="1" w:styleId="DocumentMapChar">
    <w:name w:val="Document Map Char"/>
    <w:link w:val="DocumentMap"/>
    <w:semiHidden/>
    <w:locked/>
    <w:rsid w:val="000C455D"/>
    <w:rPr>
      <w:rFonts w:cs="Times New Roman"/>
      <w:sz w:val="2"/>
      <w:lang w:val="x-none" w:eastAsia="ja-JP"/>
    </w:rPr>
  </w:style>
  <w:style w:type="paragraph" w:customStyle="1" w:styleId="textti120">
    <w:name w:val="textti12"/>
    <w:basedOn w:val="Normal"/>
    <w:rsid w:val="007A0581"/>
    <w:pPr>
      <w:spacing w:after="170" w:line="280" w:lineRule="atLeast"/>
      <w:jc w:val="both"/>
    </w:pPr>
    <w:rPr>
      <w:rFonts w:eastAsia="SimSun"/>
      <w:sz w:val="24"/>
      <w:szCs w:val="24"/>
      <w:lang w:eastAsia="zh-CN"/>
    </w:rPr>
  </w:style>
  <w:style w:type="table" w:styleId="TableGrid">
    <w:name w:val="Table Grid"/>
    <w:basedOn w:val="TableNormal"/>
    <w:rsid w:val="0038034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D2E40"/>
    <w:pPr>
      <w:spacing w:before="100" w:beforeAutospacing="1" w:after="100" w:afterAutospacing="1"/>
    </w:pPr>
    <w:rPr>
      <w:rFonts w:eastAsia="SimSun"/>
      <w:sz w:val="24"/>
      <w:szCs w:val="24"/>
      <w:lang w:eastAsia="zh-CN"/>
    </w:rPr>
  </w:style>
  <w:style w:type="table" w:customStyle="1" w:styleId="TableGrid1">
    <w:name w:val="Table Grid1"/>
    <w:rsid w:val="009D2E40"/>
    <w:pPr>
      <w:spacing w:line="280" w:lineRule="atLeast"/>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10">
    <w:name w:val="TableText:10"/>
    <w:basedOn w:val="Normal"/>
    <w:link w:val="TableText10Char"/>
    <w:rsid w:val="009D2E40"/>
    <w:rPr>
      <w:sz w:val="20"/>
    </w:rPr>
  </w:style>
  <w:style w:type="character" w:customStyle="1" w:styleId="TableText10Char">
    <w:name w:val="TableText:10 Char"/>
    <w:link w:val="TableText10"/>
    <w:locked/>
    <w:rsid w:val="009D2E40"/>
    <w:rPr>
      <w:lang w:val="en-US" w:eastAsia="ja-JP"/>
    </w:rPr>
  </w:style>
  <w:style w:type="table" w:customStyle="1" w:styleId="TableGrid2">
    <w:name w:val="Table Grid2"/>
    <w:rsid w:val="001A5EBF"/>
    <w:pPr>
      <w:spacing w:line="280" w:lineRule="atLeast"/>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FigNote">
    <w:name w:val="TabFig Note"/>
    <w:basedOn w:val="Normal"/>
    <w:rsid w:val="001F3EE8"/>
    <w:pPr>
      <w:keepNext/>
      <w:keepLines/>
      <w:spacing w:before="40" w:line="240" w:lineRule="exact"/>
      <w:ind w:left="29"/>
    </w:pPr>
    <w:rPr>
      <w:rFonts w:ascii="Arial" w:eastAsia="SimSun" w:hAnsi="Arial"/>
      <w:sz w:val="20"/>
      <w:szCs w:val="24"/>
      <w:lang w:eastAsia="zh-CN"/>
    </w:rPr>
  </w:style>
  <w:style w:type="paragraph" w:styleId="Revision">
    <w:name w:val="Revision"/>
    <w:hidden/>
    <w:semiHidden/>
    <w:rsid w:val="00CF10E5"/>
    <w:rPr>
      <w:sz w:val="22"/>
      <w:lang w:eastAsia="ja-JP"/>
    </w:rPr>
  </w:style>
  <w:style w:type="paragraph" w:customStyle="1" w:styleId="TableText12">
    <w:name w:val="TableText:12"/>
    <w:basedOn w:val="Normal"/>
    <w:link w:val="TableText12Char"/>
    <w:rsid w:val="00E16015"/>
    <w:rPr>
      <w:rFonts w:eastAsia="MS Mincho"/>
      <w:sz w:val="24"/>
    </w:rPr>
  </w:style>
  <w:style w:type="character" w:customStyle="1" w:styleId="TableText12Char">
    <w:name w:val="TableText:12 Char"/>
    <w:link w:val="TableText12"/>
    <w:locked/>
    <w:rsid w:val="00E16015"/>
    <w:rPr>
      <w:rFonts w:eastAsia="MS Mincho"/>
      <w:sz w:val="24"/>
      <w:lang w:val="en-US" w:eastAsia="ja-JP"/>
    </w:rPr>
  </w:style>
  <w:style w:type="paragraph" w:customStyle="1" w:styleId="HangingIndent0">
    <w:name w:val="Hanging Indent"/>
    <w:basedOn w:val="Normal"/>
    <w:rsid w:val="00DE308F"/>
    <w:pPr>
      <w:ind w:left="567" w:hanging="567"/>
    </w:pPr>
  </w:style>
  <w:style w:type="character" w:styleId="FollowedHyperlink">
    <w:name w:val="FollowedHyperlink"/>
    <w:rsid w:val="00E93194"/>
    <w:rPr>
      <w:rFonts w:cs="Times New Roman"/>
      <w:noProof/>
      <w:color w:val="800080"/>
      <w:u w:val="single"/>
    </w:rPr>
  </w:style>
  <w:style w:type="paragraph" w:customStyle="1" w:styleId="TableCell10Center">
    <w:name w:val="Table Cell 10 Center"/>
    <w:basedOn w:val="TableCell10Left"/>
    <w:rsid w:val="00B13671"/>
    <w:pPr>
      <w:jc w:val="center"/>
    </w:pPr>
  </w:style>
  <w:style w:type="paragraph" w:customStyle="1" w:styleId="TableCell10Left">
    <w:name w:val="Table Cell 10 Left"/>
    <w:basedOn w:val="Normal"/>
    <w:rsid w:val="00B13671"/>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TabFigNote"/>
    <w:link w:val="TabFigFooterChar"/>
    <w:rsid w:val="00452D98"/>
    <w:pPr>
      <w:ind w:left="245" w:hanging="216"/>
    </w:pPr>
  </w:style>
  <w:style w:type="character" w:customStyle="1" w:styleId="TabFigFooterChar">
    <w:name w:val="TabFig Footer Char"/>
    <w:link w:val="TabFigFooter"/>
    <w:locked/>
    <w:rsid w:val="00452D98"/>
    <w:rPr>
      <w:rFonts w:ascii="Arial" w:eastAsia="SimSun" w:hAnsi="Arial"/>
      <w:szCs w:val="24"/>
      <w:lang w:eastAsia="zh-CN"/>
    </w:rPr>
  </w:style>
  <w:style w:type="character" w:customStyle="1" w:styleId="apple-converted-space">
    <w:name w:val="apple-converted-space"/>
    <w:rsid w:val="00A337F6"/>
  </w:style>
  <w:style w:type="paragraph" w:styleId="ListParagraph">
    <w:name w:val="List Paragraph"/>
    <w:basedOn w:val="Normal"/>
    <w:uiPriority w:val="34"/>
    <w:qFormat/>
    <w:rsid w:val="008F7E5E"/>
    <w:pPr>
      <w:ind w:left="720"/>
    </w:pPr>
  </w:style>
  <w:style w:type="paragraph" w:styleId="Bibliography">
    <w:name w:val="Bibliography"/>
    <w:basedOn w:val="Normal"/>
    <w:next w:val="Normal"/>
    <w:uiPriority w:val="37"/>
    <w:semiHidden/>
    <w:unhideWhenUsed/>
    <w:rsid w:val="00CB18D9"/>
  </w:style>
  <w:style w:type="paragraph" w:styleId="BodyTextFirstIndent">
    <w:name w:val="Body Text First Indent"/>
    <w:basedOn w:val="BodyText"/>
    <w:link w:val="BodyTextFirstIndentChar"/>
    <w:locked/>
    <w:rsid w:val="00CB18D9"/>
    <w:pPr>
      <w:suppressAutoHyphens w:val="0"/>
      <w:spacing w:after="120"/>
      <w:ind w:right="0" w:firstLine="210"/>
      <w:jc w:val="left"/>
    </w:pPr>
    <w:rPr>
      <w:b w:val="0"/>
      <w:noProof w:val="0"/>
    </w:rPr>
  </w:style>
  <w:style w:type="character" w:customStyle="1" w:styleId="BodyTextFirstIndentChar">
    <w:name w:val="Body Text First Indent Char"/>
    <w:link w:val="BodyTextFirstIndent"/>
    <w:rsid w:val="00CB18D9"/>
    <w:rPr>
      <w:rFonts w:cs="Times New Roman"/>
      <w:sz w:val="22"/>
      <w:szCs w:val="20"/>
      <w:lang w:val="x-none" w:eastAsia="ja-JP"/>
    </w:rPr>
  </w:style>
  <w:style w:type="paragraph" w:styleId="BodyTextIndent">
    <w:name w:val="Body Text Indent"/>
    <w:basedOn w:val="Normal"/>
    <w:link w:val="BodyTextIndentChar"/>
    <w:locked/>
    <w:rsid w:val="00CB18D9"/>
    <w:pPr>
      <w:spacing w:after="120"/>
      <w:ind w:left="360"/>
    </w:pPr>
  </w:style>
  <w:style w:type="character" w:customStyle="1" w:styleId="BodyTextIndentChar">
    <w:name w:val="Body Text Indent Char"/>
    <w:link w:val="BodyTextIndent"/>
    <w:rsid w:val="00CB18D9"/>
    <w:rPr>
      <w:sz w:val="22"/>
      <w:lang w:eastAsia="ja-JP"/>
    </w:rPr>
  </w:style>
  <w:style w:type="paragraph" w:styleId="BodyTextFirstIndent2">
    <w:name w:val="Body Text First Indent 2"/>
    <w:basedOn w:val="BodyTextIndent"/>
    <w:link w:val="BodyTextFirstIndent2Char"/>
    <w:locked/>
    <w:rsid w:val="00CB18D9"/>
    <w:pPr>
      <w:ind w:firstLine="210"/>
    </w:pPr>
  </w:style>
  <w:style w:type="character" w:customStyle="1" w:styleId="BodyTextFirstIndent2Char">
    <w:name w:val="Body Text First Indent 2 Char"/>
    <w:basedOn w:val="BodyTextIndentChar"/>
    <w:link w:val="BodyTextFirstIndent2"/>
    <w:rsid w:val="00CB18D9"/>
    <w:rPr>
      <w:sz w:val="22"/>
      <w:lang w:eastAsia="ja-JP"/>
    </w:rPr>
  </w:style>
  <w:style w:type="paragraph" w:styleId="BodyTextIndent2">
    <w:name w:val="Body Text Indent 2"/>
    <w:basedOn w:val="Normal"/>
    <w:link w:val="BodyTextIndent2Char"/>
    <w:locked/>
    <w:rsid w:val="00CB18D9"/>
    <w:pPr>
      <w:spacing w:after="120" w:line="480" w:lineRule="auto"/>
      <w:ind w:left="360"/>
    </w:pPr>
  </w:style>
  <w:style w:type="character" w:customStyle="1" w:styleId="BodyTextIndent2Char">
    <w:name w:val="Body Text Indent 2 Char"/>
    <w:link w:val="BodyTextIndent2"/>
    <w:rsid w:val="00CB18D9"/>
    <w:rPr>
      <w:sz w:val="22"/>
      <w:lang w:eastAsia="ja-JP"/>
    </w:rPr>
  </w:style>
  <w:style w:type="paragraph" w:styleId="BodyTextIndent3">
    <w:name w:val="Body Text Indent 3"/>
    <w:basedOn w:val="Normal"/>
    <w:link w:val="BodyTextIndent3Char"/>
    <w:locked/>
    <w:rsid w:val="00CB18D9"/>
    <w:pPr>
      <w:spacing w:after="120"/>
      <w:ind w:left="360"/>
    </w:pPr>
    <w:rPr>
      <w:sz w:val="16"/>
      <w:szCs w:val="16"/>
    </w:rPr>
  </w:style>
  <w:style w:type="character" w:customStyle="1" w:styleId="BodyTextIndent3Char">
    <w:name w:val="Body Text Indent 3 Char"/>
    <w:link w:val="BodyTextIndent3"/>
    <w:rsid w:val="00CB18D9"/>
    <w:rPr>
      <w:sz w:val="16"/>
      <w:szCs w:val="16"/>
      <w:lang w:eastAsia="ja-JP"/>
    </w:rPr>
  </w:style>
  <w:style w:type="paragraph" w:styleId="Closing">
    <w:name w:val="Closing"/>
    <w:basedOn w:val="Normal"/>
    <w:link w:val="ClosingChar"/>
    <w:locked/>
    <w:rsid w:val="00CB18D9"/>
    <w:pPr>
      <w:ind w:left="4320"/>
    </w:pPr>
  </w:style>
  <w:style w:type="character" w:customStyle="1" w:styleId="ClosingChar">
    <w:name w:val="Closing Char"/>
    <w:link w:val="Closing"/>
    <w:rsid w:val="00CB18D9"/>
    <w:rPr>
      <w:sz w:val="22"/>
      <w:lang w:eastAsia="ja-JP"/>
    </w:rPr>
  </w:style>
  <w:style w:type="paragraph" w:styleId="Date">
    <w:name w:val="Date"/>
    <w:basedOn w:val="Normal"/>
    <w:next w:val="Normal"/>
    <w:link w:val="DateChar"/>
    <w:locked/>
    <w:rsid w:val="00CB18D9"/>
  </w:style>
  <w:style w:type="character" w:customStyle="1" w:styleId="DateChar">
    <w:name w:val="Date Char"/>
    <w:link w:val="Date"/>
    <w:rsid w:val="00CB18D9"/>
    <w:rPr>
      <w:sz w:val="22"/>
      <w:lang w:eastAsia="ja-JP"/>
    </w:rPr>
  </w:style>
  <w:style w:type="paragraph" w:styleId="E-mailSignature">
    <w:name w:val="E-mail Signature"/>
    <w:basedOn w:val="Normal"/>
    <w:link w:val="E-mailSignatureChar"/>
    <w:locked/>
    <w:rsid w:val="00CB18D9"/>
  </w:style>
  <w:style w:type="character" w:customStyle="1" w:styleId="E-mailSignatureChar">
    <w:name w:val="E-mail Signature Char"/>
    <w:link w:val="E-mailSignature"/>
    <w:rsid w:val="00CB18D9"/>
    <w:rPr>
      <w:sz w:val="22"/>
      <w:lang w:eastAsia="ja-JP"/>
    </w:rPr>
  </w:style>
  <w:style w:type="paragraph" w:styleId="EnvelopeAddress">
    <w:name w:val="envelope address"/>
    <w:basedOn w:val="Normal"/>
    <w:locked/>
    <w:rsid w:val="00CB18D9"/>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locked/>
    <w:rsid w:val="00CB18D9"/>
    <w:rPr>
      <w:rFonts w:ascii="Cambria" w:eastAsia="Times New Roman" w:hAnsi="Cambria"/>
      <w:sz w:val="20"/>
    </w:rPr>
  </w:style>
  <w:style w:type="paragraph" w:styleId="FootnoteText">
    <w:name w:val="footnote text"/>
    <w:basedOn w:val="Normal"/>
    <w:link w:val="FootnoteTextChar"/>
    <w:locked/>
    <w:rsid w:val="00CB18D9"/>
    <w:rPr>
      <w:sz w:val="20"/>
    </w:rPr>
  </w:style>
  <w:style w:type="character" w:customStyle="1" w:styleId="FootnoteTextChar">
    <w:name w:val="Footnote Text Char"/>
    <w:link w:val="FootnoteText"/>
    <w:rsid w:val="00CB18D9"/>
    <w:rPr>
      <w:lang w:eastAsia="ja-JP"/>
    </w:rPr>
  </w:style>
  <w:style w:type="paragraph" w:styleId="HTMLAddress">
    <w:name w:val="HTML Address"/>
    <w:basedOn w:val="Normal"/>
    <w:link w:val="HTMLAddressChar"/>
    <w:locked/>
    <w:rsid w:val="00CB18D9"/>
    <w:rPr>
      <w:i/>
      <w:iCs/>
    </w:rPr>
  </w:style>
  <w:style w:type="character" w:customStyle="1" w:styleId="HTMLAddressChar">
    <w:name w:val="HTML Address Char"/>
    <w:link w:val="HTMLAddress"/>
    <w:rsid w:val="00CB18D9"/>
    <w:rPr>
      <w:i/>
      <w:iCs/>
      <w:sz w:val="22"/>
      <w:lang w:eastAsia="ja-JP"/>
    </w:rPr>
  </w:style>
  <w:style w:type="paragraph" w:styleId="HTMLPreformatted">
    <w:name w:val="HTML Preformatted"/>
    <w:basedOn w:val="Normal"/>
    <w:link w:val="HTMLPreformattedChar"/>
    <w:locked/>
    <w:rsid w:val="00CB18D9"/>
    <w:rPr>
      <w:rFonts w:ascii="Courier New" w:hAnsi="Courier New" w:cs="Courier New"/>
      <w:sz w:val="20"/>
    </w:rPr>
  </w:style>
  <w:style w:type="character" w:customStyle="1" w:styleId="HTMLPreformattedChar">
    <w:name w:val="HTML Preformatted Char"/>
    <w:link w:val="HTMLPreformatted"/>
    <w:rsid w:val="00CB18D9"/>
    <w:rPr>
      <w:rFonts w:ascii="Courier New" w:hAnsi="Courier New" w:cs="Courier New"/>
      <w:lang w:eastAsia="ja-JP"/>
    </w:rPr>
  </w:style>
  <w:style w:type="paragraph" w:styleId="Index1">
    <w:name w:val="index 1"/>
    <w:basedOn w:val="Normal"/>
    <w:next w:val="Normal"/>
    <w:autoRedefine/>
    <w:locked/>
    <w:rsid w:val="00CB18D9"/>
    <w:pPr>
      <w:ind w:left="220" w:hanging="220"/>
    </w:pPr>
  </w:style>
  <w:style w:type="paragraph" w:styleId="Index2">
    <w:name w:val="index 2"/>
    <w:basedOn w:val="Normal"/>
    <w:next w:val="Normal"/>
    <w:autoRedefine/>
    <w:locked/>
    <w:rsid w:val="00CB18D9"/>
    <w:pPr>
      <w:ind w:left="440" w:hanging="220"/>
    </w:pPr>
  </w:style>
  <w:style w:type="paragraph" w:styleId="Index3">
    <w:name w:val="index 3"/>
    <w:basedOn w:val="Normal"/>
    <w:next w:val="Normal"/>
    <w:autoRedefine/>
    <w:locked/>
    <w:rsid w:val="00CB18D9"/>
    <w:pPr>
      <w:ind w:left="660" w:hanging="220"/>
    </w:pPr>
  </w:style>
  <w:style w:type="paragraph" w:styleId="Index4">
    <w:name w:val="index 4"/>
    <w:basedOn w:val="Normal"/>
    <w:next w:val="Normal"/>
    <w:autoRedefine/>
    <w:locked/>
    <w:rsid w:val="00CB18D9"/>
    <w:pPr>
      <w:ind w:left="880" w:hanging="220"/>
    </w:pPr>
  </w:style>
  <w:style w:type="paragraph" w:styleId="Index5">
    <w:name w:val="index 5"/>
    <w:basedOn w:val="Normal"/>
    <w:next w:val="Normal"/>
    <w:autoRedefine/>
    <w:locked/>
    <w:rsid w:val="00CB18D9"/>
    <w:pPr>
      <w:ind w:left="1100" w:hanging="220"/>
    </w:pPr>
  </w:style>
  <w:style w:type="paragraph" w:styleId="Index6">
    <w:name w:val="index 6"/>
    <w:basedOn w:val="Normal"/>
    <w:next w:val="Normal"/>
    <w:autoRedefine/>
    <w:locked/>
    <w:rsid w:val="00CB18D9"/>
    <w:pPr>
      <w:ind w:left="1320" w:hanging="220"/>
    </w:pPr>
  </w:style>
  <w:style w:type="paragraph" w:styleId="Index7">
    <w:name w:val="index 7"/>
    <w:basedOn w:val="Normal"/>
    <w:next w:val="Normal"/>
    <w:autoRedefine/>
    <w:locked/>
    <w:rsid w:val="00CB18D9"/>
    <w:pPr>
      <w:ind w:left="1540" w:hanging="220"/>
    </w:pPr>
  </w:style>
  <w:style w:type="paragraph" w:styleId="Index8">
    <w:name w:val="index 8"/>
    <w:basedOn w:val="Normal"/>
    <w:next w:val="Normal"/>
    <w:autoRedefine/>
    <w:locked/>
    <w:rsid w:val="00CB18D9"/>
    <w:pPr>
      <w:ind w:left="1760" w:hanging="220"/>
    </w:pPr>
  </w:style>
  <w:style w:type="paragraph" w:styleId="Index9">
    <w:name w:val="index 9"/>
    <w:basedOn w:val="Normal"/>
    <w:next w:val="Normal"/>
    <w:autoRedefine/>
    <w:locked/>
    <w:rsid w:val="00CB18D9"/>
    <w:pPr>
      <w:ind w:left="1980" w:hanging="220"/>
    </w:pPr>
  </w:style>
  <w:style w:type="paragraph" w:styleId="IndexHeading">
    <w:name w:val="index heading"/>
    <w:basedOn w:val="Normal"/>
    <w:next w:val="Index1"/>
    <w:locked/>
    <w:rsid w:val="00CB18D9"/>
    <w:rPr>
      <w:rFonts w:ascii="Cambria" w:eastAsia="Times New Roman" w:hAnsi="Cambria"/>
      <w:b/>
      <w:bCs/>
    </w:rPr>
  </w:style>
  <w:style w:type="paragraph" w:styleId="IntenseQuote">
    <w:name w:val="Intense Quote"/>
    <w:basedOn w:val="Normal"/>
    <w:next w:val="Normal"/>
    <w:link w:val="IntenseQuoteChar"/>
    <w:uiPriority w:val="30"/>
    <w:qFormat/>
    <w:rsid w:val="00CB18D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B18D9"/>
    <w:rPr>
      <w:b/>
      <w:bCs/>
      <w:i/>
      <w:iCs/>
      <w:color w:val="4F81BD"/>
      <w:sz w:val="22"/>
      <w:lang w:eastAsia="ja-JP"/>
    </w:rPr>
  </w:style>
  <w:style w:type="paragraph" w:styleId="List">
    <w:name w:val="List"/>
    <w:basedOn w:val="Normal"/>
    <w:locked/>
    <w:rsid w:val="00CB18D9"/>
    <w:pPr>
      <w:ind w:left="360" w:hanging="360"/>
      <w:contextualSpacing/>
    </w:pPr>
  </w:style>
  <w:style w:type="paragraph" w:styleId="List2">
    <w:name w:val="List 2"/>
    <w:basedOn w:val="Normal"/>
    <w:locked/>
    <w:rsid w:val="00CB18D9"/>
    <w:pPr>
      <w:ind w:left="720" w:hanging="360"/>
      <w:contextualSpacing/>
    </w:pPr>
  </w:style>
  <w:style w:type="paragraph" w:styleId="List3">
    <w:name w:val="List 3"/>
    <w:basedOn w:val="Normal"/>
    <w:locked/>
    <w:rsid w:val="00CB18D9"/>
    <w:pPr>
      <w:ind w:left="1080" w:hanging="360"/>
      <w:contextualSpacing/>
    </w:pPr>
  </w:style>
  <w:style w:type="paragraph" w:styleId="List4">
    <w:name w:val="List 4"/>
    <w:basedOn w:val="Normal"/>
    <w:locked/>
    <w:rsid w:val="00CB18D9"/>
    <w:pPr>
      <w:ind w:left="1440" w:hanging="360"/>
      <w:contextualSpacing/>
    </w:pPr>
  </w:style>
  <w:style w:type="paragraph" w:styleId="List5">
    <w:name w:val="List 5"/>
    <w:basedOn w:val="Normal"/>
    <w:locked/>
    <w:rsid w:val="00CB18D9"/>
    <w:pPr>
      <w:ind w:left="1800" w:hanging="360"/>
      <w:contextualSpacing/>
    </w:pPr>
  </w:style>
  <w:style w:type="paragraph" w:styleId="ListBullet">
    <w:name w:val="List Bullet"/>
    <w:basedOn w:val="Normal"/>
    <w:locked/>
    <w:rsid w:val="00CB18D9"/>
    <w:pPr>
      <w:numPr>
        <w:numId w:val="5"/>
      </w:numPr>
      <w:contextualSpacing/>
    </w:pPr>
  </w:style>
  <w:style w:type="paragraph" w:styleId="ListBullet2">
    <w:name w:val="List Bullet 2"/>
    <w:basedOn w:val="Normal"/>
    <w:locked/>
    <w:rsid w:val="00CB18D9"/>
    <w:pPr>
      <w:numPr>
        <w:numId w:val="6"/>
      </w:numPr>
      <w:contextualSpacing/>
    </w:pPr>
  </w:style>
  <w:style w:type="paragraph" w:styleId="ListBullet3">
    <w:name w:val="List Bullet 3"/>
    <w:basedOn w:val="Normal"/>
    <w:locked/>
    <w:rsid w:val="00CB18D9"/>
    <w:pPr>
      <w:numPr>
        <w:numId w:val="7"/>
      </w:numPr>
      <w:contextualSpacing/>
    </w:pPr>
  </w:style>
  <w:style w:type="paragraph" w:styleId="ListBullet4">
    <w:name w:val="List Bullet 4"/>
    <w:basedOn w:val="Normal"/>
    <w:locked/>
    <w:rsid w:val="00CB18D9"/>
    <w:pPr>
      <w:numPr>
        <w:numId w:val="8"/>
      </w:numPr>
      <w:contextualSpacing/>
    </w:pPr>
  </w:style>
  <w:style w:type="paragraph" w:styleId="ListBullet5">
    <w:name w:val="List Bullet 5"/>
    <w:basedOn w:val="Normal"/>
    <w:locked/>
    <w:rsid w:val="00CB18D9"/>
    <w:pPr>
      <w:numPr>
        <w:numId w:val="9"/>
      </w:numPr>
      <w:contextualSpacing/>
    </w:pPr>
  </w:style>
  <w:style w:type="paragraph" w:styleId="ListContinue">
    <w:name w:val="List Continue"/>
    <w:basedOn w:val="Normal"/>
    <w:locked/>
    <w:rsid w:val="00CB18D9"/>
    <w:pPr>
      <w:spacing w:after="120"/>
      <w:ind w:left="360"/>
      <w:contextualSpacing/>
    </w:pPr>
  </w:style>
  <w:style w:type="paragraph" w:styleId="ListContinue2">
    <w:name w:val="List Continue 2"/>
    <w:basedOn w:val="Normal"/>
    <w:locked/>
    <w:rsid w:val="00CB18D9"/>
    <w:pPr>
      <w:spacing w:after="120"/>
      <w:ind w:left="720"/>
      <w:contextualSpacing/>
    </w:pPr>
  </w:style>
  <w:style w:type="paragraph" w:styleId="ListContinue3">
    <w:name w:val="List Continue 3"/>
    <w:basedOn w:val="Normal"/>
    <w:locked/>
    <w:rsid w:val="00CB18D9"/>
    <w:pPr>
      <w:spacing w:after="120"/>
      <w:ind w:left="1080"/>
      <w:contextualSpacing/>
    </w:pPr>
  </w:style>
  <w:style w:type="paragraph" w:styleId="ListContinue4">
    <w:name w:val="List Continue 4"/>
    <w:basedOn w:val="Normal"/>
    <w:locked/>
    <w:rsid w:val="00CB18D9"/>
    <w:pPr>
      <w:spacing w:after="120"/>
      <w:ind w:left="1440"/>
      <w:contextualSpacing/>
    </w:pPr>
  </w:style>
  <w:style w:type="paragraph" w:styleId="ListContinue5">
    <w:name w:val="List Continue 5"/>
    <w:basedOn w:val="Normal"/>
    <w:locked/>
    <w:rsid w:val="00CB18D9"/>
    <w:pPr>
      <w:spacing w:after="120"/>
      <w:ind w:left="1800"/>
      <w:contextualSpacing/>
    </w:pPr>
  </w:style>
  <w:style w:type="paragraph" w:styleId="ListNumber">
    <w:name w:val="List Number"/>
    <w:basedOn w:val="Normal"/>
    <w:locked/>
    <w:rsid w:val="00CB18D9"/>
    <w:pPr>
      <w:numPr>
        <w:numId w:val="10"/>
      </w:numPr>
      <w:contextualSpacing/>
    </w:pPr>
  </w:style>
  <w:style w:type="paragraph" w:styleId="ListNumber2">
    <w:name w:val="List Number 2"/>
    <w:basedOn w:val="Normal"/>
    <w:locked/>
    <w:rsid w:val="00CB18D9"/>
    <w:pPr>
      <w:numPr>
        <w:numId w:val="11"/>
      </w:numPr>
      <w:contextualSpacing/>
    </w:pPr>
  </w:style>
  <w:style w:type="paragraph" w:styleId="ListNumber3">
    <w:name w:val="List Number 3"/>
    <w:basedOn w:val="Normal"/>
    <w:locked/>
    <w:rsid w:val="00CB18D9"/>
    <w:pPr>
      <w:numPr>
        <w:numId w:val="12"/>
      </w:numPr>
      <w:contextualSpacing/>
    </w:pPr>
  </w:style>
  <w:style w:type="paragraph" w:styleId="ListNumber4">
    <w:name w:val="List Number 4"/>
    <w:basedOn w:val="Normal"/>
    <w:locked/>
    <w:rsid w:val="00CB18D9"/>
    <w:pPr>
      <w:numPr>
        <w:numId w:val="13"/>
      </w:numPr>
      <w:contextualSpacing/>
    </w:pPr>
  </w:style>
  <w:style w:type="paragraph" w:styleId="ListNumber5">
    <w:name w:val="List Number 5"/>
    <w:basedOn w:val="Normal"/>
    <w:locked/>
    <w:rsid w:val="00CB18D9"/>
    <w:pPr>
      <w:numPr>
        <w:numId w:val="14"/>
      </w:numPr>
      <w:contextualSpacing/>
    </w:pPr>
  </w:style>
  <w:style w:type="paragraph" w:styleId="MacroText">
    <w:name w:val="macro"/>
    <w:link w:val="MacroTextChar"/>
    <w:locked/>
    <w:rsid w:val="00CB18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rsid w:val="00CB18D9"/>
    <w:rPr>
      <w:rFonts w:ascii="Courier New" w:hAnsi="Courier New" w:cs="Courier New"/>
      <w:lang w:eastAsia="ja-JP"/>
    </w:rPr>
  </w:style>
  <w:style w:type="paragraph" w:styleId="MessageHeader">
    <w:name w:val="Message Header"/>
    <w:basedOn w:val="Normal"/>
    <w:link w:val="MessageHeaderChar"/>
    <w:locked/>
    <w:rsid w:val="00CB18D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link w:val="MessageHeader"/>
    <w:rsid w:val="00CB18D9"/>
    <w:rPr>
      <w:rFonts w:ascii="Cambria" w:eastAsia="Times New Roman" w:hAnsi="Cambria" w:cs="Times New Roman"/>
      <w:sz w:val="24"/>
      <w:szCs w:val="24"/>
      <w:shd w:val="pct20" w:color="auto" w:fill="auto"/>
      <w:lang w:eastAsia="ja-JP"/>
    </w:rPr>
  </w:style>
  <w:style w:type="paragraph" w:styleId="NoSpacing">
    <w:name w:val="No Spacing"/>
    <w:uiPriority w:val="1"/>
    <w:qFormat/>
    <w:rsid w:val="00CB18D9"/>
    <w:rPr>
      <w:sz w:val="22"/>
      <w:lang w:eastAsia="ja-JP"/>
    </w:rPr>
  </w:style>
  <w:style w:type="paragraph" w:styleId="NormalIndent">
    <w:name w:val="Normal Indent"/>
    <w:basedOn w:val="Normal"/>
    <w:locked/>
    <w:rsid w:val="00CB18D9"/>
    <w:pPr>
      <w:ind w:left="720"/>
    </w:pPr>
  </w:style>
  <w:style w:type="paragraph" w:styleId="NoteHeading">
    <w:name w:val="Note Heading"/>
    <w:basedOn w:val="Normal"/>
    <w:next w:val="Normal"/>
    <w:link w:val="NoteHeadingChar"/>
    <w:locked/>
    <w:rsid w:val="00CB18D9"/>
  </w:style>
  <w:style w:type="character" w:customStyle="1" w:styleId="NoteHeadingChar">
    <w:name w:val="Note Heading Char"/>
    <w:link w:val="NoteHeading"/>
    <w:rsid w:val="00CB18D9"/>
    <w:rPr>
      <w:sz w:val="22"/>
      <w:lang w:eastAsia="ja-JP"/>
    </w:rPr>
  </w:style>
  <w:style w:type="paragraph" w:styleId="PlainText">
    <w:name w:val="Plain Text"/>
    <w:basedOn w:val="Normal"/>
    <w:link w:val="PlainTextChar"/>
    <w:locked/>
    <w:rsid w:val="00CB18D9"/>
    <w:rPr>
      <w:rFonts w:ascii="Courier New" w:hAnsi="Courier New" w:cs="Courier New"/>
      <w:sz w:val="20"/>
    </w:rPr>
  </w:style>
  <w:style w:type="character" w:customStyle="1" w:styleId="PlainTextChar">
    <w:name w:val="Plain Text Char"/>
    <w:link w:val="PlainText"/>
    <w:rsid w:val="00CB18D9"/>
    <w:rPr>
      <w:rFonts w:ascii="Courier New" w:hAnsi="Courier New" w:cs="Courier New"/>
      <w:lang w:eastAsia="ja-JP"/>
    </w:rPr>
  </w:style>
  <w:style w:type="paragraph" w:styleId="Quote">
    <w:name w:val="Quote"/>
    <w:basedOn w:val="Normal"/>
    <w:next w:val="Normal"/>
    <w:link w:val="QuoteChar"/>
    <w:uiPriority w:val="29"/>
    <w:qFormat/>
    <w:rsid w:val="00CB18D9"/>
    <w:rPr>
      <w:i/>
      <w:iCs/>
      <w:color w:val="000000"/>
    </w:rPr>
  </w:style>
  <w:style w:type="character" w:customStyle="1" w:styleId="QuoteChar">
    <w:name w:val="Quote Char"/>
    <w:link w:val="Quote"/>
    <w:uiPriority w:val="29"/>
    <w:rsid w:val="00CB18D9"/>
    <w:rPr>
      <w:i/>
      <w:iCs/>
      <w:color w:val="000000"/>
      <w:sz w:val="22"/>
      <w:lang w:eastAsia="ja-JP"/>
    </w:rPr>
  </w:style>
  <w:style w:type="paragraph" w:styleId="Salutation">
    <w:name w:val="Salutation"/>
    <w:basedOn w:val="Normal"/>
    <w:next w:val="Normal"/>
    <w:link w:val="SalutationChar"/>
    <w:locked/>
    <w:rsid w:val="00CB18D9"/>
  </w:style>
  <w:style w:type="character" w:customStyle="1" w:styleId="SalutationChar">
    <w:name w:val="Salutation Char"/>
    <w:link w:val="Salutation"/>
    <w:rsid w:val="00CB18D9"/>
    <w:rPr>
      <w:sz w:val="22"/>
      <w:lang w:eastAsia="ja-JP"/>
    </w:rPr>
  </w:style>
  <w:style w:type="paragraph" w:styleId="Signature">
    <w:name w:val="Signature"/>
    <w:basedOn w:val="Normal"/>
    <w:link w:val="SignatureChar"/>
    <w:locked/>
    <w:rsid w:val="00CB18D9"/>
    <w:pPr>
      <w:ind w:left="4320"/>
    </w:pPr>
  </w:style>
  <w:style w:type="character" w:customStyle="1" w:styleId="SignatureChar">
    <w:name w:val="Signature Char"/>
    <w:link w:val="Signature"/>
    <w:rsid w:val="00CB18D9"/>
    <w:rPr>
      <w:sz w:val="22"/>
      <w:lang w:eastAsia="ja-JP"/>
    </w:rPr>
  </w:style>
  <w:style w:type="paragraph" w:styleId="Subtitle">
    <w:name w:val="Subtitle"/>
    <w:basedOn w:val="Normal"/>
    <w:next w:val="Normal"/>
    <w:link w:val="SubtitleChar"/>
    <w:qFormat/>
    <w:locked/>
    <w:rsid w:val="00CB18D9"/>
    <w:pPr>
      <w:spacing w:after="60"/>
      <w:jc w:val="center"/>
      <w:outlineLvl w:val="1"/>
    </w:pPr>
    <w:rPr>
      <w:rFonts w:ascii="Cambria" w:eastAsia="Times New Roman" w:hAnsi="Cambria"/>
      <w:sz w:val="24"/>
      <w:szCs w:val="24"/>
    </w:rPr>
  </w:style>
  <w:style w:type="character" w:customStyle="1" w:styleId="SubtitleChar">
    <w:name w:val="Subtitle Char"/>
    <w:link w:val="Subtitle"/>
    <w:rsid w:val="00CB18D9"/>
    <w:rPr>
      <w:rFonts w:ascii="Cambria" w:eastAsia="Times New Roman" w:hAnsi="Cambria" w:cs="Times New Roman"/>
      <w:sz w:val="24"/>
      <w:szCs w:val="24"/>
      <w:lang w:eastAsia="ja-JP"/>
    </w:rPr>
  </w:style>
  <w:style w:type="paragraph" w:styleId="TableofAuthorities">
    <w:name w:val="table of authorities"/>
    <w:basedOn w:val="Normal"/>
    <w:next w:val="Normal"/>
    <w:locked/>
    <w:rsid w:val="00CB18D9"/>
    <w:pPr>
      <w:ind w:left="220" w:hanging="220"/>
    </w:pPr>
  </w:style>
  <w:style w:type="paragraph" w:styleId="TableofFigures">
    <w:name w:val="table of figures"/>
    <w:basedOn w:val="Normal"/>
    <w:next w:val="Normal"/>
    <w:locked/>
    <w:rsid w:val="00CB18D9"/>
  </w:style>
  <w:style w:type="paragraph" w:styleId="Title">
    <w:name w:val="Title"/>
    <w:basedOn w:val="Normal"/>
    <w:next w:val="Normal"/>
    <w:link w:val="TitleChar"/>
    <w:qFormat/>
    <w:locked/>
    <w:rsid w:val="00CB18D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CB18D9"/>
    <w:rPr>
      <w:rFonts w:ascii="Cambria" w:eastAsia="Times New Roman" w:hAnsi="Cambria" w:cs="Times New Roman"/>
      <w:b/>
      <w:bCs/>
      <w:kern w:val="28"/>
      <w:sz w:val="32"/>
      <w:szCs w:val="32"/>
      <w:lang w:eastAsia="ja-JP"/>
    </w:rPr>
  </w:style>
  <w:style w:type="paragraph" w:styleId="TOAHeading">
    <w:name w:val="toa heading"/>
    <w:basedOn w:val="Normal"/>
    <w:next w:val="Normal"/>
    <w:locked/>
    <w:rsid w:val="00CB18D9"/>
    <w:pPr>
      <w:spacing w:before="120"/>
    </w:pPr>
    <w:rPr>
      <w:rFonts w:ascii="Cambria" w:eastAsia="Times New Roman" w:hAnsi="Cambria"/>
      <w:b/>
      <w:bCs/>
      <w:sz w:val="24"/>
      <w:szCs w:val="24"/>
    </w:rPr>
  </w:style>
  <w:style w:type="paragraph" w:styleId="TOC1">
    <w:name w:val="toc 1"/>
    <w:basedOn w:val="Normal"/>
    <w:next w:val="Normal"/>
    <w:autoRedefine/>
    <w:locked/>
    <w:rsid w:val="00CB18D9"/>
  </w:style>
  <w:style w:type="paragraph" w:styleId="TOC2">
    <w:name w:val="toc 2"/>
    <w:basedOn w:val="Normal"/>
    <w:next w:val="Normal"/>
    <w:autoRedefine/>
    <w:locked/>
    <w:rsid w:val="00CB18D9"/>
    <w:pPr>
      <w:ind w:left="220"/>
    </w:pPr>
  </w:style>
  <w:style w:type="paragraph" w:styleId="TOC3">
    <w:name w:val="toc 3"/>
    <w:basedOn w:val="Normal"/>
    <w:next w:val="Normal"/>
    <w:autoRedefine/>
    <w:locked/>
    <w:rsid w:val="00CB18D9"/>
    <w:pPr>
      <w:ind w:left="440"/>
    </w:pPr>
  </w:style>
  <w:style w:type="paragraph" w:styleId="TOC4">
    <w:name w:val="toc 4"/>
    <w:basedOn w:val="Normal"/>
    <w:next w:val="Normal"/>
    <w:autoRedefine/>
    <w:locked/>
    <w:rsid w:val="00CB18D9"/>
    <w:pPr>
      <w:ind w:left="660"/>
    </w:pPr>
  </w:style>
  <w:style w:type="paragraph" w:styleId="TOC5">
    <w:name w:val="toc 5"/>
    <w:basedOn w:val="Normal"/>
    <w:next w:val="Normal"/>
    <w:autoRedefine/>
    <w:locked/>
    <w:rsid w:val="00CB18D9"/>
    <w:pPr>
      <w:ind w:left="880"/>
    </w:pPr>
  </w:style>
  <w:style w:type="paragraph" w:styleId="TOC6">
    <w:name w:val="toc 6"/>
    <w:basedOn w:val="Normal"/>
    <w:next w:val="Normal"/>
    <w:autoRedefine/>
    <w:locked/>
    <w:rsid w:val="00CB18D9"/>
    <w:pPr>
      <w:ind w:left="1100"/>
    </w:pPr>
  </w:style>
  <w:style w:type="paragraph" w:styleId="TOC7">
    <w:name w:val="toc 7"/>
    <w:basedOn w:val="Normal"/>
    <w:next w:val="Normal"/>
    <w:autoRedefine/>
    <w:locked/>
    <w:rsid w:val="00CB18D9"/>
    <w:pPr>
      <w:ind w:left="1320"/>
    </w:pPr>
  </w:style>
  <w:style w:type="paragraph" w:styleId="TOC8">
    <w:name w:val="toc 8"/>
    <w:basedOn w:val="Normal"/>
    <w:next w:val="Normal"/>
    <w:autoRedefine/>
    <w:locked/>
    <w:rsid w:val="00CB18D9"/>
    <w:pPr>
      <w:ind w:left="1540"/>
    </w:pPr>
  </w:style>
  <w:style w:type="paragraph" w:styleId="TOC9">
    <w:name w:val="toc 9"/>
    <w:basedOn w:val="Normal"/>
    <w:next w:val="Normal"/>
    <w:autoRedefine/>
    <w:locked/>
    <w:rsid w:val="00CB18D9"/>
    <w:pPr>
      <w:ind w:left="1760"/>
    </w:pPr>
  </w:style>
  <w:style w:type="paragraph" w:styleId="TOCHeading">
    <w:name w:val="TOC Heading"/>
    <w:basedOn w:val="Heading1"/>
    <w:next w:val="Normal"/>
    <w:uiPriority w:val="39"/>
    <w:semiHidden/>
    <w:unhideWhenUsed/>
    <w:qFormat/>
    <w:rsid w:val="00CB18D9"/>
    <w:pPr>
      <w:keepNext/>
      <w:spacing w:before="240" w:after="60"/>
      <w:ind w:left="0" w:firstLine="0"/>
      <w:outlineLvl w:val="9"/>
    </w:pPr>
    <w:rPr>
      <w:rFonts w:ascii="Cambria" w:eastAsia="Times New Roman" w:hAnsi="Cambria"/>
      <w:bCs/>
      <w:caps w:val="0"/>
      <w:kern w:val="32"/>
      <w:sz w:val="32"/>
      <w:szCs w:val="32"/>
    </w:rPr>
  </w:style>
  <w:style w:type="character" w:customStyle="1" w:styleId="1">
    <w:name w:val="확인되지 않은 멘션1"/>
    <w:uiPriority w:val="99"/>
    <w:semiHidden/>
    <w:unhideWhenUsed/>
    <w:rsid w:val="00760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310404753">
      <w:bodyDiv w:val="1"/>
      <w:marLeft w:val="0"/>
      <w:marRight w:val="0"/>
      <w:marTop w:val="0"/>
      <w:marBottom w:val="0"/>
      <w:divBdr>
        <w:top w:val="none" w:sz="0" w:space="0" w:color="auto"/>
        <w:left w:val="none" w:sz="0" w:space="0" w:color="auto"/>
        <w:bottom w:val="none" w:sz="0" w:space="0" w:color="auto"/>
        <w:right w:val="none" w:sz="0" w:space="0" w:color="auto"/>
      </w:divBdr>
    </w:div>
    <w:div w:id="737360463">
      <w:bodyDiv w:val="1"/>
      <w:marLeft w:val="0"/>
      <w:marRight w:val="0"/>
      <w:marTop w:val="0"/>
      <w:marBottom w:val="0"/>
      <w:divBdr>
        <w:top w:val="none" w:sz="0" w:space="0" w:color="auto"/>
        <w:left w:val="none" w:sz="0" w:space="0" w:color="auto"/>
        <w:bottom w:val="none" w:sz="0" w:space="0" w:color="auto"/>
        <w:right w:val="none" w:sz="0" w:space="0" w:color="auto"/>
      </w:divBdr>
    </w:div>
    <w:div w:id="1072048667">
      <w:bodyDiv w:val="1"/>
      <w:marLeft w:val="0"/>
      <w:marRight w:val="0"/>
      <w:marTop w:val="0"/>
      <w:marBottom w:val="0"/>
      <w:divBdr>
        <w:top w:val="none" w:sz="0" w:space="0" w:color="auto"/>
        <w:left w:val="none" w:sz="0" w:space="0" w:color="auto"/>
        <w:bottom w:val="none" w:sz="0" w:space="0" w:color="auto"/>
        <w:right w:val="none" w:sz="0" w:space="0" w:color="auto"/>
      </w:divBdr>
    </w:div>
    <w:div w:id="1733770736">
      <w:bodyDiv w:val="1"/>
      <w:marLeft w:val="0"/>
      <w:marRight w:val="0"/>
      <w:marTop w:val="0"/>
      <w:marBottom w:val="0"/>
      <w:divBdr>
        <w:top w:val="none" w:sz="0" w:space="0" w:color="auto"/>
        <w:left w:val="none" w:sz="0" w:space="0" w:color="auto"/>
        <w:bottom w:val="none" w:sz="0" w:space="0" w:color="auto"/>
        <w:right w:val="none" w:sz="0" w:space="0" w:color="auto"/>
      </w:divBdr>
    </w:div>
    <w:div w:id="181891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bioepis.mi@medinformation.co.uk" TargetMode="External"/><Relationship Id="rId26" Type="http://schemas.openxmlformats.org/officeDocument/2006/relationships/hyperlink" Target="mailto:@organon.com"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mailto:bioepis.mi@medinformation.co.uk"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ma.europa.eu/documents/template-form/appendix-v-adverse-drug-reaction-reporting-details_en.doc" TargetMode="External"/><Relationship Id="rId29" Type="http://schemas.openxmlformats.org/officeDocument/2006/relationships/hyperlink" Target="mailto:bioepis.mi@medinformation.co.uk" TargetMode="External"/><Relationship Id="rId11" Type="http://schemas.openxmlformats.org/officeDocument/2006/relationships/endnotes" Target="endnotes.xml"/><Relationship Id="rId24" Type="http://schemas.openxmlformats.org/officeDocument/2006/relationships/hyperlink" Target="mailto:bioepis.mi@medinformation.co.uk"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49"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epis.mi@medinformation.co.uk"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hyperlink" Target="mailto:bioepis.mi@medinformation.co.uk"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documents/template-form/appendix-v-adverse-drug-reaction-reporting-details_en.doc" TargetMode="External"/><Relationship Id="rId17" Type="http://schemas.openxmlformats.org/officeDocument/2006/relationships/hyperlink" Target="mailto:bioepis.mi@medinformation.co.uk" TargetMode="External"/><Relationship Id="rId25" Type="http://schemas.openxmlformats.org/officeDocument/2006/relationships/hyperlink" Target="mailto:bioepis.mi@medinformation.co.uk"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footer" Target="footer2.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EMADOC-1700519818-2657492</_dlc_DocId>
    <_dlc_DocIdUrl xmlns="a034c160-bfb7-45f5-8632-2eb7e0508071">
      <Url>https://euema.sharepoint.com/sites/CRM/_layouts/15/DocIdRedir.aspx?ID=EMADOC-1700519818-2657492</Url>
      <Description>EMADOC-1700519818-2657492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6EEC8B-BF95-42D8-B342-0EBD0B40C5CC}">
  <ds:schemaRefs>
    <ds:schemaRef ds:uri="http://schemas.microsoft.com/office/2006/metadata/longProperties"/>
  </ds:schemaRefs>
</ds:datastoreItem>
</file>

<file path=customXml/itemProps2.xml><?xml version="1.0" encoding="utf-8"?>
<ds:datastoreItem xmlns:ds="http://schemas.openxmlformats.org/officeDocument/2006/customXml" ds:itemID="{69046E70-5CA6-4CE3-B106-34CCE9DD9DF5}"/>
</file>

<file path=customXml/itemProps3.xml><?xml version="1.0" encoding="utf-8"?>
<ds:datastoreItem xmlns:ds="http://schemas.openxmlformats.org/officeDocument/2006/customXml" ds:itemID="{AF72AEDC-AB28-499C-9882-2E9636A749B0}">
  <ds:schemaRefs>
    <ds:schemaRef ds:uri="http://schemas.microsoft.com/sharepoint/v3/contenttype/forms"/>
  </ds:schemaRefs>
</ds:datastoreItem>
</file>

<file path=customXml/itemProps4.xml><?xml version="1.0" encoding="utf-8"?>
<ds:datastoreItem xmlns:ds="http://schemas.openxmlformats.org/officeDocument/2006/customXml" ds:itemID="{3F8746E5-B0D8-4C05-9EBB-D4BC4FE0F8BB}">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5.xml><?xml version="1.0" encoding="utf-8"?>
<ds:datastoreItem xmlns:ds="http://schemas.openxmlformats.org/officeDocument/2006/customXml" ds:itemID="{DB62156B-E185-4AD8-A194-7FB61B9D087E}">
  <ds:schemaRefs>
    <ds:schemaRef ds:uri="http://schemas.openxmlformats.org/officeDocument/2006/bibliography"/>
  </ds:schemaRefs>
</ds:datastoreItem>
</file>

<file path=customXml/itemProps6.xml><?xml version="1.0" encoding="utf-8"?>
<ds:datastoreItem xmlns:ds="http://schemas.openxmlformats.org/officeDocument/2006/customXml" ds:itemID="{E8BAFE5B-679D-47F7-8713-8EBEAEE3DE9D}"/>
</file>

<file path=docProps/app.xml><?xml version="1.0" encoding="utf-8"?>
<Properties xmlns="http://schemas.openxmlformats.org/officeDocument/2006/extended-properties" xmlns:vt="http://schemas.openxmlformats.org/officeDocument/2006/docPropsVTypes">
  <Template>Normal.dotm</Template>
  <TotalTime>0</TotalTime>
  <Pages>82</Pages>
  <Words>29684</Words>
  <Characters>169203</Characters>
  <Application>Microsoft Office Word</Application>
  <DocSecurity>0</DocSecurity>
  <Lines>1410</Lines>
  <Paragraphs>396</Paragraphs>
  <ScaleCrop>false</ScaleCrop>
  <HeadingPairs>
    <vt:vector size="6" baseType="variant">
      <vt:variant>
        <vt:lpstr>Título</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198491</CharactersWithSpaces>
  <SharedDoc>false</SharedDoc>
  <HLinks>
    <vt:vector size="198" baseType="variant">
      <vt:variant>
        <vt:i4>1245197</vt:i4>
      </vt:variant>
      <vt:variant>
        <vt:i4>96</vt:i4>
      </vt:variant>
      <vt:variant>
        <vt:i4>0</vt:i4>
      </vt:variant>
      <vt:variant>
        <vt:i4>5</vt:i4>
      </vt:variant>
      <vt:variant>
        <vt:lpwstr>http://www.ema.europa.eu/</vt:lpwstr>
      </vt:variant>
      <vt:variant>
        <vt:lpwstr/>
      </vt:variant>
      <vt:variant>
        <vt:i4>1638434</vt:i4>
      </vt:variant>
      <vt:variant>
        <vt:i4>93</vt:i4>
      </vt:variant>
      <vt:variant>
        <vt:i4>0</vt:i4>
      </vt:variant>
      <vt:variant>
        <vt:i4>5</vt:i4>
      </vt:variant>
      <vt:variant>
        <vt:lpwstr>mailto:bioepis.mi@medinformation.co.uk</vt:lpwstr>
      </vt:variant>
      <vt:variant>
        <vt:lpwstr/>
      </vt:variant>
      <vt:variant>
        <vt:i4>1638434</vt:i4>
      </vt:variant>
      <vt:variant>
        <vt:i4>90</vt:i4>
      </vt:variant>
      <vt:variant>
        <vt:i4>0</vt:i4>
      </vt:variant>
      <vt:variant>
        <vt:i4>5</vt:i4>
      </vt:variant>
      <vt:variant>
        <vt:lpwstr>mailto:bioepis.mi@medinformation.co.uk</vt:lpwstr>
      </vt:variant>
      <vt:variant>
        <vt:lpwstr/>
      </vt:variant>
      <vt:variant>
        <vt:i4>1638434</vt:i4>
      </vt:variant>
      <vt:variant>
        <vt:i4>87</vt:i4>
      </vt:variant>
      <vt:variant>
        <vt:i4>0</vt:i4>
      </vt:variant>
      <vt:variant>
        <vt:i4>5</vt:i4>
      </vt:variant>
      <vt:variant>
        <vt:lpwstr>mailto:bioepis.mi@medinformation.co.uk</vt:lpwstr>
      </vt:variant>
      <vt:variant>
        <vt:lpwstr/>
      </vt:variant>
      <vt:variant>
        <vt:i4>1638434</vt:i4>
      </vt:variant>
      <vt:variant>
        <vt:i4>84</vt:i4>
      </vt:variant>
      <vt:variant>
        <vt:i4>0</vt:i4>
      </vt:variant>
      <vt:variant>
        <vt:i4>5</vt:i4>
      </vt:variant>
      <vt:variant>
        <vt:lpwstr>mailto:bioepis.mi@medinformation.co.uk</vt:lpwstr>
      </vt:variant>
      <vt:variant>
        <vt:lpwstr/>
      </vt:variant>
      <vt:variant>
        <vt:i4>1638434</vt:i4>
      </vt:variant>
      <vt:variant>
        <vt:i4>81</vt:i4>
      </vt:variant>
      <vt:variant>
        <vt:i4>0</vt:i4>
      </vt:variant>
      <vt:variant>
        <vt:i4>5</vt:i4>
      </vt:variant>
      <vt:variant>
        <vt:lpwstr>mailto:bioepis.mi@medinformation.co.uk</vt:lpwstr>
      </vt:variant>
      <vt:variant>
        <vt:lpwstr/>
      </vt:variant>
      <vt:variant>
        <vt:i4>1638434</vt:i4>
      </vt:variant>
      <vt:variant>
        <vt:i4>78</vt:i4>
      </vt:variant>
      <vt:variant>
        <vt:i4>0</vt:i4>
      </vt:variant>
      <vt:variant>
        <vt:i4>5</vt:i4>
      </vt:variant>
      <vt:variant>
        <vt:lpwstr>mailto:bioepis.mi@medinformation.co.uk</vt:lpwstr>
      </vt:variant>
      <vt:variant>
        <vt:lpwstr/>
      </vt:variant>
      <vt:variant>
        <vt:i4>1638434</vt:i4>
      </vt:variant>
      <vt:variant>
        <vt:i4>75</vt:i4>
      </vt:variant>
      <vt:variant>
        <vt:i4>0</vt:i4>
      </vt:variant>
      <vt:variant>
        <vt:i4>5</vt:i4>
      </vt:variant>
      <vt:variant>
        <vt:lpwstr>mailto:bioepis.mi@medinformation.co.uk</vt:lpwstr>
      </vt:variant>
      <vt:variant>
        <vt:lpwstr/>
      </vt:variant>
      <vt:variant>
        <vt:i4>1638434</vt:i4>
      </vt:variant>
      <vt:variant>
        <vt:i4>72</vt:i4>
      </vt:variant>
      <vt:variant>
        <vt:i4>0</vt:i4>
      </vt:variant>
      <vt:variant>
        <vt:i4>5</vt:i4>
      </vt:variant>
      <vt:variant>
        <vt:lpwstr>mailto:bioepis.mi@medinformation.co.uk</vt:lpwstr>
      </vt:variant>
      <vt:variant>
        <vt:lpwstr/>
      </vt:variant>
      <vt:variant>
        <vt:i4>1638434</vt:i4>
      </vt:variant>
      <vt:variant>
        <vt:i4>69</vt:i4>
      </vt:variant>
      <vt:variant>
        <vt:i4>0</vt:i4>
      </vt:variant>
      <vt:variant>
        <vt:i4>5</vt:i4>
      </vt:variant>
      <vt:variant>
        <vt:lpwstr>mailto:bioepis.mi@medinformation.co.uk</vt:lpwstr>
      </vt:variant>
      <vt:variant>
        <vt:lpwstr/>
      </vt:variant>
      <vt:variant>
        <vt:i4>1638434</vt:i4>
      </vt:variant>
      <vt:variant>
        <vt:i4>66</vt:i4>
      </vt:variant>
      <vt:variant>
        <vt:i4>0</vt:i4>
      </vt:variant>
      <vt:variant>
        <vt:i4>5</vt:i4>
      </vt:variant>
      <vt:variant>
        <vt:lpwstr>mailto:bioepis.mi@medinformation.co.uk</vt:lpwstr>
      </vt:variant>
      <vt:variant>
        <vt:lpwstr/>
      </vt:variant>
      <vt:variant>
        <vt:i4>1638434</vt:i4>
      </vt:variant>
      <vt:variant>
        <vt:i4>63</vt:i4>
      </vt:variant>
      <vt:variant>
        <vt:i4>0</vt:i4>
      </vt:variant>
      <vt:variant>
        <vt:i4>5</vt:i4>
      </vt:variant>
      <vt:variant>
        <vt:lpwstr>mailto:bioepis.mi@medinformation.co.uk</vt:lpwstr>
      </vt:variant>
      <vt:variant>
        <vt:lpwstr/>
      </vt:variant>
      <vt:variant>
        <vt:i4>1638434</vt:i4>
      </vt:variant>
      <vt:variant>
        <vt:i4>60</vt:i4>
      </vt:variant>
      <vt:variant>
        <vt:i4>0</vt:i4>
      </vt:variant>
      <vt:variant>
        <vt:i4>5</vt:i4>
      </vt:variant>
      <vt:variant>
        <vt:lpwstr>mailto:bioepis.mi@medinformation.co.uk</vt:lpwstr>
      </vt:variant>
      <vt:variant>
        <vt:lpwstr/>
      </vt:variant>
      <vt:variant>
        <vt:i4>1638434</vt:i4>
      </vt:variant>
      <vt:variant>
        <vt:i4>57</vt:i4>
      </vt:variant>
      <vt:variant>
        <vt:i4>0</vt:i4>
      </vt:variant>
      <vt:variant>
        <vt:i4>5</vt:i4>
      </vt:variant>
      <vt:variant>
        <vt:lpwstr>mailto:bioepis.mi@medinformation.co.uk</vt:lpwstr>
      </vt:variant>
      <vt:variant>
        <vt:lpwstr/>
      </vt:variant>
      <vt:variant>
        <vt:i4>1638434</vt:i4>
      </vt:variant>
      <vt:variant>
        <vt:i4>54</vt:i4>
      </vt:variant>
      <vt:variant>
        <vt:i4>0</vt:i4>
      </vt:variant>
      <vt:variant>
        <vt:i4>5</vt:i4>
      </vt:variant>
      <vt:variant>
        <vt:lpwstr>mailto:bioepis.mi@medinformation.co.uk</vt:lpwstr>
      </vt:variant>
      <vt:variant>
        <vt:lpwstr/>
      </vt:variant>
      <vt:variant>
        <vt:i4>1638434</vt:i4>
      </vt:variant>
      <vt:variant>
        <vt:i4>51</vt:i4>
      </vt:variant>
      <vt:variant>
        <vt:i4>0</vt:i4>
      </vt:variant>
      <vt:variant>
        <vt:i4>5</vt:i4>
      </vt:variant>
      <vt:variant>
        <vt:lpwstr>mailto:bioepis.mi@medinformation.co.uk</vt:lpwstr>
      </vt:variant>
      <vt:variant>
        <vt:lpwstr/>
      </vt:variant>
      <vt:variant>
        <vt:i4>1638434</vt:i4>
      </vt:variant>
      <vt:variant>
        <vt:i4>48</vt:i4>
      </vt:variant>
      <vt:variant>
        <vt:i4>0</vt:i4>
      </vt:variant>
      <vt:variant>
        <vt:i4>5</vt:i4>
      </vt:variant>
      <vt:variant>
        <vt:lpwstr>mailto:bioepis.mi@medinformation.co.uk</vt:lpwstr>
      </vt:variant>
      <vt:variant>
        <vt:lpwstr/>
      </vt:variant>
      <vt:variant>
        <vt:i4>1638434</vt:i4>
      </vt:variant>
      <vt:variant>
        <vt:i4>45</vt:i4>
      </vt:variant>
      <vt:variant>
        <vt:i4>0</vt:i4>
      </vt:variant>
      <vt:variant>
        <vt:i4>5</vt:i4>
      </vt:variant>
      <vt:variant>
        <vt:lpwstr>mailto:bioepis.mi@medinformation.co.uk</vt:lpwstr>
      </vt:variant>
      <vt:variant>
        <vt:lpwstr/>
      </vt:variant>
      <vt:variant>
        <vt:i4>2031649</vt:i4>
      </vt:variant>
      <vt:variant>
        <vt:i4>42</vt:i4>
      </vt:variant>
      <vt:variant>
        <vt:i4>0</vt:i4>
      </vt:variant>
      <vt:variant>
        <vt:i4>5</vt:i4>
      </vt:variant>
      <vt:variant>
        <vt:lpwstr>mailto:@organon.com</vt:lpwstr>
      </vt:variant>
      <vt:variant>
        <vt:lpwstr/>
      </vt:variant>
      <vt:variant>
        <vt:i4>1638434</vt:i4>
      </vt:variant>
      <vt:variant>
        <vt:i4>39</vt:i4>
      </vt:variant>
      <vt:variant>
        <vt:i4>0</vt:i4>
      </vt:variant>
      <vt:variant>
        <vt:i4>5</vt:i4>
      </vt:variant>
      <vt:variant>
        <vt:lpwstr>mailto:bioepis.mi@medinformation.co.uk</vt:lpwstr>
      </vt:variant>
      <vt:variant>
        <vt:lpwstr/>
      </vt:variant>
      <vt:variant>
        <vt:i4>1638434</vt:i4>
      </vt:variant>
      <vt:variant>
        <vt:i4>36</vt:i4>
      </vt:variant>
      <vt:variant>
        <vt:i4>0</vt:i4>
      </vt:variant>
      <vt:variant>
        <vt:i4>5</vt:i4>
      </vt:variant>
      <vt:variant>
        <vt:lpwstr>mailto:bioepis.mi@medinformation.co.uk</vt:lpwstr>
      </vt:variant>
      <vt:variant>
        <vt:lpwstr/>
      </vt:variant>
      <vt:variant>
        <vt:i4>1638434</vt:i4>
      </vt:variant>
      <vt:variant>
        <vt:i4>33</vt:i4>
      </vt:variant>
      <vt:variant>
        <vt:i4>0</vt:i4>
      </vt:variant>
      <vt:variant>
        <vt:i4>5</vt:i4>
      </vt:variant>
      <vt:variant>
        <vt:lpwstr>mailto:bioepis.mi@medinformation.co.uk</vt:lpwstr>
      </vt:variant>
      <vt:variant>
        <vt:lpwstr/>
      </vt:variant>
      <vt:variant>
        <vt:i4>1638434</vt:i4>
      </vt:variant>
      <vt:variant>
        <vt:i4>30</vt:i4>
      </vt:variant>
      <vt:variant>
        <vt:i4>0</vt:i4>
      </vt:variant>
      <vt:variant>
        <vt:i4>5</vt:i4>
      </vt:variant>
      <vt:variant>
        <vt:lpwstr>mailto:bioepis.mi@medinformation.co.uk</vt:lpwstr>
      </vt:variant>
      <vt:variant>
        <vt:lpwstr/>
      </vt:variant>
      <vt:variant>
        <vt:i4>1638434</vt:i4>
      </vt:variant>
      <vt:variant>
        <vt:i4>27</vt:i4>
      </vt:variant>
      <vt:variant>
        <vt:i4>0</vt:i4>
      </vt:variant>
      <vt:variant>
        <vt:i4>5</vt:i4>
      </vt:variant>
      <vt:variant>
        <vt:lpwstr>mailto:bioepis.mi@medinformation.co.uk</vt:lpwstr>
      </vt:variant>
      <vt:variant>
        <vt:lpwstr/>
      </vt:variant>
      <vt:variant>
        <vt:i4>1638434</vt:i4>
      </vt:variant>
      <vt:variant>
        <vt:i4>24</vt:i4>
      </vt:variant>
      <vt:variant>
        <vt:i4>0</vt:i4>
      </vt:variant>
      <vt:variant>
        <vt:i4>5</vt:i4>
      </vt:variant>
      <vt:variant>
        <vt:lpwstr>mailto:bioepis.mi@medinformation.co.uk</vt:lpwstr>
      </vt:variant>
      <vt:variant>
        <vt:lpwstr/>
      </vt:variant>
      <vt:variant>
        <vt:i4>1638434</vt:i4>
      </vt:variant>
      <vt:variant>
        <vt:i4>21</vt:i4>
      </vt:variant>
      <vt:variant>
        <vt:i4>0</vt:i4>
      </vt:variant>
      <vt:variant>
        <vt:i4>5</vt:i4>
      </vt:variant>
      <vt:variant>
        <vt:lpwstr>mailto:bioepis.mi@medinformation.co.uk</vt:lpwstr>
      </vt:variant>
      <vt:variant>
        <vt:lpwstr/>
      </vt:variant>
      <vt:variant>
        <vt:i4>1638434</vt:i4>
      </vt:variant>
      <vt:variant>
        <vt:i4>18</vt:i4>
      </vt:variant>
      <vt:variant>
        <vt:i4>0</vt:i4>
      </vt:variant>
      <vt:variant>
        <vt:i4>5</vt:i4>
      </vt:variant>
      <vt:variant>
        <vt:lpwstr>mailto:bioepis.mi@medinformation.co.uk</vt:lpwstr>
      </vt:variant>
      <vt:variant>
        <vt:lpwstr/>
      </vt:variant>
      <vt:variant>
        <vt:i4>1638434</vt:i4>
      </vt:variant>
      <vt:variant>
        <vt:i4>15</vt:i4>
      </vt:variant>
      <vt:variant>
        <vt:i4>0</vt:i4>
      </vt:variant>
      <vt:variant>
        <vt:i4>5</vt:i4>
      </vt:variant>
      <vt:variant>
        <vt:lpwstr>mailto:bioepis.mi@medinformation.co.uk</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1638434</vt:i4>
      </vt:variant>
      <vt:variant>
        <vt:i4>6</vt:i4>
      </vt:variant>
      <vt:variant>
        <vt:i4>0</vt:i4>
      </vt:variant>
      <vt:variant>
        <vt:i4>5</vt:i4>
      </vt:variant>
      <vt:variant>
        <vt:lpwstr>mailto:bioepis.mi@medinformation.co.uk</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2025-06-20T10:52:00Z</dcterms:created>
  <dcterms:modified xsi:type="dcterms:W3CDTF">2025-09-16T02:44:00Z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37ea7f7b-ab3c-4595-87fd-44eabb265153</vt:lpwstr>
  </property>
  <property fmtid="{D5CDD505-2E9C-101B-9397-08002B2CF9AE}" pid="5" name="MediaServiceImageTags">
    <vt:lpwstr/>
  </property>
</Properties>
</file>