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D84B6" w14:textId="77777777" w:rsidR="006F753B" w:rsidRPr="006F753B" w:rsidRDefault="006F753B" w:rsidP="006F753B">
      <w:pPr>
        <w:pBdr>
          <w:top w:val="single" w:sz="4" w:space="1" w:color="auto"/>
          <w:left w:val="single" w:sz="4" w:space="4" w:color="auto"/>
          <w:bottom w:val="single" w:sz="4" w:space="1" w:color="auto"/>
          <w:right w:val="single" w:sz="4" w:space="4" w:color="auto"/>
        </w:pBdr>
        <w:rPr>
          <w:rFonts w:asciiTheme="majorBidi" w:hAnsiTheme="majorBidi" w:cstheme="majorBidi"/>
          <w:lang w:val="pt-PT"/>
        </w:rPr>
      </w:pPr>
      <w:bookmarkStart w:id="0" w:name="_GoBack"/>
      <w:r w:rsidRPr="006F753B">
        <w:rPr>
          <w:rFonts w:asciiTheme="majorBidi" w:hAnsiTheme="majorBidi" w:cstheme="majorBidi"/>
          <w:lang w:val="pt-PT"/>
        </w:rPr>
        <w:t>Este documento é a informação do medicamento aprovada para Fymskina, tendo sido destacadas as alterações desde o procedimento anterior que afetam a informação do medicamento (VR/0000266712).</w:t>
      </w:r>
    </w:p>
    <w:p w14:paraId="2C68FC48" w14:textId="77777777" w:rsidR="006F753B" w:rsidRPr="006F753B" w:rsidRDefault="006F753B" w:rsidP="006F753B">
      <w:pPr>
        <w:pBdr>
          <w:top w:val="single" w:sz="4" w:space="1" w:color="auto"/>
          <w:left w:val="single" w:sz="4" w:space="4" w:color="auto"/>
          <w:bottom w:val="single" w:sz="4" w:space="1" w:color="auto"/>
          <w:right w:val="single" w:sz="4" w:space="4" w:color="auto"/>
        </w:pBdr>
        <w:rPr>
          <w:rFonts w:asciiTheme="majorBidi" w:hAnsiTheme="majorBidi" w:cstheme="majorBidi"/>
          <w:lang w:val="pt-PT"/>
        </w:rPr>
      </w:pPr>
    </w:p>
    <w:p w14:paraId="5DFB5E86" w14:textId="52A3188B" w:rsidR="006F753B" w:rsidRPr="006F753B" w:rsidRDefault="006F753B" w:rsidP="006F753B">
      <w:pPr>
        <w:pBdr>
          <w:top w:val="single" w:sz="4" w:space="1" w:color="auto"/>
          <w:left w:val="single" w:sz="4" w:space="4" w:color="auto"/>
          <w:bottom w:val="single" w:sz="4" w:space="1" w:color="auto"/>
          <w:right w:val="single" w:sz="4" w:space="4" w:color="auto"/>
        </w:pBdr>
        <w:rPr>
          <w:rFonts w:cs="Times New Roman"/>
          <w:lang w:val="pt-PT"/>
        </w:rPr>
      </w:pPr>
      <w:r w:rsidRPr="006F753B">
        <w:rPr>
          <w:rFonts w:asciiTheme="majorBidi" w:hAnsiTheme="majorBidi" w:cstheme="majorBidi"/>
          <w:lang w:val="pt-PT"/>
        </w:rPr>
        <w:t xml:space="preserve">Para mais informações, consultar o sítio da internet da Agência Europeia de Medicamentos: </w:t>
      </w:r>
      <w:hyperlink r:id="rId8" w:history="1">
        <w:r w:rsidRPr="006F753B">
          <w:rPr>
            <w:rStyle w:val="Hyperlink"/>
            <w:rFonts w:asciiTheme="majorBidi" w:hAnsiTheme="majorBidi" w:cstheme="majorBidi"/>
            <w:lang w:val="pt-PT"/>
          </w:rPr>
          <w:t>https://www.ema.europa.eu/en/medicines/human/EPAR/fymskina</w:t>
        </w:r>
      </w:hyperlink>
    </w:p>
    <w:bookmarkEnd w:id="0"/>
    <w:p w14:paraId="47E7D56D" w14:textId="77777777" w:rsidR="00030085" w:rsidRPr="00B1731D" w:rsidRDefault="00030085" w:rsidP="00A17623">
      <w:pPr>
        <w:widowControl/>
        <w:jc w:val="center"/>
        <w:rPr>
          <w:rFonts w:cs="Times New Roman"/>
          <w:color w:val="auto"/>
          <w:szCs w:val="22"/>
          <w:lang w:val="pt-PT"/>
        </w:rPr>
      </w:pPr>
    </w:p>
    <w:p w14:paraId="23F38367" w14:textId="77777777" w:rsidR="00030085" w:rsidRPr="006F753B" w:rsidRDefault="00030085" w:rsidP="00A17623">
      <w:pPr>
        <w:widowControl/>
        <w:jc w:val="center"/>
        <w:rPr>
          <w:rFonts w:cs="Times New Roman"/>
          <w:color w:val="auto"/>
          <w:szCs w:val="22"/>
          <w:lang w:val="pt-PT"/>
        </w:rPr>
      </w:pPr>
    </w:p>
    <w:p w14:paraId="5004C0DD" w14:textId="77777777" w:rsidR="00030085" w:rsidRPr="006F753B" w:rsidRDefault="00030085" w:rsidP="00A17623">
      <w:pPr>
        <w:widowControl/>
        <w:jc w:val="center"/>
        <w:rPr>
          <w:rFonts w:cs="Times New Roman"/>
          <w:color w:val="auto"/>
          <w:szCs w:val="22"/>
          <w:lang w:val="pt-PT"/>
        </w:rPr>
      </w:pPr>
    </w:p>
    <w:p w14:paraId="6167ABD6" w14:textId="77777777" w:rsidR="00030085" w:rsidRPr="006F753B" w:rsidRDefault="00030085" w:rsidP="00A17623">
      <w:pPr>
        <w:widowControl/>
        <w:jc w:val="center"/>
        <w:rPr>
          <w:rFonts w:cs="Times New Roman"/>
          <w:color w:val="auto"/>
          <w:szCs w:val="22"/>
          <w:lang w:val="pt-PT"/>
        </w:rPr>
      </w:pPr>
    </w:p>
    <w:p w14:paraId="61380A81" w14:textId="77777777" w:rsidR="00030085" w:rsidRPr="006F753B" w:rsidRDefault="00030085" w:rsidP="00A17623">
      <w:pPr>
        <w:widowControl/>
        <w:jc w:val="center"/>
        <w:rPr>
          <w:rFonts w:cs="Times New Roman"/>
          <w:color w:val="auto"/>
          <w:szCs w:val="22"/>
          <w:lang w:val="pt-PT"/>
        </w:rPr>
      </w:pPr>
    </w:p>
    <w:p w14:paraId="3DF7E7EE" w14:textId="77777777" w:rsidR="00030085" w:rsidRPr="006F753B" w:rsidRDefault="00030085" w:rsidP="00A17623">
      <w:pPr>
        <w:widowControl/>
        <w:jc w:val="center"/>
        <w:rPr>
          <w:rFonts w:cs="Times New Roman"/>
          <w:color w:val="auto"/>
          <w:szCs w:val="22"/>
          <w:lang w:val="pt-PT"/>
        </w:rPr>
      </w:pPr>
    </w:p>
    <w:p w14:paraId="6A8972F8" w14:textId="77777777" w:rsidR="00030085" w:rsidRPr="006F753B" w:rsidRDefault="00030085" w:rsidP="00A17623">
      <w:pPr>
        <w:widowControl/>
        <w:jc w:val="center"/>
        <w:rPr>
          <w:rFonts w:cs="Times New Roman"/>
          <w:color w:val="auto"/>
          <w:szCs w:val="22"/>
          <w:lang w:val="pt-PT"/>
        </w:rPr>
      </w:pPr>
    </w:p>
    <w:p w14:paraId="360C884F" w14:textId="77777777" w:rsidR="00030085" w:rsidRPr="006F753B" w:rsidRDefault="00030085" w:rsidP="00A17623">
      <w:pPr>
        <w:widowControl/>
        <w:jc w:val="center"/>
        <w:rPr>
          <w:rFonts w:cs="Times New Roman"/>
          <w:color w:val="auto"/>
          <w:szCs w:val="22"/>
          <w:lang w:val="pt-PT"/>
        </w:rPr>
      </w:pPr>
    </w:p>
    <w:p w14:paraId="19D60DFA" w14:textId="77777777" w:rsidR="00030085" w:rsidRPr="006F753B" w:rsidRDefault="00030085" w:rsidP="00A17623">
      <w:pPr>
        <w:widowControl/>
        <w:jc w:val="center"/>
        <w:rPr>
          <w:rFonts w:cs="Times New Roman"/>
          <w:color w:val="auto"/>
          <w:szCs w:val="22"/>
          <w:lang w:val="pt-PT"/>
        </w:rPr>
      </w:pPr>
    </w:p>
    <w:p w14:paraId="43E2EA0A" w14:textId="77777777" w:rsidR="00030085" w:rsidRPr="006F753B" w:rsidRDefault="00030085" w:rsidP="00A17623">
      <w:pPr>
        <w:widowControl/>
        <w:jc w:val="center"/>
        <w:rPr>
          <w:rFonts w:cs="Times New Roman"/>
          <w:color w:val="auto"/>
          <w:szCs w:val="22"/>
          <w:lang w:val="pt-PT"/>
        </w:rPr>
      </w:pPr>
    </w:p>
    <w:p w14:paraId="733960A4" w14:textId="77777777" w:rsidR="00030085" w:rsidRPr="006F753B" w:rsidRDefault="00030085" w:rsidP="00A17623">
      <w:pPr>
        <w:widowControl/>
        <w:jc w:val="center"/>
        <w:rPr>
          <w:rFonts w:cs="Times New Roman"/>
          <w:color w:val="auto"/>
          <w:szCs w:val="22"/>
          <w:lang w:val="pt-PT"/>
        </w:rPr>
      </w:pPr>
    </w:p>
    <w:p w14:paraId="7B3D59B4" w14:textId="77777777" w:rsidR="00030085" w:rsidRPr="006F753B" w:rsidRDefault="00030085" w:rsidP="00A17623">
      <w:pPr>
        <w:widowControl/>
        <w:jc w:val="center"/>
        <w:rPr>
          <w:rFonts w:cs="Times New Roman"/>
          <w:color w:val="auto"/>
          <w:szCs w:val="22"/>
          <w:lang w:val="pt-PT"/>
        </w:rPr>
      </w:pPr>
    </w:p>
    <w:p w14:paraId="7BA73E68" w14:textId="77777777" w:rsidR="00030085" w:rsidRPr="006F753B" w:rsidRDefault="00030085" w:rsidP="00A17623">
      <w:pPr>
        <w:widowControl/>
        <w:jc w:val="center"/>
        <w:rPr>
          <w:rFonts w:cs="Times New Roman"/>
          <w:color w:val="auto"/>
          <w:szCs w:val="22"/>
          <w:lang w:val="pt-PT"/>
        </w:rPr>
      </w:pPr>
    </w:p>
    <w:p w14:paraId="5A120AE6" w14:textId="77777777" w:rsidR="00030085" w:rsidRPr="006F753B" w:rsidRDefault="00030085" w:rsidP="00A17623">
      <w:pPr>
        <w:widowControl/>
        <w:jc w:val="center"/>
        <w:rPr>
          <w:rFonts w:cs="Times New Roman"/>
          <w:color w:val="auto"/>
          <w:szCs w:val="22"/>
          <w:lang w:val="pt-PT"/>
        </w:rPr>
      </w:pPr>
    </w:p>
    <w:p w14:paraId="013901C9" w14:textId="77777777" w:rsidR="00030085" w:rsidRPr="006F753B" w:rsidRDefault="00030085" w:rsidP="00A17623">
      <w:pPr>
        <w:widowControl/>
        <w:jc w:val="center"/>
        <w:rPr>
          <w:rFonts w:cs="Times New Roman"/>
          <w:color w:val="auto"/>
          <w:szCs w:val="22"/>
          <w:lang w:val="pt-PT"/>
        </w:rPr>
      </w:pPr>
    </w:p>
    <w:p w14:paraId="03062289" w14:textId="77777777" w:rsidR="00030085" w:rsidRPr="006F753B" w:rsidRDefault="00030085" w:rsidP="00A17623">
      <w:pPr>
        <w:widowControl/>
        <w:jc w:val="center"/>
        <w:rPr>
          <w:rFonts w:cs="Times New Roman"/>
          <w:color w:val="auto"/>
          <w:szCs w:val="22"/>
          <w:lang w:val="pt-PT"/>
        </w:rPr>
      </w:pPr>
    </w:p>
    <w:p w14:paraId="1D67A32F" w14:textId="77777777" w:rsidR="00030085" w:rsidRPr="006F753B" w:rsidRDefault="00030085" w:rsidP="00A17623">
      <w:pPr>
        <w:widowControl/>
        <w:jc w:val="center"/>
        <w:rPr>
          <w:rFonts w:cs="Times New Roman"/>
          <w:color w:val="auto"/>
          <w:szCs w:val="22"/>
          <w:lang w:val="pt-PT"/>
        </w:rPr>
      </w:pPr>
    </w:p>
    <w:p w14:paraId="2BEC1701" w14:textId="77777777" w:rsidR="00030085" w:rsidRPr="006F753B" w:rsidRDefault="00030085" w:rsidP="00A17623">
      <w:pPr>
        <w:widowControl/>
        <w:jc w:val="center"/>
        <w:rPr>
          <w:rFonts w:cs="Times New Roman"/>
          <w:color w:val="auto"/>
          <w:szCs w:val="22"/>
          <w:lang w:val="pt-PT"/>
        </w:rPr>
      </w:pPr>
    </w:p>
    <w:p w14:paraId="1B3B5326" w14:textId="77777777" w:rsidR="00030085" w:rsidRPr="006F753B" w:rsidRDefault="00030085" w:rsidP="00A17623">
      <w:pPr>
        <w:widowControl/>
        <w:jc w:val="center"/>
        <w:rPr>
          <w:rFonts w:cs="Times New Roman"/>
          <w:color w:val="auto"/>
          <w:szCs w:val="22"/>
          <w:lang w:val="pt-PT"/>
        </w:rPr>
      </w:pPr>
    </w:p>
    <w:p w14:paraId="4DF1A977" w14:textId="77777777" w:rsidR="00030085" w:rsidRPr="006F753B" w:rsidRDefault="00030085" w:rsidP="00A17623">
      <w:pPr>
        <w:widowControl/>
        <w:jc w:val="center"/>
        <w:rPr>
          <w:rFonts w:cs="Times New Roman"/>
          <w:color w:val="auto"/>
          <w:szCs w:val="22"/>
          <w:lang w:val="pt-PT"/>
        </w:rPr>
      </w:pPr>
    </w:p>
    <w:p w14:paraId="4AFF1575" w14:textId="77777777" w:rsidR="00030085" w:rsidRPr="006F753B" w:rsidRDefault="00030085" w:rsidP="00A17623">
      <w:pPr>
        <w:widowControl/>
        <w:jc w:val="center"/>
        <w:rPr>
          <w:rFonts w:cs="Times New Roman"/>
          <w:color w:val="auto"/>
          <w:szCs w:val="22"/>
          <w:lang w:val="pt-PT"/>
        </w:rPr>
      </w:pPr>
    </w:p>
    <w:p w14:paraId="36E6F5C8" w14:textId="77777777" w:rsidR="00030085" w:rsidRPr="006F753B" w:rsidRDefault="00030085" w:rsidP="00A17623">
      <w:pPr>
        <w:widowControl/>
        <w:jc w:val="center"/>
        <w:rPr>
          <w:rFonts w:cs="Times New Roman"/>
          <w:color w:val="auto"/>
          <w:szCs w:val="22"/>
          <w:lang w:val="pt-PT"/>
        </w:rPr>
      </w:pPr>
    </w:p>
    <w:p w14:paraId="556FD00C" w14:textId="77777777" w:rsidR="00030085" w:rsidRPr="006F753B" w:rsidRDefault="00030085" w:rsidP="00A17623">
      <w:pPr>
        <w:widowControl/>
        <w:jc w:val="center"/>
        <w:rPr>
          <w:rFonts w:cs="Times New Roman"/>
          <w:color w:val="auto"/>
          <w:szCs w:val="22"/>
          <w:lang w:val="pt-PT"/>
        </w:rPr>
      </w:pPr>
    </w:p>
    <w:p w14:paraId="3D8D46C2" w14:textId="77777777" w:rsidR="0077031F" w:rsidRPr="005E5EB1" w:rsidRDefault="00030085" w:rsidP="005E5EB1">
      <w:pPr>
        <w:jc w:val="center"/>
        <w:rPr>
          <w:b/>
          <w:bCs/>
        </w:rPr>
      </w:pPr>
      <w:r w:rsidRPr="005E5EB1">
        <w:rPr>
          <w:b/>
          <w:bCs/>
        </w:rPr>
        <w:t>ANEXO</w:t>
      </w:r>
      <w:r w:rsidR="006A79E5" w:rsidRPr="005E5EB1">
        <w:rPr>
          <w:b/>
          <w:bCs/>
        </w:rPr>
        <w:t> </w:t>
      </w:r>
      <w:r w:rsidRPr="005E5EB1">
        <w:rPr>
          <w:b/>
          <w:bCs/>
        </w:rPr>
        <w:t>I</w:t>
      </w:r>
    </w:p>
    <w:p w14:paraId="6FE0579E" w14:textId="77777777" w:rsidR="00030085" w:rsidRPr="00110D6C" w:rsidRDefault="00030085" w:rsidP="00A17623">
      <w:pPr>
        <w:widowControl/>
        <w:jc w:val="center"/>
        <w:rPr>
          <w:rFonts w:cs="Times New Roman"/>
          <w:bCs/>
          <w:color w:val="auto"/>
          <w:szCs w:val="22"/>
          <w:lang w:val="pt-PT"/>
        </w:rPr>
      </w:pPr>
    </w:p>
    <w:p w14:paraId="0C8E2BC2" w14:textId="77777777" w:rsidR="0077031F" w:rsidRPr="005E5EB1" w:rsidRDefault="00030085" w:rsidP="005E5EB1">
      <w:pPr>
        <w:pStyle w:val="TitleA"/>
        <w:rPr>
          <w:lang w:val="hr-HR"/>
        </w:rPr>
      </w:pPr>
      <w:r w:rsidRPr="005E5EB1">
        <w:rPr>
          <w:lang w:val="hr-HR"/>
        </w:rPr>
        <w:t>RESUMO DAS CARACTERÍSTICAS DO MEDICAMENTO</w:t>
      </w:r>
    </w:p>
    <w:p w14:paraId="45315F8F" w14:textId="77777777" w:rsidR="00343B0C" w:rsidRPr="00110D6C" w:rsidRDefault="00343B0C" w:rsidP="00A17623">
      <w:pPr>
        <w:widowControl/>
        <w:rPr>
          <w:rFonts w:cs="Times New Roman"/>
          <w:bCs/>
          <w:color w:val="auto"/>
          <w:szCs w:val="22"/>
          <w:lang w:val="pt-PT"/>
        </w:rPr>
      </w:pPr>
      <w:r w:rsidRPr="00110D6C">
        <w:rPr>
          <w:rFonts w:cs="Times New Roman"/>
          <w:b/>
          <w:bCs/>
          <w:color w:val="auto"/>
          <w:szCs w:val="22"/>
          <w:lang w:val="pt-PT"/>
        </w:rPr>
        <w:br w:type="page"/>
      </w:r>
    </w:p>
    <w:p w14:paraId="6BCA811B" w14:textId="38C386CD" w:rsidR="00D05FE6" w:rsidRPr="00110D6C" w:rsidRDefault="00D05FE6" w:rsidP="00492A01">
      <w:pPr>
        <w:widowControl/>
        <w:rPr>
          <w:rFonts w:cs="Times New Roman"/>
          <w:b/>
          <w:bCs/>
          <w:color w:val="auto"/>
          <w:szCs w:val="22"/>
          <w:lang w:val="pt-PT"/>
        </w:rPr>
      </w:pPr>
      <w:bookmarkStart w:id="1" w:name="bookmark0"/>
      <w:r w:rsidRPr="00110D6C">
        <w:rPr>
          <w:noProof/>
          <w:lang w:val="pt-PT" w:eastAsia="en-GB" w:bidi="ar-SA"/>
        </w:rPr>
        <w:lastRenderedPageBreak/>
        <w:drawing>
          <wp:inline distT="0" distB="0" distL="0" distR="0" wp14:anchorId="48A17891" wp14:editId="759B1FC6">
            <wp:extent cx="200025" cy="171450"/>
            <wp:effectExtent l="0" t="0" r="0" b="0"/>
            <wp:docPr id="141088847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07569" name="Picture 1"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110D6C">
        <w:rPr>
          <w:lang w:val="pt-PT"/>
        </w:rPr>
        <w:t>Este medicamento está sujeito a monitorização adicional. Isto irá permitir a rápida identificação de nova informação de segurança. Pede-se aos profissionais de saúde que notifiquem quaisquer suspeitas de reações adversas. Para saber como notificar reações adversas, ver secção</w:t>
      </w:r>
      <w:r w:rsidR="00F133CE">
        <w:rPr>
          <w:lang w:val="pt-PT"/>
        </w:rPr>
        <w:t> </w:t>
      </w:r>
      <w:r w:rsidRPr="00110D6C">
        <w:rPr>
          <w:lang w:val="pt-PT"/>
        </w:rPr>
        <w:t>4.8.</w:t>
      </w:r>
    </w:p>
    <w:p w14:paraId="3570C6FA" w14:textId="77777777" w:rsidR="00D05FE6" w:rsidRPr="00492A01" w:rsidRDefault="00D05FE6" w:rsidP="00A17623">
      <w:pPr>
        <w:widowControl/>
        <w:ind w:left="567" w:hanging="567"/>
        <w:rPr>
          <w:rFonts w:cs="Times New Roman"/>
          <w:color w:val="auto"/>
          <w:szCs w:val="22"/>
          <w:lang w:val="pt-PT"/>
        </w:rPr>
      </w:pPr>
    </w:p>
    <w:p w14:paraId="121D1697" w14:textId="77777777" w:rsidR="00D05FE6" w:rsidRPr="00492A01" w:rsidRDefault="00D05FE6" w:rsidP="00A17623">
      <w:pPr>
        <w:widowControl/>
        <w:ind w:left="567" w:hanging="567"/>
        <w:rPr>
          <w:rFonts w:cs="Times New Roman"/>
          <w:color w:val="auto"/>
          <w:szCs w:val="22"/>
          <w:lang w:val="pt-PT"/>
        </w:rPr>
      </w:pPr>
    </w:p>
    <w:p w14:paraId="122BBFA1" w14:textId="460B2AAB"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1.</w:t>
      </w:r>
      <w:r w:rsidRPr="00110D6C">
        <w:rPr>
          <w:rFonts w:cs="Times New Roman"/>
          <w:b/>
          <w:bCs/>
          <w:color w:val="auto"/>
          <w:szCs w:val="22"/>
          <w:lang w:val="pt-PT"/>
        </w:rPr>
        <w:tab/>
      </w:r>
      <w:r w:rsidR="00030085" w:rsidRPr="00110D6C">
        <w:rPr>
          <w:rFonts w:cs="Times New Roman"/>
          <w:b/>
          <w:bCs/>
          <w:color w:val="auto"/>
          <w:szCs w:val="22"/>
          <w:lang w:val="pt-PT"/>
        </w:rPr>
        <w:t>NOME DO MEDICAMENTO</w:t>
      </w:r>
      <w:bookmarkEnd w:id="1"/>
    </w:p>
    <w:p w14:paraId="33632C53" w14:textId="77777777" w:rsidR="00030085" w:rsidRPr="00110D6C" w:rsidRDefault="00030085" w:rsidP="00A17623">
      <w:pPr>
        <w:widowControl/>
        <w:rPr>
          <w:rFonts w:cs="Times New Roman"/>
          <w:color w:val="auto"/>
          <w:szCs w:val="22"/>
          <w:lang w:val="pt-PT"/>
        </w:rPr>
      </w:pPr>
    </w:p>
    <w:p w14:paraId="7EA845C3" w14:textId="19017CF8" w:rsidR="0077031F" w:rsidRPr="00110D6C" w:rsidRDefault="00D05FE6" w:rsidP="00A17623">
      <w:pPr>
        <w:widowControl/>
        <w:rPr>
          <w:rFonts w:cs="Times New Roman"/>
          <w:color w:val="auto"/>
          <w:szCs w:val="22"/>
          <w:lang w:val="pt-PT"/>
        </w:rPr>
      </w:pPr>
      <w:r w:rsidRPr="00110D6C">
        <w:rPr>
          <w:rFonts w:cs="Times New Roman"/>
          <w:color w:val="auto"/>
          <w:szCs w:val="22"/>
          <w:lang w:val="pt-PT"/>
        </w:rPr>
        <w:t>Fymskina</w:t>
      </w:r>
      <w:r w:rsidR="00030085" w:rsidRPr="00110D6C">
        <w:rPr>
          <w:rFonts w:cs="Times New Roman"/>
          <w:color w:val="auto"/>
          <w:szCs w:val="22"/>
          <w:lang w:val="pt-PT"/>
        </w:rPr>
        <w:t xml:space="preserve"> 13</w:t>
      </w:r>
      <w:r w:rsidR="00B910F9" w:rsidRPr="00110D6C">
        <w:rPr>
          <w:rFonts w:cs="Times New Roman"/>
          <w:color w:val="auto"/>
          <w:szCs w:val="22"/>
          <w:lang w:val="pt-PT"/>
        </w:rPr>
        <w:t>0 </w:t>
      </w:r>
      <w:r w:rsidR="00030085" w:rsidRPr="00110D6C">
        <w:rPr>
          <w:rFonts w:cs="Times New Roman"/>
          <w:color w:val="auto"/>
          <w:szCs w:val="22"/>
          <w:lang w:val="pt-PT"/>
        </w:rPr>
        <w:t>mg concentrado para solução para perfusão</w:t>
      </w:r>
    </w:p>
    <w:p w14:paraId="18895356" w14:textId="77777777" w:rsidR="00030085" w:rsidRPr="00110D6C" w:rsidRDefault="00030085" w:rsidP="00A17623">
      <w:pPr>
        <w:widowControl/>
        <w:rPr>
          <w:rFonts w:cs="Times New Roman"/>
          <w:bCs/>
          <w:color w:val="auto"/>
          <w:szCs w:val="22"/>
          <w:lang w:val="pt-PT"/>
        </w:rPr>
      </w:pPr>
      <w:bookmarkStart w:id="2" w:name="bookmark2"/>
    </w:p>
    <w:p w14:paraId="674EC9B4" w14:textId="77777777" w:rsidR="00030085" w:rsidRPr="00110D6C" w:rsidRDefault="00030085" w:rsidP="00A17623">
      <w:pPr>
        <w:widowControl/>
        <w:rPr>
          <w:rFonts w:cs="Times New Roman"/>
          <w:bCs/>
          <w:color w:val="auto"/>
          <w:szCs w:val="22"/>
          <w:lang w:val="pt-PT"/>
        </w:rPr>
      </w:pPr>
    </w:p>
    <w:p w14:paraId="549CF8D3"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2.</w:t>
      </w:r>
      <w:r w:rsidRPr="00110D6C">
        <w:rPr>
          <w:rFonts w:cs="Times New Roman"/>
          <w:b/>
          <w:bCs/>
          <w:color w:val="auto"/>
          <w:szCs w:val="22"/>
          <w:lang w:val="pt-PT"/>
        </w:rPr>
        <w:tab/>
      </w:r>
      <w:r w:rsidR="00030085" w:rsidRPr="00110D6C">
        <w:rPr>
          <w:rFonts w:cs="Times New Roman"/>
          <w:b/>
          <w:bCs/>
          <w:color w:val="auto"/>
          <w:szCs w:val="22"/>
          <w:lang w:val="pt-PT"/>
        </w:rPr>
        <w:t>COMPOSIÇÃO QUALITATIVA E QUANTITATIVA</w:t>
      </w:r>
      <w:bookmarkEnd w:id="2"/>
    </w:p>
    <w:p w14:paraId="250288DA" w14:textId="77777777" w:rsidR="00030085" w:rsidRPr="00110D6C" w:rsidRDefault="00030085" w:rsidP="00A17623">
      <w:pPr>
        <w:widowControl/>
        <w:rPr>
          <w:rFonts w:cs="Times New Roman"/>
          <w:color w:val="auto"/>
          <w:szCs w:val="22"/>
          <w:lang w:val="pt-PT"/>
        </w:rPr>
      </w:pPr>
    </w:p>
    <w:p w14:paraId="6D48D0A2"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Cada frasco para injetáveis contém 13</w:t>
      </w:r>
      <w:r w:rsidR="00B910F9" w:rsidRPr="00110D6C">
        <w:rPr>
          <w:rFonts w:cs="Times New Roman"/>
          <w:color w:val="auto"/>
          <w:szCs w:val="22"/>
          <w:lang w:val="pt-PT"/>
        </w:rPr>
        <w:t>0 </w:t>
      </w:r>
      <w:r w:rsidRPr="00110D6C">
        <w:rPr>
          <w:rFonts w:cs="Times New Roman"/>
          <w:color w:val="auto"/>
          <w:szCs w:val="22"/>
          <w:lang w:val="pt-PT"/>
        </w:rPr>
        <w:t>mg de ustecinumab em 2</w:t>
      </w:r>
      <w:r w:rsidR="00B910F9" w:rsidRPr="00110D6C">
        <w:rPr>
          <w:rFonts w:cs="Times New Roman"/>
          <w:color w:val="auto"/>
          <w:szCs w:val="22"/>
          <w:lang w:val="pt-PT"/>
        </w:rPr>
        <w:t>6 </w:t>
      </w:r>
      <w:r w:rsidRPr="00110D6C">
        <w:rPr>
          <w:rFonts w:cs="Times New Roman"/>
          <w:color w:val="auto"/>
          <w:szCs w:val="22"/>
          <w:lang w:val="pt-PT"/>
        </w:rPr>
        <w:t>ml (</w:t>
      </w:r>
      <w:r w:rsidR="00B910F9" w:rsidRPr="00110D6C">
        <w:rPr>
          <w:rFonts w:cs="Times New Roman"/>
          <w:color w:val="auto"/>
          <w:szCs w:val="22"/>
          <w:lang w:val="pt-PT"/>
        </w:rPr>
        <w:t>5 </w:t>
      </w:r>
      <w:r w:rsidRPr="00110D6C">
        <w:rPr>
          <w:rFonts w:cs="Times New Roman"/>
          <w:color w:val="auto"/>
          <w:szCs w:val="22"/>
          <w:lang w:val="pt-PT"/>
        </w:rPr>
        <w:t>mg/ml).</w:t>
      </w:r>
    </w:p>
    <w:p w14:paraId="1D78D4F5" w14:textId="34FEA92D" w:rsidR="00030085" w:rsidRPr="00110D6C" w:rsidRDefault="00030085" w:rsidP="00A17623">
      <w:pPr>
        <w:widowControl/>
        <w:rPr>
          <w:rFonts w:cs="Times New Roman"/>
          <w:color w:val="auto"/>
          <w:szCs w:val="22"/>
          <w:lang w:val="pt-PT"/>
        </w:rPr>
      </w:pPr>
    </w:p>
    <w:p w14:paraId="3F8E8974" w14:textId="11F1312D"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O ustecinumab é um anticorpo monoclonal IgG1κ anti interleucina (IL)-12/23, totalmente humano produzido numa linhagem de células de </w:t>
      </w:r>
      <w:r w:rsidR="00D05FE6" w:rsidRPr="00110D6C">
        <w:rPr>
          <w:rFonts w:cs="Times New Roman"/>
          <w:color w:val="auto"/>
          <w:szCs w:val="22"/>
          <w:lang w:val="pt-PT"/>
        </w:rPr>
        <w:t xml:space="preserve">ovário de hamster chinês </w:t>
      </w:r>
      <w:r w:rsidRPr="00110D6C">
        <w:rPr>
          <w:rFonts w:cs="Times New Roman"/>
          <w:color w:val="auto"/>
          <w:szCs w:val="22"/>
          <w:lang w:val="pt-PT"/>
        </w:rPr>
        <w:t>utilizando a tecnologia de DN</w:t>
      </w:r>
      <w:r w:rsidR="00133412" w:rsidRPr="00110D6C">
        <w:rPr>
          <w:rFonts w:cs="Times New Roman"/>
          <w:color w:val="auto"/>
          <w:szCs w:val="22"/>
          <w:lang w:val="pt-PT"/>
        </w:rPr>
        <w:t>A</w:t>
      </w:r>
      <w:r w:rsidR="00133412">
        <w:rPr>
          <w:rFonts w:cs="Times New Roman"/>
          <w:color w:val="auto"/>
          <w:szCs w:val="22"/>
          <w:lang w:val="pt-PT"/>
        </w:rPr>
        <w:t xml:space="preserve"> </w:t>
      </w:r>
      <w:r w:rsidRPr="00110D6C">
        <w:rPr>
          <w:rFonts w:cs="Times New Roman"/>
          <w:color w:val="auto"/>
          <w:szCs w:val="22"/>
          <w:lang w:val="pt-PT"/>
        </w:rPr>
        <w:t>recombinante.</w:t>
      </w:r>
    </w:p>
    <w:p w14:paraId="5A3C07CC" w14:textId="77777777" w:rsidR="00030085" w:rsidRPr="00110D6C" w:rsidRDefault="00030085" w:rsidP="00A17623">
      <w:pPr>
        <w:widowControl/>
        <w:rPr>
          <w:rFonts w:cs="Times New Roman"/>
          <w:color w:val="auto"/>
          <w:szCs w:val="22"/>
          <w:lang w:val="pt-PT"/>
        </w:rPr>
      </w:pPr>
    </w:p>
    <w:p w14:paraId="36E96016" w14:textId="77777777" w:rsidR="008214CB" w:rsidRPr="0089076D" w:rsidRDefault="008214CB" w:rsidP="00A17623">
      <w:pPr>
        <w:widowControl/>
        <w:rPr>
          <w:rFonts w:cs="Times New Roman"/>
          <w:color w:val="auto"/>
          <w:szCs w:val="22"/>
          <w:u w:val="single"/>
          <w:lang w:val="pt-PT"/>
        </w:rPr>
      </w:pPr>
      <w:r w:rsidRPr="0089076D">
        <w:rPr>
          <w:rFonts w:cs="Times New Roman"/>
          <w:color w:val="auto"/>
          <w:szCs w:val="22"/>
          <w:u w:val="single"/>
          <w:lang w:val="pt-PT"/>
        </w:rPr>
        <w:t>Excipiente(s) com efeito conhecido</w:t>
      </w:r>
    </w:p>
    <w:p w14:paraId="4DC38636" w14:textId="77777777" w:rsidR="008214CB" w:rsidRDefault="008214CB" w:rsidP="00A17623">
      <w:pPr>
        <w:widowControl/>
        <w:rPr>
          <w:rFonts w:cs="Times New Roman"/>
          <w:color w:val="auto"/>
          <w:szCs w:val="22"/>
          <w:lang w:val="pt-PT"/>
        </w:rPr>
      </w:pPr>
    </w:p>
    <w:p w14:paraId="6E16EB55" w14:textId="33DD36E9" w:rsidR="008214CB" w:rsidRDefault="008214CB" w:rsidP="00A17623">
      <w:pPr>
        <w:widowControl/>
        <w:rPr>
          <w:rFonts w:cs="Times New Roman"/>
          <w:color w:val="auto"/>
          <w:szCs w:val="22"/>
          <w:lang w:val="pt-PT"/>
        </w:rPr>
      </w:pPr>
      <w:r w:rsidRPr="008214CB">
        <w:rPr>
          <w:rFonts w:cs="Times New Roman"/>
          <w:color w:val="auto"/>
          <w:szCs w:val="22"/>
          <w:lang w:val="pt-PT"/>
        </w:rPr>
        <w:t xml:space="preserve">Este medicamento contém </w:t>
      </w:r>
      <w:r>
        <w:rPr>
          <w:rFonts w:cs="Times New Roman"/>
          <w:color w:val="auto"/>
          <w:szCs w:val="22"/>
          <w:lang w:val="pt-PT"/>
        </w:rPr>
        <w:t>10,4 </w:t>
      </w:r>
      <w:r w:rsidRPr="008214CB">
        <w:rPr>
          <w:rFonts w:cs="Times New Roman"/>
          <w:color w:val="auto"/>
          <w:szCs w:val="22"/>
          <w:lang w:val="pt-PT"/>
        </w:rPr>
        <w:t>mg de polissorbato</w:t>
      </w:r>
      <w:r>
        <w:rPr>
          <w:rFonts w:cs="Times New Roman"/>
          <w:color w:val="auto"/>
          <w:szCs w:val="22"/>
          <w:lang w:val="pt-PT"/>
        </w:rPr>
        <w:t> 80</w:t>
      </w:r>
      <w:r w:rsidRPr="008214CB">
        <w:rPr>
          <w:rFonts w:cs="Times New Roman"/>
          <w:color w:val="auto"/>
          <w:szCs w:val="22"/>
          <w:lang w:val="pt-PT"/>
        </w:rPr>
        <w:t xml:space="preserve"> em cada </w:t>
      </w:r>
      <w:r>
        <w:rPr>
          <w:rFonts w:cs="Times New Roman"/>
          <w:color w:val="auto"/>
          <w:szCs w:val="22"/>
          <w:lang w:val="pt-PT"/>
        </w:rPr>
        <w:t>frasco para injetáveis</w:t>
      </w:r>
      <w:r w:rsidR="00FC06C0">
        <w:rPr>
          <w:rFonts w:cs="Times New Roman"/>
          <w:color w:val="auto"/>
          <w:szCs w:val="22"/>
          <w:lang w:val="pt-PT"/>
        </w:rPr>
        <w:t xml:space="preserve"> de 26 ml</w:t>
      </w:r>
      <w:r>
        <w:rPr>
          <w:rFonts w:cs="Times New Roman"/>
          <w:color w:val="auto"/>
          <w:szCs w:val="22"/>
          <w:lang w:val="pt-PT"/>
        </w:rPr>
        <w:t xml:space="preserve">, </w:t>
      </w:r>
      <w:r w:rsidRPr="008214CB">
        <w:rPr>
          <w:rFonts w:cs="Times New Roman"/>
          <w:color w:val="auto"/>
          <w:szCs w:val="22"/>
          <w:lang w:val="pt-PT"/>
        </w:rPr>
        <w:t xml:space="preserve">que é equivalente a </w:t>
      </w:r>
      <w:r>
        <w:rPr>
          <w:rFonts w:cs="Times New Roman"/>
          <w:color w:val="auto"/>
          <w:szCs w:val="22"/>
          <w:lang w:val="pt-PT"/>
        </w:rPr>
        <w:t>0,4 mg/ml.</w:t>
      </w:r>
    </w:p>
    <w:p w14:paraId="16E87B8E" w14:textId="77777777" w:rsidR="008214CB" w:rsidRDefault="008214CB" w:rsidP="00A17623">
      <w:pPr>
        <w:widowControl/>
        <w:rPr>
          <w:rFonts w:cs="Times New Roman"/>
          <w:color w:val="auto"/>
          <w:szCs w:val="22"/>
          <w:lang w:val="pt-PT"/>
        </w:rPr>
      </w:pPr>
    </w:p>
    <w:p w14:paraId="4C040316" w14:textId="50FB24E7" w:rsidR="0077031F" w:rsidRPr="00110D6C" w:rsidRDefault="00030085" w:rsidP="00A17623">
      <w:pPr>
        <w:widowControl/>
        <w:rPr>
          <w:rFonts w:cs="Times New Roman"/>
          <w:color w:val="auto"/>
          <w:szCs w:val="22"/>
          <w:lang w:val="pt-PT"/>
        </w:rPr>
      </w:pPr>
      <w:r w:rsidRPr="00110D6C">
        <w:rPr>
          <w:rFonts w:cs="Times New Roman"/>
          <w:color w:val="auto"/>
          <w:szCs w:val="22"/>
          <w:lang w:val="pt-PT"/>
        </w:rPr>
        <w:t>Lista completa de excipientes,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6.1.</w:t>
      </w:r>
    </w:p>
    <w:p w14:paraId="50F744FF" w14:textId="77777777" w:rsidR="00030085" w:rsidRPr="00110D6C" w:rsidRDefault="00030085" w:rsidP="00A17623">
      <w:pPr>
        <w:widowControl/>
        <w:rPr>
          <w:rFonts w:cs="Times New Roman"/>
          <w:bCs/>
          <w:color w:val="auto"/>
          <w:szCs w:val="22"/>
          <w:lang w:val="pt-PT"/>
        </w:rPr>
      </w:pPr>
      <w:bookmarkStart w:id="3" w:name="bookmark4"/>
    </w:p>
    <w:p w14:paraId="391EDAF4" w14:textId="77777777" w:rsidR="00030085" w:rsidRPr="00110D6C" w:rsidRDefault="00030085" w:rsidP="00A17623">
      <w:pPr>
        <w:widowControl/>
        <w:rPr>
          <w:rFonts w:cs="Times New Roman"/>
          <w:bCs/>
          <w:color w:val="auto"/>
          <w:szCs w:val="22"/>
          <w:lang w:val="pt-PT"/>
        </w:rPr>
      </w:pPr>
    </w:p>
    <w:p w14:paraId="6FC2A731"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3.</w:t>
      </w:r>
      <w:r w:rsidRPr="00110D6C">
        <w:rPr>
          <w:rFonts w:cs="Times New Roman"/>
          <w:b/>
          <w:bCs/>
          <w:color w:val="auto"/>
          <w:szCs w:val="22"/>
          <w:lang w:val="pt-PT"/>
        </w:rPr>
        <w:tab/>
      </w:r>
      <w:r w:rsidR="00030085" w:rsidRPr="00110D6C">
        <w:rPr>
          <w:rFonts w:cs="Times New Roman"/>
          <w:b/>
          <w:bCs/>
          <w:color w:val="auto"/>
          <w:szCs w:val="22"/>
          <w:lang w:val="pt-PT"/>
        </w:rPr>
        <w:t>FORMA FARMACÊUTICA</w:t>
      </w:r>
      <w:bookmarkEnd w:id="3"/>
    </w:p>
    <w:p w14:paraId="1994F9DD" w14:textId="77777777" w:rsidR="00AD79FE" w:rsidRPr="00110D6C" w:rsidRDefault="00AD79FE" w:rsidP="00A17623">
      <w:pPr>
        <w:widowControl/>
        <w:rPr>
          <w:rFonts w:cs="Times New Roman"/>
          <w:color w:val="auto"/>
          <w:szCs w:val="22"/>
          <w:lang w:val="pt-PT"/>
        </w:rPr>
      </w:pPr>
    </w:p>
    <w:p w14:paraId="03425EE4"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Concentrado para solução para perfusão.</w:t>
      </w:r>
    </w:p>
    <w:p w14:paraId="243F0EDF" w14:textId="77777777" w:rsidR="00AD79FE" w:rsidRPr="00110D6C" w:rsidRDefault="00AD79FE" w:rsidP="00A17623">
      <w:pPr>
        <w:widowControl/>
        <w:rPr>
          <w:rFonts w:cs="Times New Roman"/>
          <w:color w:val="auto"/>
          <w:szCs w:val="22"/>
          <w:lang w:val="pt-PT"/>
        </w:rPr>
      </w:pPr>
    </w:p>
    <w:p w14:paraId="222A43C7" w14:textId="10BFB4EB" w:rsidR="0077031F" w:rsidRPr="00110D6C" w:rsidRDefault="00030085" w:rsidP="00A17623">
      <w:pPr>
        <w:widowControl/>
        <w:rPr>
          <w:rFonts w:cs="Times New Roman"/>
          <w:color w:val="auto"/>
          <w:szCs w:val="22"/>
          <w:lang w:val="pt-PT"/>
        </w:rPr>
      </w:pPr>
      <w:r w:rsidRPr="00110D6C">
        <w:rPr>
          <w:rFonts w:cs="Times New Roman"/>
          <w:color w:val="auto"/>
          <w:szCs w:val="22"/>
          <w:lang w:val="pt-PT"/>
        </w:rPr>
        <w:t>A solução é transparente</w:t>
      </w:r>
      <w:r w:rsidR="00D05FE6" w:rsidRPr="00110D6C">
        <w:rPr>
          <w:rFonts w:cs="Times New Roman"/>
          <w:color w:val="auto"/>
          <w:szCs w:val="22"/>
          <w:lang w:val="pt-PT"/>
        </w:rPr>
        <w:t xml:space="preserve"> e</w:t>
      </w:r>
      <w:r w:rsidRPr="00110D6C">
        <w:rPr>
          <w:rFonts w:cs="Times New Roman"/>
          <w:color w:val="auto"/>
          <w:szCs w:val="22"/>
          <w:lang w:val="pt-PT"/>
        </w:rPr>
        <w:t xml:space="preserve"> incolor a </w:t>
      </w:r>
      <w:r w:rsidR="00D05FE6" w:rsidRPr="00110D6C">
        <w:rPr>
          <w:rFonts w:cs="Times New Roman"/>
          <w:color w:val="auto"/>
          <w:szCs w:val="22"/>
          <w:lang w:val="pt-PT"/>
        </w:rPr>
        <w:t xml:space="preserve">ligeiramente </w:t>
      </w:r>
      <w:r w:rsidRPr="00110D6C">
        <w:rPr>
          <w:rFonts w:cs="Times New Roman"/>
          <w:color w:val="auto"/>
          <w:szCs w:val="22"/>
          <w:lang w:val="pt-PT"/>
        </w:rPr>
        <w:t>amarel</w:t>
      </w:r>
      <w:r w:rsidR="00D05FE6" w:rsidRPr="00110D6C">
        <w:rPr>
          <w:rFonts w:cs="Times New Roman"/>
          <w:color w:val="auto"/>
          <w:szCs w:val="22"/>
          <w:lang w:val="pt-PT"/>
        </w:rPr>
        <w:t>o-acastanhada</w:t>
      </w:r>
      <w:r w:rsidRPr="00110D6C">
        <w:rPr>
          <w:rFonts w:cs="Times New Roman"/>
          <w:color w:val="auto"/>
          <w:szCs w:val="22"/>
          <w:lang w:val="pt-PT"/>
        </w:rPr>
        <w:t>.</w:t>
      </w:r>
    </w:p>
    <w:p w14:paraId="4A76EDB4" w14:textId="77777777" w:rsidR="00030085" w:rsidRPr="00110D6C" w:rsidRDefault="00030085" w:rsidP="00A17623">
      <w:pPr>
        <w:widowControl/>
        <w:rPr>
          <w:rFonts w:cs="Times New Roman"/>
          <w:color w:val="auto"/>
          <w:szCs w:val="22"/>
          <w:lang w:val="pt-PT"/>
        </w:rPr>
      </w:pPr>
    </w:p>
    <w:p w14:paraId="4F89E603" w14:textId="77777777" w:rsidR="00030085" w:rsidRPr="00110D6C" w:rsidRDefault="00030085" w:rsidP="00A17623">
      <w:pPr>
        <w:widowControl/>
        <w:rPr>
          <w:rFonts w:cs="Times New Roman"/>
          <w:color w:val="auto"/>
          <w:szCs w:val="22"/>
          <w:lang w:val="pt-PT"/>
        </w:rPr>
      </w:pPr>
    </w:p>
    <w:p w14:paraId="7849CFD6"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4.</w:t>
      </w:r>
      <w:r w:rsidRPr="00110D6C">
        <w:rPr>
          <w:rFonts w:cs="Times New Roman"/>
          <w:b/>
          <w:bCs/>
          <w:color w:val="auto"/>
          <w:szCs w:val="22"/>
          <w:lang w:val="pt-PT"/>
        </w:rPr>
        <w:tab/>
      </w:r>
      <w:r w:rsidR="00030085" w:rsidRPr="00110D6C">
        <w:rPr>
          <w:rFonts w:cs="Times New Roman"/>
          <w:b/>
          <w:bCs/>
          <w:color w:val="auto"/>
          <w:szCs w:val="22"/>
          <w:lang w:val="pt-PT"/>
        </w:rPr>
        <w:t>INFORMAÇÕES CLÍNICAS</w:t>
      </w:r>
    </w:p>
    <w:p w14:paraId="42B74146" w14:textId="77777777" w:rsidR="00DC3C01" w:rsidRPr="00110D6C" w:rsidRDefault="00DC3C01" w:rsidP="002057DA">
      <w:pPr>
        <w:widowControl/>
        <w:rPr>
          <w:rFonts w:cs="Times New Roman"/>
          <w:bCs/>
          <w:color w:val="auto"/>
          <w:szCs w:val="22"/>
          <w:lang w:val="pt-PT"/>
        </w:rPr>
      </w:pPr>
      <w:bookmarkStart w:id="4" w:name="bookmark6"/>
    </w:p>
    <w:p w14:paraId="0B4FF014"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4.1</w:t>
      </w:r>
      <w:r w:rsidRPr="00110D6C">
        <w:rPr>
          <w:rFonts w:cs="Times New Roman"/>
          <w:b/>
          <w:bCs/>
          <w:color w:val="auto"/>
          <w:szCs w:val="22"/>
          <w:lang w:val="pt-PT"/>
        </w:rPr>
        <w:tab/>
      </w:r>
      <w:r w:rsidR="00030085" w:rsidRPr="00110D6C">
        <w:rPr>
          <w:rFonts w:cs="Times New Roman"/>
          <w:b/>
          <w:bCs/>
          <w:color w:val="auto"/>
          <w:szCs w:val="22"/>
          <w:lang w:val="pt-PT"/>
        </w:rPr>
        <w:t>Indicações terapêuticas</w:t>
      </w:r>
      <w:bookmarkEnd w:id="4"/>
    </w:p>
    <w:p w14:paraId="14B9D3FC" w14:textId="77777777" w:rsidR="00030085" w:rsidRPr="00110D6C" w:rsidRDefault="00030085" w:rsidP="00A17623">
      <w:pPr>
        <w:widowControl/>
        <w:rPr>
          <w:rFonts w:cs="Times New Roman"/>
          <w:color w:val="auto"/>
          <w:szCs w:val="22"/>
          <w:lang w:val="pt-PT"/>
        </w:rPr>
      </w:pPr>
    </w:p>
    <w:p w14:paraId="38061E2C"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Doença de Crohn</w:t>
      </w:r>
    </w:p>
    <w:p w14:paraId="5DC05D97" w14:textId="258C579E" w:rsidR="0077031F" w:rsidRPr="00110D6C" w:rsidRDefault="00D05FE6" w:rsidP="00A17623">
      <w:pPr>
        <w:widowControl/>
        <w:rPr>
          <w:rFonts w:cs="Times New Roman"/>
          <w:color w:val="auto"/>
          <w:szCs w:val="22"/>
          <w:lang w:val="pt-PT"/>
        </w:rPr>
      </w:pPr>
      <w:r w:rsidRPr="00110D6C">
        <w:rPr>
          <w:rFonts w:cs="Times New Roman"/>
          <w:color w:val="auto"/>
          <w:szCs w:val="22"/>
          <w:lang w:val="pt-PT"/>
        </w:rPr>
        <w:t>Fymskina</w:t>
      </w:r>
      <w:r w:rsidR="00030085" w:rsidRPr="00110D6C">
        <w:rPr>
          <w:rFonts w:cs="Times New Roman"/>
          <w:color w:val="auto"/>
          <w:szCs w:val="22"/>
          <w:lang w:val="pt-PT"/>
        </w:rPr>
        <w:t xml:space="preserve"> está indicado para o tratamento de doentes adultos com doença de Crohn ativa moderada a grave que apresentaram uma resposta inadequada, deixaram de responder ou demonstraram ser intolerantes à terapêutica convencional ou a um antagonista do TNFα ou têm contraindicações médicas para essas terapêuticas.</w:t>
      </w:r>
    </w:p>
    <w:p w14:paraId="37F2AE5F" w14:textId="77777777" w:rsidR="00DC3C01" w:rsidRPr="00110D6C" w:rsidRDefault="00DC3C01" w:rsidP="002057DA">
      <w:pPr>
        <w:widowControl/>
        <w:rPr>
          <w:rFonts w:cs="Times New Roman"/>
          <w:bCs/>
          <w:color w:val="auto"/>
          <w:szCs w:val="22"/>
          <w:lang w:val="pt-PT"/>
        </w:rPr>
      </w:pPr>
      <w:bookmarkStart w:id="5" w:name="bookmark8"/>
    </w:p>
    <w:p w14:paraId="74185723" w14:textId="77777777" w:rsidR="00DC3C01" w:rsidRPr="00110D6C" w:rsidRDefault="00DC3C01" w:rsidP="002057DA">
      <w:pPr>
        <w:widowControl/>
        <w:rPr>
          <w:rFonts w:cs="Times New Roman"/>
          <w:bCs/>
          <w:color w:val="auto"/>
          <w:szCs w:val="22"/>
          <w:lang w:val="pt-PT"/>
        </w:rPr>
      </w:pPr>
    </w:p>
    <w:p w14:paraId="64D3D7BE"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4.2</w:t>
      </w:r>
      <w:r w:rsidRPr="00110D6C">
        <w:rPr>
          <w:rFonts w:cs="Times New Roman"/>
          <w:b/>
          <w:bCs/>
          <w:color w:val="auto"/>
          <w:szCs w:val="22"/>
          <w:lang w:val="pt-PT"/>
        </w:rPr>
        <w:tab/>
      </w:r>
      <w:r w:rsidR="00030085" w:rsidRPr="00110D6C">
        <w:rPr>
          <w:rFonts w:cs="Times New Roman"/>
          <w:b/>
          <w:bCs/>
          <w:color w:val="auto"/>
          <w:szCs w:val="22"/>
          <w:lang w:val="pt-PT"/>
        </w:rPr>
        <w:t>Posologia e modo de administração</w:t>
      </w:r>
      <w:bookmarkEnd w:id="5"/>
    </w:p>
    <w:p w14:paraId="2E0881F2" w14:textId="77777777" w:rsidR="00030085" w:rsidRPr="00110D6C" w:rsidRDefault="00030085" w:rsidP="00A17623">
      <w:pPr>
        <w:widowControl/>
        <w:rPr>
          <w:rFonts w:cs="Times New Roman"/>
          <w:color w:val="auto"/>
          <w:szCs w:val="22"/>
          <w:lang w:val="pt-PT"/>
        </w:rPr>
      </w:pPr>
    </w:p>
    <w:p w14:paraId="176DE64D" w14:textId="0AB7A6C5" w:rsidR="0077031F" w:rsidRPr="00110D6C" w:rsidRDefault="00D05FE6" w:rsidP="00A17623">
      <w:pPr>
        <w:widowControl/>
        <w:rPr>
          <w:rFonts w:cs="Times New Roman"/>
          <w:color w:val="auto"/>
          <w:szCs w:val="22"/>
          <w:lang w:val="pt-PT"/>
        </w:rPr>
      </w:pPr>
      <w:r w:rsidRPr="00110D6C">
        <w:rPr>
          <w:rFonts w:cs="Times New Roman"/>
          <w:color w:val="auto"/>
          <w:szCs w:val="22"/>
          <w:lang w:val="pt-PT"/>
        </w:rPr>
        <w:t>Fymskina</w:t>
      </w:r>
      <w:r w:rsidR="00030085" w:rsidRPr="00110D6C">
        <w:rPr>
          <w:rFonts w:cs="Times New Roman"/>
          <w:color w:val="auto"/>
          <w:szCs w:val="22"/>
          <w:lang w:val="pt-PT"/>
        </w:rPr>
        <w:t xml:space="preserve"> concentrado para solução para perfusão deverá ser utilizado sob a orientação e supervisão de médicos com experiência no diagnóstico e tratamento da doença de Crohn.</w:t>
      </w:r>
    </w:p>
    <w:p w14:paraId="6E28D317" w14:textId="5A3FF590" w:rsidR="0077031F" w:rsidRPr="00110D6C" w:rsidRDefault="00D05FE6" w:rsidP="00A17623">
      <w:pPr>
        <w:widowControl/>
        <w:rPr>
          <w:rFonts w:cs="Times New Roman"/>
          <w:color w:val="auto"/>
          <w:szCs w:val="22"/>
          <w:lang w:val="pt-PT"/>
        </w:rPr>
      </w:pPr>
      <w:r w:rsidRPr="00110D6C">
        <w:rPr>
          <w:rFonts w:cs="Times New Roman"/>
          <w:color w:val="auto"/>
          <w:szCs w:val="22"/>
          <w:lang w:val="pt-PT"/>
        </w:rPr>
        <w:t>Fymskina</w:t>
      </w:r>
      <w:r w:rsidR="00030085" w:rsidRPr="00110D6C">
        <w:rPr>
          <w:rFonts w:cs="Times New Roman"/>
          <w:color w:val="auto"/>
          <w:szCs w:val="22"/>
          <w:lang w:val="pt-PT"/>
        </w:rPr>
        <w:t xml:space="preserve"> concentrado para solução para perfusão deve ser utilizado apenas para a dose de indução intravenosa.</w:t>
      </w:r>
    </w:p>
    <w:p w14:paraId="2F36FF42" w14:textId="77777777" w:rsidR="00030085" w:rsidRPr="00110D6C" w:rsidRDefault="00030085" w:rsidP="00A17623">
      <w:pPr>
        <w:widowControl/>
        <w:rPr>
          <w:rFonts w:cs="Times New Roman"/>
          <w:color w:val="auto"/>
          <w:szCs w:val="22"/>
          <w:lang w:val="pt-PT"/>
        </w:rPr>
      </w:pPr>
    </w:p>
    <w:p w14:paraId="6BEB6203" w14:textId="77777777" w:rsidR="0077031F" w:rsidRPr="00110D6C" w:rsidRDefault="00030085" w:rsidP="00A17623">
      <w:pPr>
        <w:widowControl/>
        <w:rPr>
          <w:rFonts w:cs="Times New Roman"/>
          <w:color w:val="auto"/>
          <w:szCs w:val="22"/>
          <w:u w:val="single"/>
          <w:lang w:val="pt-PT"/>
        </w:rPr>
      </w:pPr>
      <w:r w:rsidRPr="00110D6C">
        <w:rPr>
          <w:rFonts w:cs="Times New Roman"/>
          <w:color w:val="auto"/>
          <w:szCs w:val="22"/>
          <w:u w:val="single"/>
          <w:lang w:val="pt-PT"/>
        </w:rPr>
        <w:t>Posologia</w:t>
      </w:r>
    </w:p>
    <w:p w14:paraId="401C0187" w14:textId="77777777" w:rsidR="00030085" w:rsidRPr="00110D6C" w:rsidRDefault="00030085" w:rsidP="00A17623">
      <w:pPr>
        <w:widowControl/>
        <w:rPr>
          <w:rFonts w:cs="Times New Roman"/>
          <w:color w:val="auto"/>
          <w:szCs w:val="22"/>
          <w:lang w:val="pt-PT"/>
        </w:rPr>
      </w:pPr>
    </w:p>
    <w:p w14:paraId="0D737C60" w14:textId="428587A4"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Doença de Crohn</w:t>
      </w:r>
    </w:p>
    <w:p w14:paraId="22772AAB" w14:textId="7162E3F3"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O tratamento com </w:t>
      </w:r>
      <w:r w:rsidR="00D05FE6" w:rsidRPr="00110D6C">
        <w:rPr>
          <w:rFonts w:cs="Times New Roman"/>
          <w:color w:val="auto"/>
          <w:szCs w:val="22"/>
          <w:lang w:val="pt-PT"/>
        </w:rPr>
        <w:t>Fymskina</w:t>
      </w:r>
      <w:r w:rsidRPr="00110D6C">
        <w:rPr>
          <w:rFonts w:cs="Times New Roman"/>
          <w:color w:val="auto"/>
          <w:szCs w:val="22"/>
          <w:lang w:val="pt-PT"/>
        </w:rPr>
        <w:t xml:space="preserve"> deve ser iniciado com uma dose intravenosa única baseada no peso corporal. A solução para perfusão deve ser composta pelo número de frascos para injetáveis de </w:t>
      </w:r>
      <w:r w:rsidR="00D05FE6" w:rsidRPr="00110D6C">
        <w:rPr>
          <w:rFonts w:cs="Times New Roman"/>
          <w:color w:val="auto"/>
          <w:szCs w:val="22"/>
          <w:lang w:val="pt-PT"/>
        </w:rPr>
        <w:t>Fymskina</w:t>
      </w:r>
      <w:r w:rsidRPr="00110D6C">
        <w:rPr>
          <w:rFonts w:cs="Times New Roman"/>
          <w:color w:val="auto"/>
          <w:szCs w:val="22"/>
          <w:lang w:val="pt-PT"/>
        </w:rPr>
        <w:t xml:space="preserve"> 13</w:t>
      </w:r>
      <w:r w:rsidR="00B910F9" w:rsidRPr="00110D6C">
        <w:rPr>
          <w:rFonts w:cs="Times New Roman"/>
          <w:color w:val="auto"/>
          <w:szCs w:val="22"/>
          <w:lang w:val="pt-PT"/>
        </w:rPr>
        <w:t>0 </w:t>
      </w:r>
      <w:r w:rsidRPr="00110D6C">
        <w:rPr>
          <w:rFonts w:cs="Times New Roman"/>
          <w:color w:val="auto"/>
          <w:szCs w:val="22"/>
          <w:lang w:val="pt-PT"/>
        </w:rPr>
        <w:t>mg, conforme especificado na Tabela</w:t>
      </w:r>
      <w:r w:rsidR="00982985" w:rsidRPr="00110D6C">
        <w:rPr>
          <w:rFonts w:cs="Times New Roman"/>
          <w:color w:val="auto"/>
          <w:szCs w:val="22"/>
          <w:lang w:val="pt-PT"/>
        </w:rPr>
        <w:t> </w:t>
      </w:r>
      <w:r w:rsidR="00B910F9" w:rsidRPr="00110D6C">
        <w:rPr>
          <w:rFonts w:cs="Times New Roman"/>
          <w:color w:val="auto"/>
          <w:szCs w:val="22"/>
          <w:lang w:val="pt-PT"/>
        </w:rPr>
        <w:t>1</w:t>
      </w:r>
      <w:r w:rsidR="00982985" w:rsidRPr="00110D6C">
        <w:rPr>
          <w:rFonts w:cs="Times New Roman"/>
          <w:color w:val="auto"/>
          <w:szCs w:val="22"/>
          <w:lang w:val="pt-PT"/>
        </w:rPr>
        <w:t xml:space="preserve"> </w:t>
      </w:r>
      <w:r w:rsidRPr="00110D6C">
        <w:rPr>
          <w:rFonts w:cs="Times New Roman"/>
          <w:color w:val="auto"/>
          <w:szCs w:val="22"/>
          <w:lang w:val="pt-PT"/>
        </w:rPr>
        <w:t>(ver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6.</w:t>
      </w:r>
      <w:r w:rsidR="00B910F9" w:rsidRPr="00110D6C">
        <w:rPr>
          <w:rFonts w:cs="Times New Roman"/>
          <w:color w:val="auto"/>
          <w:szCs w:val="22"/>
          <w:lang w:val="pt-PT"/>
        </w:rPr>
        <w:t>6</w:t>
      </w:r>
      <w:r w:rsidR="006A79E5" w:rsidRPr="00110D6C">
        <w:rPr>
          <w:rFonts w:cs="Times New Roman"/>
          <w:color w:val="auto"/>
          <w:szCs w:val="22"/>
          <w:lang w:val="pt-PT"/>
        </w:rPr>
        <w:t xml:space="preserve"> </w:t>
      </w:r>
      <w:r w:rsidRPr="00110D6C">
        <w:rPr>
          <w:rFonts w:cs="Times New Roman"/>
          <w:color w:val="auto"/>
          <w:szCs w:val="22"/>
          <w:lang w:val="pt-PT"/>
        </w:rPr>
        <w:t>para a preparação).</w:t>
      </w:r>
    </w:p>
    <w:p w14:paraId="50ACBA03" w14:textId="77777777" w:rsidR="00030085" w:rsidRPr="00110D6C" w:rsidRDefault="00030085" w:rsidP="00A17623">
      <w:pPr>
        <w:widowControl/>
        <w:rPr>
          <w:rFonts w:cs="Times New Roman"/>
          <w:color w:val="auto"/>
          <w:szCs w:val="22"/>
          <w:lang w:val="pt-PT"/>
        </w:rPr>
      </w:pPr>
    </w:p>
    <w:p w14:paraId="0D68E168" w14:textId="79CFDD81" w:rsidR="0077031F" w:rsidRPr="00110D6C" w:rsidRDefault="00030085" w:rsidP="00A17623">
      <w:pPr>
        <w:keepNext/>
        <w:keepLines/>
        <w:widowControl/>
        <w:ind w:left="1134" w:hanging="1134"/>
        <w:rPr>
          <w:rFonts w:cs="Times New Roman"/>
          <w:color w:val="auto"/>
          <w:szCs w:val="22"/>
          <w:lang w:val="pt-PT"/>
        </w:rPr>
      </w:pPr>
      <w:r w:rsidRPr="00110D6C">
        <w:rPr>
          <w:rFonts w:cs="Times New Roman"/>
          <w:i/>
          <w:iCs/>
          <w:color w:val="auto"/>
          <w:szCs w:val="22"/>
          <w:lang w:val="pt-PT"/>
        </w:rPr>
        <w:t>Tabela</w:t>
      </w:r>
      <w:r w:rsidR="00982985" w:rsidRPr="00110D6C">
        <w:rPr>
          <w:rFonts w:cs="Times New Roman"/>
          <w:i/>
          <w:iCs/>
          <w:color w:val="auto"/>
          <w:szCs w:val="22"/>
          <w:lang w:val="pt-PT"/>
        </w:rPr>
        <w:t> </w:t>
      </w:r>
      <w:r w:rsidRPr="00110D6C">
        <w:rPr>
          <w:rFonts w:cs="Times New Roman"/>
          <w:i/>
          <w:iCs/>
          <w:color w:val="auto"/>
          <w:szCs w:val="22"/>
          <w:lang w:val="pt-PT"/>
        </w:rPr>
        <w:t>1</w:t>
      </w:r>
      <w:r w:rsidRPr="00110D6C">
        <w:rPr>
          <w:rFonts w:cs="Times New Roman"/>
          <w:i/>
          <w:iCs/>
          <w:color w:val="auto"/>
          <w:szCs w:val="22"/>
          <w:lang w:val="pt-PT"/>
        </w:rPr>
        <w:tab/>
        <w:t xml:space="preserve">Administração inicial intravenosa de </w:t>
      </w:r>
      <w:r w:rsidR="00D05FE6" w:rsidRPr="00110D6C">
        <w:rPr>
          <w:rFonts w:cs="Times New Roman"/>
          <w:i/>
          <w:iCs/>
          <w:color w:val="auto"/>
          <w:szCs w:val="22"/>
          <w:lang w:val="pt-PT"/>
        </w:rPr>
        <w:t>Fymskina</w:t>
      </w:r>
    </w:p>
    <w:tbl>
      <w:tblPr>
        <w:tblOverlap w:val="never"/>
        <w:tblW w:w="5000" w:type="pct"/>
        <w:tblLook w:val="04A0" w:firstRow="1" w:lastRow="0" w:firstColumn="1" w:lastColumn="0" w:noHBand="0" w:noVBand="1"/>
      </w:tblPr>
      <w:tblGrid>
        <w:gridCol w:w="3884"/>
        <w:gridCol w:w="2389"/>
        <w:gridCol w:w="2789"/>
      </w:tblGrid>
      <w:tr w:rsidR="0077031F" w:rsidRPr="00110D6C" w14:paraId="441FD441" w14:textId="77777777" w:rsidTr="005B2D5C">
        <w:tc>
          <w:tcPr>
            <w:tcW w:w="2143" w:type="pct"/>
            <w:tcBorders>
              <w:top w:val="single" w:sz="4" w:space="0" w:color="auto"/>
              <w:left w:val="single" w:sz="4" w:space="0" w:color="auto"/>
            </w:tcBorders>
            <w:shd w:val="clear" w:color="auto" w:fill="auto"/>
          </w:tcPr>
          <w:p w14:paraId="0B9BFDDE" w14:textId="77777777" w:rsidR="0077031F" w:rsidRPr="00110D6C" w:rsidRDefault="00030085" w:rsidP="00A17623">
            <w:pPr>
              <w:keepNext/>
              <w:keepLines/>
              <w:widowControl/>
              <w:rPr>
                <w:rFonts w:cs="Times New Roman"/>
                <w:color w:val="auto"/>
                <w:szCs w:val="22"/>
                <w:lang w:val="pt-PT"/>
              </w:rPr>
            </w:pPr>
            <w:r w:rsidRPr="00110D6C">
              <w:rPr>
                <w:rFonts w:cs="Times New Roman"/>
                <w:b/>
                <w:bCs/>
                <w:color w:val="auto"/>
                <w:szCs w:val="22"/>
                <w:lang w:val="pt-PT"/>
              </w:rPr>
              <w:t>Peso corporal no momento da administração</w:t>
            </w:r>
          </w:p>
        </w:tc>
        <w:tc>
          <w:tcPr>
            <w:tcW w:w="1318" w:type="pct"/>
            <w:tcBorders>
              <w:top w:val="single" w:sz="4" w:space="0" w:color="auto"/>
            </w:tcBorders>
            <w:shd w:val="clear" w:color="auto" w:fill="auto"/>
          </w:tcPr>
          <w:p w14:paraId="7A66F221" w14:textId="77777777" w:rsidR="0077031F" w:rsidRPr="00110D6C" w:rsidRDefault="00030085" w:rsidP="00A17623">
            <w:pPr>
              <w:keepNext/>
              <w:keepLines/>
              <w:widowControl/>
              <w:jc w:val="center"/>
              <w:rPr>
                <w:rFonts w:cs="Times New Roman"/>
                <w:color w:val="auto"/>
                <w:szCs w:val="22"/>
                <w:lang w:val="pt-PT"/>
              </w:rPr>
            </w:pPr>
            <w:r w:rsidRPr="00110D6C">
              <w:rPr>
                <w:rFonts w:cs="Times New Roman"/>
                <w:b/>
                <w:bCs/>
                <w:color w:val="auto"/>
                <w:szCs w:val="22"/>
                <w:lang w:val="pt-PT"/>
              </w:rPr>
              <w:t>Dose recomendada</w:t>
            </w:r>
            <w:r w:rsidRPr="00110D6C">
              <w:rPr>
                <w:rFonts w:cs="Times New Roman"/>
                <w:b/>
                <w:bCs/>
                <w:color w:val="auto"/>
                <w:szCs w:val="22"/>
                <w:vertAlign w:val="superscript"/>
                <w:lang w:val="pt-PT"/>
              </w:rPr>
              <w:t>a</w:t>
            </w:r>
          </w:p>
        </w:tc>
        <w:tc>
          <w:tcPr>
            <w:tcW w:w="1539" w:type="pct"/>
            <w:tcBorders>
              <w:top w:val="single" w:sz="4" w:space="0" w:color="auto"/>
              <w:right w:val="single" w:sz="4" w:space="0" w:color="auto"/>
            </w:tcBorders>
            <w:shd w:val="clear" w:color="auto" w:fill="auto"/>
            <w:vAlign w:val="bottom"/>
          </w:tcPr>
          <w:p w14:paraId="5A63DCF0" w14:textId="3671A45C" w:rsidR="0077031F" w:rsidRPr="00110D6C" w:rsidRDefault="00030085" w:rsidP="00A17623">
            <w:pPr>
              <w:keepNext/>
              <w:keepLines/>
              <w:widowControl/>
              <w:jc w:val="center"/>
              <w:rPr>
                <w:rFonts w:cs="Times New Roman"/>
                <w:color w:val="auto"/>
                <w:szCs w:val="22"/>
                <w:lang w:val="pt-PT"/>
              </w:rPr>
            </w:pPr>
            <w:r w:rsidRPr="00110D6C">
              <w:rPr>
                <w:rFonts w:cs="Times New Roman"/>
                <w:b/>
                <w:bCs/>
                <w:color w:val="auto"/>
                <w:szCs w:val="22"/>
                <w:lang w:val="pt-PT"/>
              </w:rPr>
              <w:t xml:space="preserve">Número de frascos para injetáveis de </w:t>
            </w:r>
            <w:r w:rsidR="00D05FE6" w:rsidRPr="00110D6C">
              <w:rPr>
                <w:rFonts w:cs="Times New Roman"/>
                <w:b/>
                <w:bCs/>
                <w:color w:val="auto"/>
                <w:szCs w:val="22"/>
                <w:lang w:val="pt-PT"/>
              </w:rPr>
              <w:t>Fymskina</w:t>
            </w:r>
            <w:r w:rsidRPr="00110D6C">
              <w:rPr>
                <w:rFonts w:cs="Times New Roman"/>
                <w:b/>
                <w:bCs/>
                <w:color w:val="auto"/>
                <w:szCs w:val="22"/>
                <w:lang w:val="pt-PT"/>
              </w:rPr>
              <w:t xml:space="preserve"> 13</w:t>
            </w:r>
            <w:r w:rsidR="00B910F9" w:rsidRPr="00110D6C">
              <w:rPr>
                <w:rFonts w:cs="Times New Roman"/>
                <w:b/>
                <w:bCs/>
                <w:color w:val="auto"/>
                <w:szCs w:val="22"/>
                <w:lang w:val="pt-PT"/>
              </w:rPr>
              <w:t>0 </w:t>
            </w:r>
            <w:r w:rsidRPr="00110D6C">
              <w:rPr>
                <w:rFonts w:cs="Times New Roman"/>
                <w:b/>
                <w:bCs/>
                <w:color w:val="auto"/>
                <w:szCs w:val="22"/>
                <w:lang w:val="pt-PT"/>
              </w:rPr>
              <w:t>mg</w:t>
            </w:r>
          </w:p>
        </w:tc>
      </w:tr>
      <w:tr w:rsidR="0077031F" w:rsidRPr="00110D6C" w14:paraId="56703EF3" w14:textId="77777777" w:rsidTr="005B2D5C">
        <w:tc>
          <w:tcPr>
            <w:tcW w:w="2143" w:type="pct"/>
            <w:tcBorders>
              <w:top w:val="single" w:sz="4" w:space="0" w:color="auto"/>
              <w:left w:val="single" w:sz="4" w:space="0" w:color="auto"/>
            </w:tcBorders>
            <w:shd w:val="clear" w:color="auto" w:fill="auto"/>
            <w:vAlign w:val="bottom"/>
          </w:tcPr>
          <w:p w14:paraId="141E9F20" w14:textId="77777777" w:rsidR="0077031F" w:rsidRPr="00110D6C" w:rsidRDefault="00030085" w:rsidP="00F5387C">
            <w:pPr>
              <w:keepNext/>
              <w:keepLines/>
              <w:widowControl/>
              <w:rPr>
                <w:rFonts w:cs="Times New Roman"/>
                <w:color w:val="auto"/>
                <w:szCs w:val="22"/>
                <w:lang w:val="pt-PT"/>
              </w:rPr>
            </w:pPr>
            <w:r w:rsidRPr="00110D6C">
              <w:rPr>
                <w:rFonts w:cs="Times New Roman"/>
                <w:color w:val="auto"/>
                <w:szCs w:val="22"/>
                <w:lang w:val="pt-PT"/>
              </w:rPr>
              <w:t>≤</w:t>
            </w:r>
            <w:r w:rsidR="00F5387C" w:rsidRPr="00110D6C">
              <w:rPr>
                <w:rFonts w:cs="Times New Roman"/>
                <w:color w:val="auto"/>
                <w:szCs w:val="22"/>
                <w:lang w:val="pt-PT"/>
              </w:rPr>
              <w:t> </w:t>
            </w:r>
            <w:r w:rsidRPr="00110D6C">
              <w:rPr>
                <w:rFonts w:cs="Times New Roman"/>
                <w:color w:val="auto"/>
                <w:szCs w:val="22"/>
                <w:lang w:val="pt-PT"/>
              </w:rPr>
              <w:t>5</w:t>
            </w:r>
            <w:r w:rsidR="00B910F9" w:rsidRPr="00110D6C">
              <w:rPr>
                <w:rFonts w:cs="Times New Roman"/>
                <w:color w:val="auto"/>
                <w:szCs w:val="22"/>
                <w:lang w:val="pt-PT"/>
              </w:rPr>
              <w:t>5 </w:t>
            </w:r>
            <w:r w:rsidRPr="00110D6C">
              <w:rPr>
                <w:rFonts w:cs="Times New Roman"/>
                <w:color w:val="auto"/>
                <w:szCs w:val="22"/>
                <w:lang w:val="pt-PT"/>
              </w:rPr>
              <w:t>kg</w:t>
            </w:r>
          </w:p>
        </w:tc>
        <w:tc>
          <w:tcPr>
            <w:tcW w:w="1318" w:type="pct"/>
            <w:tcBorders>
              <w:top w:val="single" w:sz="4" w:space="0" w:color="auto"/>
            </w:tcBorders>
            <w:shd w:val="clear" w:color="auto" w:fill="auto"/>
            <w:vAlign w:val="bottom"/>
          </w:tcPr>
          <w:p w14:paraId="75CB5C79" w14:textId="77777777" w:rsidR="0077031F" w:rsidRPr="00110D6C" w:rsidRDefault="00030085" w:rsidP="00A17623">
            <w:pPr>
              <w:keepNext/>
              <w:keepLines/>
              <w:widowControl/>
              <w:jc w:val="center"/>
              <w:rPr>
                <w:rFonts w:cs="Times New Roman"/>
                <w:color w:val="auto"/>
                <w:szCs w:val="22"/>
                <w:lang w:val="pt-PT"/>
              </w:rPr>
            </w:pPr>
            <w:r w:rsidRPr="00110D6C">
              <w:rPr>
                <w:rFonts w:cs="Times New Roman"/>
                <w:color w:val="auto"/>
                <w:szCs w:val="22"/>
                <w:lang w:val="pt-PT"/>
              </w:rPr>
              <w:t>26</w:t>
            </w:r>
            <w:r w:rsidR="00B910F9" w:rsidRPr="00110D6C">
              <w:rPr>
                <w:rFonts w:cs="Times New Roman"/>
                <w:color w:val="auto"/>
                <w:szCs w:val="22"/>
                <w:lang w:val="pt-PT"/>
              </w:rPr>
              <w:t>0 </w:t>
            </w:r>
            <w:r w:rsidRPr="00110D6C">
              <w:rPr>
                <w:rFonts w:cs="Times New Roman"/>
                <w:color w:val="auto"/>
                <w:szCs w:val="22"/>
                <w:lang w:val="pt-PT"/>
              </w:rPr>
              <w:t>mg</w:t>
            </w:r>
          </w:p>
        </w:tc>
        <w:tc>
          <w:tcPr>
            <w:tcW w:w="1539" w:type="pct"/>
            <w:tcBorders>
              <w:top w:val="single" w:sz="4" w:space="0" w:color="auto"/>
              <w:right w:val="single" w:sz="4" w:space="0" w:color="auto"/>
            </w:tcBorders>
            <w:shd w:val="clear" w:color="auto" w:fill="auto"/>
            <w:vAlign w:val="bottom"/>
          </w:tcPr>
          <w:p w14:paraId="15A78399" w14:textId="77777777" w:rsidR="0077031F" w:rsidRPr="00110D6C" w:rsidRDefault="00030085" w:rsidP="00A17623">
            <w:pPr>
              <w:keepNext/>
              <w:keepLines/>
              <w:widowControl/>
              <w:jc w:val="center"/>
              <w:rPr>
                <w:rFonts w:cs="Times New Roman"/>
                <w:color w:val="auto"/>
                <w:szCs w:val="22"/>
                <w:lang w:val="pt-PT"/>
              </w:rPr>
            </w:pPr>
            <w:r w:rsidRPr="00110D6C">
              <w:rPr>
                <w:rFonts w:cs="Times New Roman"/>
                <w:color w:val="auto"/>
                <w:szCs w:val="22"/>
                <w:lang w:val="pt-PT"/>
              </w:rPr>
              <w:t>2</w:t>
            </w:r>
          </w:p>
        </w:tc>
      </w:tr>
      <w:tr w:rsidR="0077031F" w:rsidRPr="00110D6C" w14:paraId="2BAD81E5" w14:textId="77777777" w:rsidTr="005B2D5C">
        <w:tc>
          <w:tcPr>
            <w:tcW w:w="2143" w:type="pct"/>
            <w:tcBorders>
              <w:left w:val="single" w:sz="4" w:space="0" w:color="auto"/>
            </w:tcBorders>
            <w:shd w:val="clear" w:color="auto" w:fill="auto"/>
          </w:tcPr>
          <w:p w14:paraId="2B2BDD3A" w14:textId="77777777" w:rsidR="0077031F" w:rsidRPr="00110D6C" w:rsidRDefault="00030085" w:rsidP="00F5387C">
            <w:pPr>
              <w:keepNext/>
              <w:keepLines/>
              <w:widowControl/>
              <w:rPr>
                <w:rFonts w:cs="Times New Roman"/>
                <w:color w:val="auto"/>
                <w:szCs w:val="22"/>
                <w:lang w:val="pt-PT"/>
              </w:rPr>
            </w:pPr>
            <w:r w:rsidRPr="00110D6C">
              <w:rPr>
                <w:rFonts w:cs="Times New Roman"/>
                <w:color w:val="auto"/>
                <w:szCs w:val="22"/>
                <w:lang w:val="pt-PT"/>
              </w:rPr>
              <w:t>&gt;</w:t>
            </w:r>
            <w:r w:rsidR="00F5387C" w:rsidRPr="00110D6C">
              <w:rPr>
                <w:rFonts w:cs="Times New Roman"/>
                <w:color w:val="auto"/>
                <w:szCs w:val="22"/>
                <w:lang w:val="pt-PT"/>
              </w:rPr>
              <w:t> </w:t>
            </w:r>
            <w:r w:rsidRPr="00110D6C">
              <w:rPr>
                <w:rFonts w:cs="Times New Roman"/>
                <w:color w:val="auto"/>
                <w:szCs w:val="22"/>
                <w:lang w:val="pt-PT"/>
              </w:rPr>
              <w:t>5</w:t>
            </w:r>
            <w:r w:rsidR="00B910F9" w:rsidRPr="00110D6C">
              <w:rPr>
                <w:rFonts w:cs="Times New Roman"/>
                <w:color w:val="auto"/>
                <w:szCs w:val="22"/>
                <w:lang w:val="pt-PT"/>
              </w:rPr>
              <w:t>5 </w:t>
            </w:r>
            <w:r w:rsidRPr="00110D6C">
              <w:rPr>
                <w:rFonts w:cs="Times New Roman"/>
                <w:color w:val="auto"/>
                <w:szCs w:val="22"/>
                <w:lang w:val="pt-PT"/>
              </w:rPr>
              <w:t>kg a ≤</w:t>
            </w:r>
            <w:r w:rsidR="00F5387C" w:rsidRPr="00110D6C">
              <w:rPr>
                <w:rFonts w:cs="Times New Roman"/>
                <w:color w:val="auto"/>
                <w:szCs w:val="22"/>
                <w:lang w:val="pt-PT"/>
              </w:rPr>
              <w:t> </w:t>
            </w:r>
            <w:r w:rsidRPr="00110D6C">
              <w:rPr>
                <w:rFonts w:cs="Times New Roman"/>
                <w:color w:val="auto"/>
                <w:szCs w:val="22"/>
                <w:lang w:val="pt-PT"/>
              </w:rPr>
              <w:t>8</w:t>
            </w:r>
            <w:r w:rsidR="00B910F9" w:rsidRPr="00110D6C">
              <w:rPr>
                <w:rFonts w:cs="Times New Roman"/>
                <w:color w:val="auto"/>
                <w:szCs w:val="22"/>
                <w:lang w:val="pt-PT"/>
              </w:rPr>
              <w:t>5 </w:t>
            </w:r>
            <w:r w:rsidRPr="00110D6C">
              <w:rPr>
                <w:rFonts w:cs="Times New Roman"/>
                <w:color w:val="auto"/>
                <w:szCs w:val="22"/>
                <w:lang w:val="pt-PT"/>
              </w:rPr>
              <w:t>kg</w:t>
            </w:r>
          </w:p>
        </w:tc>
        <w:tc>
          <w:tcPr>
            <w:tcW w:w="1318" w:type="pct"/>
            <w:shd w:val="clear" w:color="auto" w:fill="auto"/>
          </w:tcPr>
          <w:p w14:paraId="4CD2B197" w14:textId="77777777" w:rsidR="0077031F" w:rsidRPr="00110D6C" w:rsidRDefault="00030085" w:rsidP="00A17623">
            <w:pPr>
              <w:keepNext/>
              <w:keepLines/>
              <w:widowControl/>
              <w:jc w:val="center"/>
              <w:rPr>
                <w:rFonts w:cs="Times New Roman"/>
                <w:color w:val="auto"/>
                <w:szCs w:val="22"/>
                <w:lang w:val="pt-PT"/>
              </w:rPr>
            </w:pPr>
            <w:r w:rsidRPr="00110D6C">
              <w:rPr>
                <w:rFonts w:cs="Times New Roman"/>
                <w:color w:val="auto"/>
                <w:szCs w:val="22"/>
                <w:lang w:val="pt-PT"/>
              </w:rPr>
              <w:t>39</w:t>
            </w:r>
            <w:r w:rsidR="00B910F9" w:rsidRPr="00110D6C">
              <w:rPr>
                <w:rFonts w:cs="Times New Roman"/>
                <w:color w:val="auto"/>
                <w:szCs w:val="22"/>
                <w:lang w:val="pt-PT"/>
              </w:rPr>
              <w:t>0 </w:t>
            </w:r>
            <w:r w:rsidRPr="00110D6C">
              <w:rPr>
                <w:rFonts w:cs="Times New Roman"/>
                <w:color w:val="auto"/>
                <w:szCs w:val="22"/>
                <w:lang w:val="pt-PT"/>
              </w:rPr>
              <w:t>mg</w:t>
            </w:r>
          </w:p>
        </w:tc>
        <w:tc>
          <w:tcPr>
            <w:tcW w:w="1539" w:type="pct"/>
            <w:tcBorders>
              <w:right w:val="single" w:sz="4" w:space="0" w:color="auto"/>
            </w:tcBorders>
            <w:shd w:val="clear" w:color="auto" w:fill="auto"/>
          </w:tcPr>
          <w:p w14:paraId="49F3DE8C" w14:textId="77777777" w:rsidR="0077031F" w:rsidRPr="00110D6C" w:rsidRDefault="00030085" w:rsidP="00A17623">
            <w:pPr>
              <w:keepNext/>
              <w:keepLines/>
              <w:widowControl/>
              <w:jc w:val="center"/>
              <w:rPr>
                <w:rFonts w:cs="Times New Roman"/>
                <w:color w:val="auto"/>
                <w:szCs w:val="22"/>
                <w:lang w:val="pt-PT"/>
              </w:rPr>
            </w:pPr>
            <w:r w:rsidRPr="00110D6C">
              <w:rPr>
                <w:rFonts w:cs="Times New Roman"/>
                <w:color w:val="auto"/>
                <w:szCs w:val="22"/>
                <w:lang w:val="pt-PT"/>
              </w:rPr>
              <w:t>3</w:t>
            </w:r>
          </w:p>
        </w:tc>
      </w:tr>
      <w:tr w:rsidR="0077031F" w:rsidRPr="00110D6C" w14:paraId="09844343" w14:textId="77777777" w:rsidTr="005B2D5C">
        <w:tc>
          <w:tcPr>
            <w:tcW w:w="2143" w:type="pct"/>
            <w:tcBorders>
              <w:left w:val="single" w:sz="4" w:space="0" w:color="auto"/>
              <w:bottom w:val="single" w:sz="4" w:space="0" w:color="auto"/>
            </w:tcBorders>
            <w:shd w:val="clear" w:color="auto" w:fill="auto"/>
            <w:vAlign w:val="bottom"/>
          </w:tcPr>
          <w:p w14:paraId="3A5CEA49" w14:textId="77777777" w:rsidR="0077031F" w:rsidRPr="00110D6C" w:rsidRDefault="00030085" w:rsidP="00F5387C">
            <w:pPr>
              <w:widowControl/>
              <w:rPr>
                <w:rFonts w:cs="Times New Roman"/>
                <w:color w:val="auto"/>
                <w:szCs w:val="22"/>
                <w:lang w:val="pt-PT"/>
              </w:rPr>
            </w:pPr>
            <w:r w:rsidRPr="00110D6C">
              <w:rPr>
                <w:rFonts w:cs="Times New Roman"/>
                <w:color w:val="auto"/>
                <w:szCs w:val="22"/>
                <w:lang w:val="pt-PT"/>
              </w:rPr>
              <w:t>&gt;</w:t>
            </w:r>
            <w:r w:rsidR="00F5387C" w:rsidRPr="00110D6C">
              <w:rPr>
                <w:rFonts w:cs="Times New Roman"/>
                <w:color w:val="auto"/>
                <w:szCs w:val="22"/>
                <w:lang w:val="pt-PT"/>
              </w:rPr>
              <w:t> </w:t>
            </w:r>
            <w:r w:rsidRPr="00110D6C">
              <w:rPr>
                <w:rFonts w:cs="Times New Roman"/>
                <w:color w:val="auto"/>
                <w:szCs w:val="22"/>
                <w:lang w:val="pt-PT"/>
              </w:rPr>
              <w:t>8</w:t>
            </w:r>
            <w:r w:rsidR="00B910F9" w:rsidRPr="00110D6C">
              <w:rPr>
                <w:rFonts w:cs="Times New Roman"/>
                <w:color w:val="auto"/>
                <w:szCs w:val="22"/>
                <w:lang w:val="pt-PT"/>
              </w:rPr>
              <w:t>5 </w:t>
            </w:r>
            <w:r w:rsidRPr="00110D6C">
              <w:rPr>
                <w:rFonts w:cs="Times New Roman"/>
                <w:color w:val="auto"/>
                <w:szCs w:val="22"/>
                <w:lang w:val="pt-PT"/>
              </w:rPr>
              <w:t>kg</w:t>
            </w:r>
          </w:p>
        </w:tc>
        <w:tc>
          <w:tcPr>
            <w:tcW w:w="1318" w:type="pct"/>
            <w:tcBorders>
              <w:bottom w:val="single" w:sz="4" w:space="0" w:color="auto"/>
            </w:tcBorders>
            <w:shd w:val="clear" w:color="auto" w:fill="auto"/>
            <w:vAlign w:val="bottom"/>
          </w:tcPr>
          <w:p w14:paraId="1994BFEC" w14:textId="77777777" w:rsidR="0077031F" w:rsidRPr="00110D6C" w:rsidRDefault="00030085" w:rsidP="00A17623">
            <w:pPr>
              <w:widowControl/>
              <w:jc w:val="center"/>
              <w:rPr>
                <w:rFonts w:cs="Times New Roman"/>
                <w:color w:val="auto"/>
                <w:szCs w:val="22"/>
                <w:lang w:val="pt-PT"/>
              </w:rPr>
            </w:pPr>
            <w:r w:rsidRPr="00110D6C">
              <w:rPr>
                <w:rFonts w:cs="Times New Roman"/>
                <w:color w:val="auto"/>
                <w:szCs w:val="22"/>
                <w:lang w:val="pt-PT"/>
              </w:rPr>
              <w:t>52</w:t>
            </w:r>
            <w:r w:rsidR="00B910F9" w:rsidRPr="00110D6C">
              <w:rPr>
                <w:rFonts w:cs="Times New Roman"/>
                <w:color w:val="auto"/>
                <w:szCs w:val="22"/>
                <w:lang w:val="pt-PT"/>
              </w:rPr>
              <w:t>0 </w:t>
            </w:r>
            <w:r w:rsidRPr="00110D6C">
              <w:rPr>
                <w:rFonts w:cs="Times New Roman"/>
                <w:color w:val="auto"/>
                <w:szCs w:val="22"/>
                <w:lang w:val="pt-PT"/>
              </w:rPr>
              <w:t>mg</w:t>
            </w:r>
          </w:p>
        </w:tc>
        <w:tc>
          <w:tcPr>
            <w:tcW w:w="1539" w:type="pct"/>
            <w:tcBorders>
              <w:bottom w:val="single" w:sz="4" w:space="0" w:color="auto"/>
              <w:right w:val="single" w:sz="4" w:space="0" w:color="auto"/>
            </w:tcBorders>
            <w:shd w:val="clear" w:color="auto" w:fill="auto"/>
            <w:vAlign w:val="bottom"/>
          </w:tcPr>
          <w:p w14:paraId="7A938C8F" w14:textId="77777777" w:rsidR="0077031F" w:rsidRPr="00110D6C" w:rsidRDefault="00030085" w:rsidP="00A17623">
            <w:pPr>
              <w:widowControl/>
              <w:jc w:val="center"/>
              <w:rPr>
                <w:rFonts w:cs="Times New Roman"/>
                <w:color w:val="auto"/>
                <w:szCs w:val="22"/>
                <w:lang w:val="pt-PT"/>
              </w:rPr>
            </w:pPr>
            <w:r w:rsidRPr="00110D6C">
              <w:rPr>
                <w:rFonts w:cs="Times New Roman"/>
                <w:color w:val="auto"/>
                <w:szCs w:val="22"/>
                <w:lang w:val="pt-PT"/>
              </w:rPr>
              <w:t>4</w:t>
            </w:r>
          </w:p>
        </w:tc>
      </w:tr>
    </w:tbl>
    <w:p w14:paraId="321517D0" w14:textId="77777777" w:rsidR="0077031F" w:rsidRPr="00110D6C" w:rsidRDefault="00030085" w:rsidP="00A17623">
      <w:pPr>
        <w:widowControl/>
        <w:ind w:left="284" w:hanging="284"/>
        <w:rPr>
          <w:rFonts w:cs="Times New Roman"/>
          <w:color w:val="auto"/>
          <w:sz w:val="20"/>
          <w:szCs w:val="22"/>
          <w:lang w:val="pt-PT"/>
        </w:rPr>
      </w:pPr>
      <w:r w:rsidRPr="00110D6C">
        <w:rPr>
          <w:rFonts w:cs="Times New Roman"/>
          <w:color w:val="auto"/>
          <w:sz w:val="20"/>
          <w:szCs w:val="22"/>
          <w:vertAlign w:val="superscript"/>
          <w:lang w:val="pt-PT"/>
        </w:rPr>
        <w:t>a</w:t>
      </w:r>
      <w:r w:rsidRPr="00110D6C">
        <w:rPr>
          <w:rFonts w:cs="Times New Roman"/>
          <w:color w:val="auto"/>
          <w:sz w:val="20"/>
          <w:szCs w:val="22"/>
          <w:lang w:val="pt-PT"/>
        </w:rPr>
        <w:tab/>
        <w:t xml:space="preserve">Aproximadamente </w:t>
      </w:r>
      <w:r w:rsidR="00B910F9" w:rsidRPr="00110D6C">
        <w:rPr>
          <w:rFonts w:cs="Times New Roman"/>
          <w:color w:val="auto"/>
          <w:sz w:val="20"/>
          <w:szCs w:val="22"/>
          <w:lang w:val="pt-PT"/>
        </w:rPr>
        <w:t>6 </w:t>
      </w:r>
      <w:r w:rsidRPr="00110D6C">
        <w:rPr>
          <w:rFonts w:cs="Times New Roman"/>
          <w:color w:val="auto"/>
          <w:sz w:val="20"/>
          <w:szCs w:val="22"/>
          <w:lang w:val="pt-PT"/>
        </w:rPr>
        <w:t>mg/kg</w:t>
      </w:r>
    </w:p>
    <w:p w14:paraId="6E3F626C" w14:textId="77777777" w:rsidR="00030085" w:rsidRPr="00110D6C" w:rsidRDefault="00030085" w:rsidP="00A17623">
      <w:pPr>
        <w:widowControl/>
        <w:rPr>
          <w:rFonts w:cs="Times New Roman"/>
          <w:color w:val="auto"/>
          <w:szCs w:val="22"/>
          <w:lang w:val="pt-PT"/>
        </w:rPr>
      </w:pPr>
    </w:p>
    <w:p w14:paraId="10AFBD9A" w14:textId="413654DB" w:rsidR="0077031F" w:rsidRPr="00110D6C" w:rsidRDefault="00030085" w:rsidP="00A17623">
      <w:pPr>
        <w:widowControl/>
        <w:rPr>
          <w:rFonts w:cs="Times New Roman"/>
          <w:color w:val="auto"/>
          <w:szCs w:val="22"/>
          <w:lang w:val="pt-PT"/>
        </w:rPr>
      </w:pPr>
      <w:r w:rsidRPr="00110D6C">
        <w:rPr>
          <w:rFonts w:cs="Times New Roman"/>
          <w:color w:val="auto"/>
          <w:szCs w:val="22"/>
          <w:lang w:val="pt-PT"/>
        </w:rPr>
        <w:t>A primeira dose subcutânea deve ser dada na semana</w:t>
      </w:r>
      <w:r w:rsidR="005B2D5C" w:rsidRPr="00110D6C">
        <w:rPr>
          <w:rFonts w:cs="Times New Roman"/>
          <w:color w:val="auto"/>
          <w:szCs w:val="22"/>
          <w:lang w:val="pt-PT"/>
        </w:rPr>
        <w:t> </w:t>
      </w:r>
      <w:r w:rsidR="00B910F9" w:rsidRPr="00110D6C">
        <w:rPr>
          <w:rFonts w:cs="Times New Roman"/>
          <w:color w:val="auto"/>
          <w:szCs w:val="22"/>
          <w:lang w:val="pt-PT"/>
        </w:rPr>
        <w:t>8</w:t>
      </w:r>
      <w:r w:rsidR="005B2D5C" w:rsidRPr="00110D6C">
        <w:rPr>
          <w:rFonts w:cs="Times New Roman"/>
          <w:color w:val="auto"/>
          <w:szCs w:val="22"/>
          <w:lang w:val="pt-PT"/>
        </w:rPr>
        <w:t xml:space="preserve"> </w:t>
      </w:r>
      <w:r w:rsidRPr="00110D6C">
        <w:rPr>
          <w:rFonts w:cs="Times New Roman"/>
          <w:color w:val="auto"/>
          <w:szCs w:val="22"/>
          <w:lang w:val="pt-PT"/>
        </w:rPr>
        <w:t>após a dose intravenosa. Para a posologia do regime de administração subcutânea subsequente,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w:t>
      </w:r>
      <w:r w:rsidR="00B910F9" w:rsidRPr="00110D6C">
        <w:rPr>
          <w:rFonts w:cs="Times New Roman"/>
          <w:color w:val="auto"/>
          <w:szCs w:val="22"/>
          <w:lang w:val="pt-PT"/>
        </w:rPr>
        <w:t>2</w:t>
      </w:r>
      <w:r w:rsidR="006A79E5" w:rsidRPr="00110D6C">
        <w:rPr>
          <w:rFonts w:cs="Times New Roman"/>
          <w:color w:val="auto"/>
          <w:szCs w:val="22"/>
          <w:lang w:val="pt-PT"/>
        </w:rPr>
        <w:t xml:space="preserve"> </w:t>
      </w:r>
      <w:r w:rsidRPr="00110D6C">
        <w:rPr>
          <w:rFonts w:cs="Times New Roman"/>
          <w:color w:val="auto"/>
          <w:szCs w:val="22"/>
          <w:lang w:val="pt-PT"/>
        </w:rPr>
        <w:t xml:space="preserve">do RCM de </w:t>
      </w:r>
      <w:r w:rsidR="00D05FE6" w:rsidRPr="00110D6C">
        <w:rPr>
          <w:rFonts w:cs="Times New Roman"/>
          <w:color w:val="auto"/>
          <w:szCs w:val="22"/>
          <w:lang w:val="pt-PT"/>
        </w:rPr>
        <w:t>Fymskina</w:t>
      </w:r>
      <w:r w:rsidRPr="00110D6C">
        <w:rPr>
          <w:rFonts w:cs="Times New Roman"/>
          <w:color w:val="auto"/>
          <w:szCs w:val="22"/>
          <w:lang w:val="pt-PT"/>
        </w:rPr>
        <w:t xml:space="preserve"> solução injetável em seringa pré-cheia.</w:t>
      </w:r>
    </w:p>
    <w:p w14:paraId="410973DE" w14:textId="77777777" w:rsidR="00030085" w:rsidRPr="00110D6C" w:rsidRDefault="00030085" w:rsidP="00A17623">
      <w:pPr>
        <w:widowControl/>
        <w:rPr>
          <w:rFonts w:cs="Times New Roman"/>
          <w:iCs/>
          <w:color w:val="auto"/>
          <w:szCs w:val="22"/>
          <w:lang w:val="pt-PT"/>
        </w:rPr>
      </w:pPr>
    </w:p>
    <w:p w14:paraId="22AEEAF6" w14:textId="77777777" w:rsidR="0077031F" w:rsidRPr="00110D6C" w:rsidRDefault="00030085" w:rsidP="00A17623">
      <w:pPr>
        <w:widowControl/>
        <w:rPr>
          <w:rFonts w:cs="Times New Roman"/>
          <w:color w:val="auto"/>
          <w:szCs w:val="22"/>
          <w:lang w:val="pt-PT"/>
        </w:rPr>
      </w:pPr>
      <w:r w:rsidRPr="00110D6C">
        <w:rPr>
          <w:rFonts w:cs="Times New Roman"/>
          <w:i/>
          <w:iCs/>
          <w:color w:val="auto"/>
          <w:szCs w:val="22"/>
          <w:lang w:val="pt-PT"/>
        </w:rPr>
        <w:t>Idosos (≥</w:t>
      </w:r>
      <w:r w:rsidR="00F5387C" w:rsidRPr="00110D6C">
        <w:rPr>
          <w:rFonts w:cs="Times New Roman"/>
          <w:i/>
          <w:iCs/>
          <w:color w:val="auto"/>
          <w:szCs w:val="22"/>
          <w:lang w:val="pt-PT"/>
        </w:rPr>
        <w:t> </w:t>
      </w:r>
      <w:r w:rsidRPr="00110D6C">
        <w:rPr>
          <w:rFonts w:cs="Times New Roman"/>
          <w:i/>
          <w:iCs/>
          <w:color w:val="auto"/>
          <w:szCs w:val="22"/>
          <w:lang w:val="pt-PT"/>
        </w:rPr>
        <w:t>6</w:t>
      </w:r>
      <w:r w:rsidR="00B910F9" w:rsidRPr="00110D6C">
        <w:rPr>
          <w:rFonts w:cs="Times New Roman"/>
          <w:i/>
          <w:iCs/>
          <w:color w:val="auto"/>
          <w:szCs w:val="22"/>
          <w:lang w:val="pt-PT"/>
        </w:rPr>
        <w:t>5 </w:t>
      </w:r>
      <w:r w:rsidRPr="00110D6C">
        <w:rPr>
          <w:rFonts w:cs="Times New Roman"/>
          <w:i/>
          <w:iCs/>
          <w:color w:val="auto"/>
          <w:szCs w:val="22"/>
          <w:lang w:val="pt-PT"/>
        </w:rPr>
        <w:t>anos)</w:t>
      </w:r>
    </w:p>
    <w:p w14:paraId="2B7894A5"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Não são necessários ajustes posológicos em doentes idosos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4.4).</w:t>
      </w:r>
    </w:p>
    <w:p w14:paraId="4BEB3709" w14:textId="77777777" w:rsidR="00030085" w:rsidRPr="00110D6C" w:rsidRDefault="00030085" w:rsidP="00A17623">
      <w:pPr>
        <w:widowControl/>
        <w:rPr>
          <w:rFonts w:cs="Times New Roman"/>
          <w:iCs/>
          <w:color w:val="auto"/>
          <w:szCs w:val="22"/>
          <w:lang w:val="pt-PT"/>
        </w:rPr>
      </w:pPr>
    </w:p>
    <w:p w14:paraId="19AB3DD9" w14:textId="77777777" w:rsidR="0077031F" w:rsidRPr="00110D6C" w:rsidRDefault="00030085" w:rsidP="00A17623">
      <w:pPr>
        <w:widowControl/>
        <w:rPr>
          <w:rFonts w:cs="Times New Roman"/>
          <w:color w:val="auto"/>
          <w:szCs w:val="22"/>
          <w:lang w:val="pt-PT"/>
        </w:rPr>
      </w:pPr>
      <w:r w:rsidRPr="00110D6C">
        <w:rPr>
          <w:rFonts w:cs="Times New Roman"/>
          <w:i/>
          <w:iCs/>
          <w:color w:val="auto"/>
          <w:szCs w:val="22"/>
          <w:lang w:val="pt-PT"/>
        </w:rPr>
        <w:t>Compromisso renal e hepático</w:t>
      </w:r>
    </w:p>
    <w:p w14:paraId="59705EAF" w14:textId="5C622CC6" w:rsidR="0077031F" w:rsidRPr="00110D6C" w:rsidRDefault="00D05FE6" w:rsidP="00A17623">
      <w:pPr>
        <w:widowControl/>
        <w:rPr>
          <w:rFonts w:cs="Times New Roman"/>
          <w:color w:val="auto"/>
          <w:szCs w:val="22"/>
          <w:lang w:val="pt-PT"/>
        </w:rPr>
      </w:pPr>
      <w:r w:rsidRPr="00110D6C">
        <w:rPr>
          <w:rFonts w:cs="Times New Roman"/>
          <w:color w:val="auto"/>
          <w:szCs w:val="22"/>
          <w:lang w:val="pt-PT"/>
        </w:rPr>
        <w:t>Ustecinumab</w:t>
      </w:r>
      <w:r w:rsidR="00030085" w:rsidRPr="00110D6C">
        <w:rPr>
          <w:rFonts w:cs="Times New Roman"/>
          <w:color w:val="auto"/>
          <w:szCs w:val="22"/>
          <w:lang w:val="pt-PT"/>
        </w:rPr>
        <w:t xml:space="preserve"> não foi estudado nestas populações de doentes. Não podem ser efetuadas quaisquer recomendações posológicas.</w:t>
      </w:r>
    </w:p>
    <w:p w14:paraId="46ED49E6" w14:textId="77777777" w:rsidR="00030085" w:rsidRPr="00110D6C" w:rsidRDefault="00030085" w:rsidP="00A17623">
      <w:pPr>
        <w:widowControl/>
        <w:rPr>
          <w:rFonts w:cs="Times New Roman"/>
          <w:iCs/>
          <w:color w:val="auto"/>
          <w:szCs w:val="22"/>
          <w:lang w:val="pt-PT"/>
        </w:rPr>
      </w:pPr>
    </w:p>
    <w:p w14:paraId="1838CCBB" w14:textId="77777777" w:rsidR="0077031F" w:rsidRPr="00110D6C" w:rsidRDefault="00030085" w:rsidP="00A17623">
      <w:pPr>
        <w:widowControl/>
        <w:rPr>
          <w:rFonts w:cs="Times New Roman"/>
          <w:color w:val="auto"/>
          <w:szCs w:val="22"/>
          <w:lang w:val="pt-PT"/>
        </w:rPr>
      </w:pPr>
      <w:r w:rsidRPr="00110D6C">
        <w:rPr>
          <w:rFonts w:cs="Times New Roman"/>
          <w:i/>
          <w:iCs/>
          <w:color w:val="auto"/>
          <w:szCs w:val="22"/>
          <w:lang w:val="pt-PT"/>
        </w:rPr>
        <w:t>População pediátrica</w:t>
      </w:r>
    </w:p>
    <w:p w14:paraId="5612E30C" w14:textId="17B181A3"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 segurança e eficácia de </w:t>
      </w:r>
      <w:r w:rsidR="00D05FE6" w:rsidRPr="00110D6C">
        <w:rPr>
          <w:rFonts w:cs="Times New Roman"/>
          <w:color w:val="auto"/>
          <w:szCs w:val="22"/>
          <w:lang w:val="pt-PT"/>
        </w:rPr>
        <w:t>ustecinumab</w:t>
      </w:r>
      <w:r w:rsidRPr="00110D6C">
        <w:rPr>
          <w:rFonts w:cs="Times New Roman"/>
          <w:color w:val="auto"/>
          <w:szCs w:val="22"/>
          <w:lang w:val="pt-PT"/>
        </w:rPr>
        <w:t xml:space="preserve"> para o tratamento da doença de Crohn em crianças com idade inferior a 1</w:t>
      </w:r>
      <w:r w:rsidR="00B910F9" w:rsidRPr="00110D6C">
        <w:rPr>
          <w:rFonts w:cs="Times New Roman"/>
          <w:color w:val="auto"/>
          <w:szCs w:val="22"/>
          <w:lang w:val="pt-PT"/>
        </w:rPr>
        <w:t>8 </w:t>
      </w:r>
      <w:r w:rsidRPr="00110D6C">
        <w:rPr>
          <w:rFonts w:cs="Times New Roman"/>
          <w:color w:val="auto"/>
          <w:szCs w:val="22"/>
          <w:lang w:val="pt-PT"/>
        </w:rPr>
        <w:t>anos não foram ainda estabelecidas. Não existem dados disponíveis.</w:t>
      </w:r>
    </w:p>
    <w:p w14:paraId="2D9D1748" w14:textId="77777777" w:rsidR="00030085" w:rsidRPr="00110D6C" w:rsidRDefault="00030085" w:rsidP="00A17623">
      <w:pPr>
        <w:widowControl/>
        <w:rPr>
          <w:rFonts w:cs="Times New Roman"/>
          <w:color w:val="auto"/>
          <w:szCs w:val="22"/>
          <w:lang w:val="pt-PT"/>
        </w:rPr>
      </w:pPr>
    </w:p>
    <w:p w14:paraId="7E92E96A"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Modo de administração</w:t>
      </w:r>
    </w:p>
    <w:p w14:paraId="6511738D" w14:textId="236397CA" w:rsidR="0077031F" w:rsidRPr="00110D6C" w:rsidRDefault="00D05FE6" w:rsidP="00A17623">
      <w:pPr>
        <w:widowControl/>
        <w:rPr>
          <w:rFonts w:cs="Times New Roman"/>
          <w:color w:val="auto"/>
          <w:szCs w:val="22"/>
          <w:lang w:val="pt-PT"/>
        </w:rPr>
      </w:pPr>
      <w:r w:rsidRPr="00110D6C">
        <w:rPr>
          <w:rFonts w:cs="Times New Roman"/>
          <w:color w:val="auto"/>
          <w:szCs w:val="22"/>
          <w:lang w:val="pt-PT"/>
        </w:rPr>
        <w:t>Fymskina</w:t>
      </w:r>
      <w:r w:rsidR="00030085" w:rsidRPr="00110D6C">
        <w:rPr>
          <w:rFonts w:cs="Times New Roman"/>
          <w:color w:val="auto"/>
          <w:szCs w:val="22"/>
          <w:lang w:val="pt-PT"/>
        </w:rPr>
        <w:t xml:space="preserve"> 13</w:t>
      </w:r>
      <w:r w:rsidR="00B910F9" w:rsidRPr="00110D6C">
        <w:rPr>
          <w:rFonts w:cs="Times New Roman"/>
          <w:color w:val="auto"/>
          <w:szCs w:val="22"/>
          <w:lang w:val="pt-PT"/>
        </w:rPr>
        <w:t>0 </w:t>
      </w:r>
      <w:r w:rsidR="00030085" w:rsidRPr="00110D6C">
        <w:rPr>
          <w:rFonts w:cs="Times New Roman"/>
          <w:color w:val="auto"/>
          <w:szCs w:val="22"/>
          <w:lang w:val="pt-PT"/>
        </w:rPr>
        <w:t>mg destina-se apenas a administração intravenosa. Deve ser administrada durante, pelo menos, uma hora.</w:t>
      </w:r>
    </w:p>
    <w:p w14:paraId="698AE5BA"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Para obter instruções sobre a diluição do medicamento antes da administração,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6.6.</w:t>
      </w:r>
    </w:p>
    <w:p w14:paraId="109BF3EE" w14:textId="77777777" w:rsidR="00DC3C01" w:rsidRPr="00110D6C" w:rsidRDefault="00DC3C01" w:rsidP="002057DA">
      <w:pPr>
        <w:widowControl/>
        <w:rPr>
          <w:rFonts w:cs="Times New Roman"/>
          <w:bCs/>
          <w:color w:val="auto"/>
          <w:szCs w:val="22"/>
          <w:lang w:val="pt-PT"/>
        </w:rPr>
      </w:pPr>
      <w:bookmarkStart w:id="6" w:name="bookmark10"/>
    </w:p>
    <w:p w14:paraId="49E99F64"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4.3</w:t>
      </w:r>
      <w:r w:rsidRPr="00110D6C">
        <w:rPr>
          <w:rFonts w:cs="Times New Roman"/>
          <w:b/>
          <w:bCs/>
          <w:color w:val="auto"/>
          <w:szCs w:val="22"/>
          <w:lang w:val="pt-PT"/>
        </w:rPr>
        <w:tab/>
      </w:r>
      <w:r w:rsidR="00030085" w:rsidRPr="00110D6C">
        <w:rPr>
          <w:rFonts w:cs="Times New Roman"/>
          <w:b/>
          <w:bCs/>
          <w:color w:val="auto"/>
          <w:szCs w:val="22"/>
          <w:lang w:val="pt-PT"/>
        </w:rPr>
        <w:t>Contraindicações</w:t>
      </w:r>
      <w:bookmarkEnd w:id="6"/>
    </w:p>
    <w:p w14:paraId="2294A66E" w14:textId="77777777" w:rsidR="00030085" w:rsidRPr="00110D6C" w:rsidRDefault="00030085" w:rsidP="00A17623">
      <w:pPr>
        <w:widowControl/>
        <w:rPr>
          <w:rFonts w:cs="Times New Roman"/>
          <w:color w:val="auto"/>
          <w:szCs w:val="22"/>
          <w:lang w:val="pt-PT"/>
        </w:rPr>
      </w:pPr>
    </w:p>
    <w:p w14:paraId="3BC1A167"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Hipersensibilidade à substância ativa ou a qualquer um dos excipientes mencionados na secção</w:t>
      </w:r>
      <w:r w:rsidR="00544254" w:rsidRPr="00110D6C">
        <w:rPr>
          <w:rFonts w:cs="Times New Roman"/>
          <w:color w:val="auto"/>
          <w:szCs w:val="22"/>
          <w:lang w:val="pt-PT"/>
        </w:rPr>
        <w:t> </w:t>
      </w:r>
      <w:r w:rsidRPr="00110D6C">
        <w:rPr>
          <w:rFonts w:cs="Times New Roman"/>
          <w:color w:val="auto"/>
          <w:szCs w:val="22"/>
          <w:lang w:val="pt-PT"/>
        </w:rPr>
        <w:t>6.1.</w:t>
      </w:r>
    </w:p>
    <w:p w14:paraId="0E59C549" w14:textId="77777777" w:rsidR="00030085" w:rsidRPr="00110D6C" w:rsidRDefault="00030085" w:rsidP="00A17623">
      <w:pPr>
        <w:widowControl/>
        <w:rPr>
          <w:rFonts w:cs="Times New Roman"/>
          <w:color w:val="auto"/>
          <w:szCs w:val="22"/>
          <w:lang w:val="pt-PT"/>
        </w:rPr>
      </w:pPr>
    </w:p>
    <w:p w14:paraId="24F24555" w14:textId="29A22E4D" w:rsidR="0077031F" w:rsidRPr="00110D6C" w:rsidRDefault="00030085" w:rsidP="00A17623">
      <w:pPr>
        <w:widowControl/>
        <w:rPr>
          <w:rFonts w:cs="Times New Roman"/>
          <w:color w:val="auto"/>
          <w:szCs w:val="22"/>
          <w:lang w:val="pt-PT"/>
        </w:rPr>
      </w:pPr>
      <w:r w:rsidRPr="00110D6C">
        <w:rPr>
          <w:rFonts w:cs="Times New Roman"/>
          <w:color w:val="auto"/>
          <w:szCs w:val="22"/>
          <w:lang w:val="pt-PT"/>
        </w:rPr>
        <w:t>Infeção ativa clinicamente relevante (p.</w:t>
      </w:r>
      <w:r w:rsidR="00D05FE6" w:rsidRPr="00110D6C">
        <w:rPr>
          <w:rFonts w:cs="Times New Roman"/>
          <w:color w:val="auto"/>
          <w:szCs w:val="22"/>
          <w:lang w:val="pt-PT"/>
        </w:rPr>
        <w:t xml:space="preserve"> </w:t>
      </w:r>
      <w:r w:rsidRPr="00110D6C">
        <w:rPr>
          <w:rFonts w:cs="Times New Roman"/>
          <w:color w:val="auto"/>
          <w:szCs w:val="22"/>
          <w:lang w:val="pt-PT"/>
        </w:rPr>
        <w:t>e</w:t>
      </w:r>
      <w:r w:rsidR="00D05FE6" w:rsidRPr="00110D6C">
        <w:rPr>
          <w:rFonts w:cs="Times New Roman"/>
          <w:color w:val="auto"/>
          <w:szCs w:val="22"/>
          <w:lang w:val="pt-PT"/>
        </w:rPr>
        <w:t>x</w:t>
      </w:r>
      <w:r w:rsidRPr="00110D6C">
        <w:rPr>
          <w:rFonts w:cs="Times New Roman"/>
          <w:color w:val="auto"/>
          <w:szCs w:val="22"/>
          <w:lang w:val="pt-PT"/>
        </w:rPr>
        <w:t>., tuberculose ativa;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4.4).</w:t>
      </w:r>
    </w:p>
    <w:p w14:paraId="7D5A901D" w14:textId="77777777" w:rsidR="00DC3C01" w:rsidRPr="00110D6C" w:rsidRDefault="00DC3C01" w:rsidP="002057DA">
      <w:pPr>
        <w:widowControl/>
        <w:rPr>
          <w:rFonts w:cs="Times New Roman"/>
          <w:bCs/>
          <w:color w:val="auto"/>
          <w:szCs w:val="22"/>
          <w:lang w:val="pt-PT"/>
        </w:rPr>
      </w:pPr>
      <w:bookmarkStart w:id="7" w:name="bookmark12"/>
    </w:p>
    <w:p w14:paraId="16579842"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4.4</w:t>
      </w:r>
      <w:r w:rsidRPr="00110D6C">
        <w:rPr>
          <w:rFonts w:cs="Times New Roman"/>
          <w:b/>
          <w:bCs/>
          <w:color w:val="auto"/>
          <w:szCs w:val="22"/>
          <w:lang w:val="pt-PT"/>
        </w:rPr>
        <w:tab/>
      </w:r>
      <w:r w:rsidR="00030085" w:rsidRPr="00110D6C">
        <w:rPr>
          <w:rFonts w:cs="Times New Roman"/>
          <w:b/>
          <w:bCs/>
          <w:color w:val="auto"/>
          <w:szCs w:val="22"/>
          <w:lang w:val="pt-PT"/>
        </w:rPr>
        <w:t>Advertências e precauções especiais de utilização</w:t>
      </w:r>
      <w:bookmarkEnd w:id="7"/>
    </w:p>
    <w:p w14:paraId="3978C8DC" w14:textId="77777777" w:rsidR="00030085" w:rsidRPr="00110D6C" w:rsidRDefault="00030085" w:rsidP="00A17623">
      <w:pPr>
        <w:widowControl/>
        <w:rPr>
          <w:rFonts w:cs="Times New Roman"/>
          <w:color w:val="auto"/>
          <w:szCs w:val="22"/>
          <w:lang w:val="pt-PT"/>
        </w:rPr>
      </w:pPr>
    </w:p>
    <w:p w14:paraId="69BE7231"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Rastreabilidade</w:t>
      </w:r>
    </w:p>
    <w:p w14:paraId="4A2FAC93"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De forma a melhorar a rastreabilidade dos medicamentos biológicos, o nome comercial e o número de lote do medicamento administrado devem ser claramente registados.</w:t>
      </w:r>
    </w:p>
    <w:p w14:paraId="21FC5706" w14:textId="77777777" w:rsidR="00030085" w:rsidRPr="00110D6C" w:rsidRDefault="00030085" w:rsidP="00A17623">
      <w:pPr>
        <w:widowControl/>
        <w:rPr>
          <w:rFonts w:cs="Times New Roman"/>
          <w:color w:val="auto"/>
          <w:szCs w:val="22"/>
          <w:lang w:val="pt-PT"/>
        </w:rPr>
      </w:pPr>
    </w:p>
    <w:p w14:paraId="68A34FED"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Infeções</w:t>
      </w:r>
    </w:p>
    <w:p w14:paraId="5C3E33A1" w14:textId="3EC2E17F"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O ustecinumab pode ter potencial para aumentar o risco de infeções e reativar infeções latentes. Em estudos clínicos e num estudo observacional de pós-comercialização em doentes com psoríase, foram observadas infeções bacterianas, fúngicas e virais graves em doentes tratados com </w:t>
      </w:r>
      <w:r w:rsidR="00D05FE6" w:rsidRPr="00110D6C">
        <w:rPr>
          <w:rFonts w:cs="Times New Roman"/>
          <w:color w:val="auto"/>
          <w:szCs w:val="22"/>
          <w:lang w:val="pt-PT"/>
        </w:rPr>
        <w:t>ustecinumab</w:t>
      </w:r>
      <w:r w:rsidRPr="00110D6C">
        <w:rPr>
          <w:rFonts w:cs="Times New Roman"/>
          <w:color w:val="auto"/>
          <w:szCs w:val="22"/>
          <w:lang w:val="pt-PT"/>
        </w:rPr>
        <w:t xml:space="preserve">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4.8).</w:t>
      </w:r>
    </w:p>
    <w:p w14:paraId="594F7CFB" w14:textId="77777777" w:rsidR="00030085" w:rsidRPr="00110D6C" w:rsidRDefault="00030085" w:rsidP="00A17623">
      <w:pPr>
        <w:widowControl/>
        <w:rPr>
          <w:rFonts w:cs="Times New Roman"/>
          <w:color w:val="auto"/>
          <w:szCs w:val="22"/>
          <w:lang w:val="pt-PT"/>
        </w:rPr>
      </w:pPr>
    </w:p>
    <w:p w14:paraId="597A8CB0"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Foram notificadas infeções oportunistas em doentes tratados com ustecinumab, incluindo reativação da tuberculose, outras infeções bacterianas oportunistas (incluindo infeção micobacteriana atípica, meningite por Listeria, pneumonia por Legionella e nocardiose), infeções fúngicas oportunistas, infeções virais oportunistas (incluindo encefalite por herpes simplex</w:t>
      </w:r>
      <w:r w:rsidR="005B2D5C" w:rsidRPr="00110D6C">
        <w:rPr>
          <w:rFonts w:cs="Times New Roman"/>
          <w:color w:val="auto"/>
          <w:szCs w:val="22"/>
          <w:lang w:val="pt-PT"/>
        </w:rPr>
        <w:t> </w:t>
      </w:r>
      <w:r w:rsidRPr="00110D6C">
        <w:rPr>
          <w:rFonts w:cs="Times New Roman"/>
          <w:color w:val="auto"/>
          <w:szCs w:val="22"/>
          <w:lang w:val="pt-PT"/>
        </w:rPr>
        <w:t>2) e infeções parasitárias (incluindo toxoplasmose ocular)</w:t>
      </w:r>
      <w:r w:rsidRPr="00110D6C">
        <w:rPr>
          <w:rFonts w:cs="Times New Roman"/>
          <w:color w:val="auto"/>
          <w:szCs w:val="22"/>
          <w:u w:val="single"/>
          <w:lang w:val="pt-PT"/>
        </w:rPr>
        <w:t>.</w:t>
      </w:r>
    </w:p>
    <w:p w14:paraId="4D741E2B" w14:textId="77777777" w:rsidR="00030085" w:rsidRPr="00110D6C" w:rsidRDefault="00030085" w:rsidP="00A17623">
      <w:pPr>
        <w:widowControl/>
        <w:rPr>
          <w:rFonts w:cs="Times New Roman"/>
          <w:color w:val="auto"/>
          <w:szCs w:val="22"/>
          <w:lang w:val="pt-PT"/>
        </w:rPr>
      </w:pPr>
    </w:p>
    <w:p w14:paraId="7AB6367A" w14:textId="5551990E"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Recomenda-se precaução sempre que for considerada a utilização de </w:t>
      </w:r>
      <w:r w:rsidR="00D05FE6" w:rsidRPr="00110D6C">
        <w:rPr>
          <w:rFonts w:cs="Times New Roman"/>
          <w:color w:val="auto"/>
          <w:szCs w:val="22"/>
          <w:lang w:val="pt-PT"/>
        </w:rPr>
        <w:t>Fymskina</w:t>
      </w:r>
      <w:r w:rsidRPr="00110D6C">
        <w:rPr>
          <w:rFonts w:cs="Times New Roman"/>
          <w:color w:val="auto"/>
          <w:szCs w:val="22"/>
          <w:lang w:val="pt-PT"/>
        </w:rPr>
        <w:t xml:space="preserve"> em doentes com infeção crónica ou história de infeção recorrente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4.3).</w:t>
      </w:r>
    </w:p>
    <w:p w14:paraId="3B54E4E0" w14:textId="77777777" w:rsidR="00030085" w:rsidRPr="00110D6C" w:rsidRDefault="00030085" w:rsidP="00A17623">
      <w:pPr>
        <w:widowControl/>
        <w:rPr>
          <w:rFonts w:cs="Times New Roman"/>
          <w:color w:val="auto"/>
          <w:szCs w:val="22"/>
          <w:lang w:val="pt-PT"/>
        </w:rPr>
      </w:pPr>
    </w:p>
    <w:p w14:paraId="42DD3746" w14:textId="7B0914D7" w:rsidR="0077031F" w:rsidRPr="00110D6C" w:rsidRDefault="00030085" w:rsidP="00A17623">
      <w:pPr>
        <w:widowControl/>
        <w:rPr>
          <w:rFonts w:cs="Times New Roman"/>
          <w:color w:val="auto"/>
          <w:szCs w:val="22"/>
          <w:lang w:val="pt-PT"/>
        </w:rPr>
      </w:pPr>
      <w:r w:rsidRPr="00110D6C">
        <w:rPr>
          <w:rFonts w:cs="Times New Roman"/>
          <w:color w:val="auto"/>
          <w:szCs w:val="22"/>
          <w:lang w:val="pt-PT"/>
        </w:rPr>
        <w:lastRenderedPageBreak/>
        <w:t xml:space="preserve">Antes de iniciar o tratamento com </w:t>
      </w:r>
      <w:r w:rsidR="00D05FE6" w:rsidRPr="00110D6C">
        <w:rPr>
          <w:rFonts w:cs="Times New Roman"/>
          <w:color w:val="auto"/>
          <w:szCs w:val="22"/>
          <w:lang w:val="pt-PT"/>
        </w:rPr>
        <w:t>Fymskina</w:t>
      </w:r>
      <w:r w:rsidRPr="00110D6C">
        <w:rPr>
          <w:rFonts w:cs="Times New Roman"/>
          <w:color w:val="auto"/>
          <w:szCs w:val="22"/>
          <w:lang w:val="pt-PT"/>
        </w:rPr>
        <w:t xml:space="preserve">, os doentes devem ser avaliados em relação a infeção por tuberculose. </w:t>
      </w:r>
      <w:r w:rsidR="00D05FE6" w:rsidRPr="00110D6C">
        <w:rPr>
          <w:rFonts w:cs="Times New Roman"/>
          <w:color w:val="auto"/>
          <w:szCs w:val="22"/>
          <w:lang w:val="pt-PT"/>
        </w:rPr>
        <w:t>Fymskina</w:t>
      </w:r>
      <w:r w:rsidRPr="00110D6C">
        <w:rPr>
          <w:rFonts w:cs="Times New Roman"/>
          <w:color w:val="auto"/>
          <w:szCs w:val="22"/>
          <w:lang w:val="pt-PT"/>
        </w:rPr>
        <w:t xml:space="preserve"> não pode ser administrado em doentes com tuberculose ativa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 xml:space="preserve">4.3). O tratamento para a tuberculose latente deve ser iniciado antes de se administrar </w:t>
      </w:r>
      <w:r w:rsidR="00D05FE6" w:rsidRPr="00110D6C">
        <w:rPr>
          <w:rFonts w:cs="Times New Roman"/>
          <w:color w:val="auto"/>
          <w:szCs w:val="22"/>
          <w:lang w:val="pt-PT"/>
        </w:rPr>
        <w:t>Fymskina</w:t>
      </w:r>
      <w:r w:rsidRPr="00110D6C">
        <w:rPr>
          <w:rFonts w:cs="Times New Roman"/>
          <w:color w:val="auto"/>
          <w:szCs w:val="22"/>
          <w:lang w:val="pt-PT"/>
        </w:rPr>
        <w:t xml:space="preserve">. Também deve ser considerada terapêutica antituberculosa antes do início da administração de </w:t>
      </w:r>
      <w:r w:rsidR="00BB3454">
        <w:rPr>
          <w:rFonts w:cs="Times New Roman"/>
          <w:color w:val="auto"/>
          <w:szCs w:val="22"/>
          <w:lang w:val="pt-PT"/>
        </w:rPr>
        <w:t>Fymskina</w:t>
      </w:r>
      <w:r w:rsidRPr="00110D6C">
        <w:rPr>
          <w:rFonts w:cs="Times New Roman"/>
          <w:color w:val="auto"/>
          <w:szCs w:val="22"/>
          <w:lang w:val="pt-PT"/>
        </w:rPr>
        <w:t xml:space="preserve">, em doentes com história de tuberculose latente ou ativa, nos quais não é possível confirmar um curso de terapêutica adequado. Os doentes em tratamento com </w:t>
      </w:r>
      <w:r w:rsidR="00D05FE6" w:rsidRPr="00110D6C">
        <w:rPr>
          <w:rFonts w:cs="Times New Roman"/>
          <w:color w:val="auto"/>
          <w:szCs w:val="22"/>
          <w:lang w:val="pt-PT"/>
        </w:rPr>
        <w:t>Fymskina</w:t>
      </w:r>
      <w:r w:rsidRPr="00110D6C">
        <w:rPr>
          <w:rFonts w:cs="Times New Roman"/>
          <w:color w:val="auto"/>
          <w:szCs w:val="22"/>
          <w:lang w:val="pt-PT"/>
        </w:rPr>
        <w:t xml:space="preserve"> devem ser cuidadosamente monitorizados relativamente a sinais e sintomas de tuberculose ativa durante e após o tratamento.</w:t>
      </w:r>
    </w:p>
    <w:p w14:paraId="3B9E405D" w14:textId="77777777" w:rsidR="00030085" w:rsidRPr="00110D6C" w:rsidRDefault="00030085" w:rsidP="00A17623">
      <w:pPr>
        <w:widowControl/>
        <w:rPr>
          <w:rFonts w:cs="Times New Roman"/>
          <w:color w:val="auto"/>
          <w:szCs w:val="22"/>
          <w:lang w:val="pt-PT"/>
        </w:rPr>
      </w:pPr>
    </w:p>
    <w:p w14:paraId="4117F1A6" w14:textId="26716DEC"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Os doentes devem ser instruídos a procurar aconselhamento médico se surgirem sinais ou sintomas sugestivos de uma infeção. Se um doente desenvolver uma infeção grave, este deverá ser cuidadosamente monitorizado e </w:t>
      </w:r>
      <w:r w:rsidR="00D05FE6" w:rsidRPr="00110D6C">
        <w:rPr>
          <w:rFonts w:cs="Times New Roman"/>
          <w:color w:val="auto"/>
          <w:szCs w:val="22"/>
          <w:lang w:val="pt-PT"/>
        </w:rPr>
        <w:t>Fymskina</w:t>
      </w:r>
      <w:r w:rsidRPr="00110D6C">
        <w:rPr>
          <w:rFonts w:cs="Times New Roman"/>
          <w:color w:val="auto"/>
          <w:szCs w:val="22"/>
          <w:lang w:val="pt-PT"/>
        </w:rPr>
        <w:t xml:space="preserve"> não deverá ser administrado até resolução da infeção.</w:t>
      </w:r>
    </w:p>
    <w:p w14:paraId="4E9E3A2E" w14:textId="77777777" w:rsidR="00030085" w:rsidRPr="00110D6C" w:rsidRDefault="00030085" w:rsidP="00A17623">
      <w:pPr>
        <w:widowControl/>
        <w:rPr>
          <w:rFonts w:cs="Times New Roman"/>
          <w:color w:val="auto"/>
          <w:szCs w:val="22"/>
          <w:lang w:val="pt-PT"/>
        </w:rPr>
      </w:pPr>
    </w:p>
    <w:p w14:paraId="272ADE7D"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Doenças malignas</w:t>
      </w:r>
    </w:p>
    <w:p w14:paraId="32A62AD7" w14:textId="6892CD46"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Imunossupressores como o ustecinumab têm potencial para aumentar o risco de doença maligna. Em estudos clínicos e num estudo observacional de pós-comercialização em doentes com psoríase, alguns doentes tratados com </w:t>
      </w:r>
      <w:r w:rsidR="00D05FE6" w:rsidRPr="00110D6C">
        <w:rPr>
          <w:rFonts w:cs="Times New Roman"/>
          <w:color w:val="auto"/>
          <w:szCs w:val="22"/>
          <w:lang w:val="pt-PT"/>
        </w:rPr>
        <w:t>ustecinumab</w:t>
      </w:r>
      <w:r w:rsidRPr="00110D6C">
        <w:rPr>
          <w:rFonts w:cs="Times New Roman"/>
          <w:color w:val="auto"/>
          <w:szCs w:val="22"/>
          <w:lang w:val="pt-PT"/>
        </w:rPr>
        <w:t xml:space="preserve"> desenvolveram doenças malignas cutâneas e não cutâneas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4.8). O risco de doença maligna pode ser maior em doentes com psoríase que tenham sido tratados com outros biológicos durante o curso da sua doença.</w:t>
      </w:r>
    </w:p>
    <w:p w14:paraId="2BC6543F" w14:textId="77777777" w:rsidR="00030085" w:rsidRPr="00110D6C" w:rsidRDefault="00030085" w:rsidP="00A17623">
      <w:pPr>
        <w:widowControl/>
        <w:rPr>
          <w:rFonts w:cs="Times New Roman"/>
          <w:color w:val="auto"/>
          <w:szCs w:val="22"/>
          <w:lang w:val="pt-PT"/>
        </w:rPr>
      </w:pPr>
    </w:p>
    <w:p w14:paraId="729ABC11" w14:textId="5DA9A41A"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Não foram realizados estudos incluindo doentes com história de doença maligna ou em que fosse continuado o tratamento em doentes que desenvolveram doença maligna durante a terapêutica com </w:t>
      </w:r>
      <w:r w:rsidR="00D05FE6" w:rsidRPr="00110D6C">
        <w:rPr>
          <w:rFonts w:cs="Times New Roman"/>
          <w:color w:val="auto"/>
          <w:szCs w:val="22"/>
          <w:lang w:val="pt-PT"/>
        </w:rPr>
        <w:t>ustecinumab</w:t>
      </w:r>
      <w:r w:rsidRPr="00110D6C">
        <w:rPr>
          <w:rFonts w:cs="Times New Roman"/>
          <w:color w:val="auto"/>
          <w:szCs w:val="22"/>
          <w:lang w:val="pt-PT"/>
        </w:rPr>
        <w:t xml:space="preserve">. Deste modo, recomenda-se precaução ao considerar a utilização de </w:t>
      </w:r>
      <w:r w:rsidR="00D05FE6" w:rsidRPr="00110D6C">
        <w:rPr>
          <w:rFonts w:cs="Times New Roman"/>
          <w:color w:val="auto"/>
          <w:szCs w:val="22"/>
          <w:lang w:val="pt-PT"/>
        </w:rPr>
        <w:t>Fymskina</w:t>
      </w:r>
      <w:r w:rsidRPr="00110D6C">
        <w:rPr>
          <w:rFonts w:cs="Times New Roman"/>
          <w:color w:val="auto"/>
          <w:szCs w:val="22"/>
          <w:lang w:val="pt-PT"/>
        </w:rPr>
        <w:t xml:space="preserve"> nestes doentes.</w:t>
      </w:r>
    </w:p>
    <w:p w14:paraId="352DC772" w14:textId="77777777" w:rsidR="00030085" w:rsidRPr="00110D6C" w:rsidRDefault="00030085" w:rsidP="00A17623">
      <w:pPr>
        <w:widowControl/>
        <w:rPr>
          <w:rFonts w:cs="Times New Roman"/>
          <w:color w:val="auto"/>
          <w:szCs w:val="22"/>
          <w:lang w:val="pt-PT"/>
        </w:rPr>
      </w:pPr>
    </w:p>
    <w:p w14:paraId="38493037" w14:textId="60BCF86F" w:rsidR="0077031F" w:rsidRPr="00110D6C" w:rsidRDefault="00030085" w:rsidP="00A17623">
      <w:pPr>
        <w:widowControl/>
        <w:rPr>
          <w:rFonts w:cs="Times New Roman"/>
          <w:color w:val="auto"/>
          <w:szCs w:val="22"/>
          <w:lang w:val="pt-PT"/>
        </w:rPr>
      </w:pPr>
      <w:r w:rsidRPr="00110D6C">
        <w:rPr>
          <w:rFonts w:cs="Times New Roman"/>
          <w:color w:val="auto"/>
          <w:szCs w:val="22"/>
          <w:lang w:val="pt-PT"/>
        </w:rPr>
        <w:t>Todos os doentes, particularmente aqueles com mais de 6</w:t>
      </w:r>
      <w:r w:rsidR="00B910F9" w:rsidRPr="00110D6C">
        <w:rPr>
          <w:rFonts w:cs="Times New Roman"/>
          <w:color w:val="auto"/>
          <w:szCs w:val="22"/>
          <w:lang w:val="pt-PT"/>
        </w:rPr>
        <w:t>0 </w:t>
      </w:r>
      <w:r w:rsidRPr="00110D6C">
        <w:rPr>
          <w:rFonts w:cs="Times New Roman"/>
          <w:color w:val="auto"/>
          <w:szCs w:val="22"/>
          <w:lang w:val="pt-PT"/>
        </w:rPr>
        <w:t>anos de idade, doentes com história médica de terapêutica imunossupressora prolongada ou com história de tratamento PUVA, devem ser monitorizados quanto ao aparecimento de cancro da pele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4.8).</w:t>
      </w:r>
    </w:p>
    <w:p w14:paraId="6ACB729D" w14:textId="77777777" w:rsidR="00030085" w:rsidRPr="00110D6C" w:rsidRDefault="00030085" w:rsidP="00A17623">
      <w:pPr>
        <w:widowControl/>
        <w:rPr>
          <w:rFonts w:cs="Times New Roman"/>
          <w:color w:val="auto"/>
          <w:szCs w:val="22"/>
          <w:lang w:val="pt-PT"/>
        </w:rPr>
      </w:pPr>
    </w:p>
    <w:p w14:paraId="19F8D990"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Reações de hipersensibilidade sistémica e respiratória</w:t>
      </w:r>
    </w:p>
    <w:p w14:paraId="7ABF2BC5" w14:textId="77777777" w:rsidR="0077031F" w:rsidRPr="00110D6C" w:rsidRDefault="00030085" w:rsidP="00A17623">
      <w:pPr>
        <w:widowControl/>
        <w:rPr>
          <w:rFonts w:cs="Times New Roman"/>
          <w:color w:val="auto"/>
          <w:szCs w:val="22"/>
          <w:lang w:val="pt-PT"/>
        </w:rPr>
      </w:pPr>
      <w:r w:rsidRPr="00110D6C">
        <w:rPr>
          <w:rFonts w:cs="Times New Roman"/>
          <w:i/>
          <w:iCs/>
          <w:color w:val="auto"/>
          <w:szCs w:val="22"/>
          <w:lang w:val="pt-PT"/>
        </w:rPr>
        <w:t>Sistémica</w:t>
      </w:r>
    </w:p>
    <w:p w14:paraId="12FF2931" w14:textId="50095D8D"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Foram relatadas reações de hipersensibilidade graves no período pós comercialização, em alguns casos, vários dias após o tratamento. Ocorreram anafilaxia e angioedema. Se ocorrer uma reação anafilática ou outra reação de hipersensibilidade grave, deve ser instituída uma terapêutica apropriada e a administração de </w:t>
      </w:r>
      <w:r w:rsidR="00D05FE6" w:rsidRPr="00110D6C">
        <w:rPr>
          <w:rFonts w:cs="Times New Roman"/>
          <w:color w:val="auto"/>
          <w:szCs w:val="22"/>
          <w:lang w:val="pt-PT"/>
        </w:rPr>
        <w:t>F</w:t>
      </w:r>
      <w:r w:rsidR="00F6501B" w:rsidRPr="00110D6C">
        <w:rPr>
          <w:rFonts w:cs="Times New Roman"/>
          <w:color w:val="auto"/>
          <w:szCs w:val="22"/>
          <w:lang w:val="pt-PT"/>
        </w:rPr>
        <w:t>ymskina</w:t>
      </w:r>
      <w:r w:rsidRPr="00110D6C">
        <w:rPr>
          <w:rFonts w:cs="Times New Roman"/>
          <w:color w:val="auto"/>
          <w:szCs w:val="22"/>
          <w:lang w:val="pt-PT"/>
        </w:rPr>
        <w:t xml:space="preserve"> deve ser imediatamente interrompida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4.8).</w:t>
      </w:r>
    </w:p>
    <w:p w14:paraId="61DC03C2" w14:textId="77777777" w:rsidR="00030085" w:rsidRPr="00110D6C" w:rsidRDefault="00030085" w:rsidP="00A17623">
      <w:pPr>
        <w:widowControl/>
        <w:rPr>
          <w:rFonts w:cs="Times New Roman"/>
          <w:color w:val="auto"/>
          <w:szCs w:val="22"/>
          <w:lang w:val="pt-PT"/>
        </w:rPr>
      </w:pPr>
    </w:p>
    <w:p w14:paraId="508903D7"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Reações relacionadas com a perfusão</w:t>
      </w:r>
    </w:p>
    <w:p w14:paraId="33652B32" w14:textId="68F03C52" w:rsidR="0077031F" w:rsidRPr="00110D6C" w:rsidRDefault="00030085" w:rsidP="00A17623">
      <w:pPr>
        <w:widowControl/>
        <w:rPr>
          <w:rFonts w:cs="Times New Roman"/>
          <w:color w:val="auto"/>
          <w:szCs w:val="22"/>
          <w:lang w:val="pt-PT"/>
        </w:rPr>
      </w:pPr>
      <w:r w:rsidRPr="00110D6C">
        <w:rPr>
          <w:rFonts w:cs="Times New Roman"/>
          <w:color w:val="auto"/>
          <w:szCs w:val="22"/>
          <w:lang w:val="pt-PT"/>
        </w:rPr>
        <w:t>Em ensaios clínicos, foram observadas reações relacionadas com a perfusão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4.8). No perí</w:t>
      </w:r>
      <w:r w:rsidR="00F133CE">
        <w:rPr>
          <w:rFonts w:cs="Times New Roman"/>
          <w:color w:val="auto"/>
          <w:szCs w:val="22"/>
          <w:lang w:val="pt-PT"/>
        </w:rPr>
        <w:t>o</w:t>
      </w:r>
      <w:r w:rsidRPr="00110D6C">
        <w:rPr>
          <w:rFonts w:cs="Times New Roman"/>
          <w:color w:val="auto"/>
          <w:szCs w:val="22"/>
          <w:lang w:val="pt-PT"/>
        </w:rPr>
        <w:t>do de pós comercialização foram notificadas reações graves relacionadas com a perfusão, incluindo reações anafiláticas à perfusão. Se for observada uma reação grave ou que represente perigo de vida, deve ser instituído um tratamento adequado e o ustecinumab deve ser descontinuado.</w:t>
      </w:r>
    </w:p>
    <w:p w14:paraId="4B36D9B5" w14:textId="77777777" w:rsidR="00030085" w:rsidRPr="00110D6C" w:rsidRDefault="00030085" w:rsidP="00A17623">
      <w:pPr>
        <w:widowControl/>
        <w:rPr>
          <w:rFonts w:cs="Times New Roman"/>
          <w:iCs/>
          <w:color w:val="auto"/>
          <w:szCs w:val="22"/>
          <w:lang w:val="pt-PT"/>
        </w:rPr>
      </w:pPr>
    </w:p>
    <w:p w14:paraId="124AC59B" w14:textId="77777777" w:rsidR="0077031F" w:rsidRPr="00110D6C" w:rsidRDefault="00030085" w:rsidP="00A17623">
      <w:pPr>
        <w:widowControl/>
        <w:rPr>
          <w:rFonts w:cs="Times New Roman"/>
          <w:color w:val="auto"/>
          <w:szCs w:val="22"/>
          <w:lang w:val="pt-PT"/>
        </w:rPr>
      </w:pPr>
      <w:r w:rsidRPr="00110D6C">
        <w:rPr>
          <w:rFonts w:cs="Times New Roman"/>
          <w:i/>
          <w:iCs/>
          <w:color w:val="auto"/>
          <w:szCs w:val="22"/>
          <w:lang w:val="pt-PT"/>
        </w:rPr>
        <w:t>Respiratória</w:t>
      </w:r>
    </w:p>
    <w:p w14:paraId="598B7E69" w14:textId="1256B77A" w:rsidR="0077031F" w:rsidRPr="00110D6C" w:rsidRDefault="00030085" w:rsidP="00A17623">
      <w:pPr>
        <w:widowControl/>
        <w:rPr>
          <w:rFonts w:cs="Times New Roman"/>
          <w:color w:val="auto"/>
          <w:szCs w:val="22"/>
          <w:lang w:val="pt-PT"/>
        </w:rPr>
      </w:pPr>
      <w:r w:rsidRPr="00110D6C">
        <w:rPr>
          <w:rFonts w:cs="Times New Roman"/>
          <w:color w:val="auto"/>
          <w:szCs w:val="22"/>
          <w:lang w:val="pt-PT"/>
        </w:rPr>
        <w:t>Foram relatados casos de alveolite alérgica e pneumonia eosinofílica, e pneumonia em organização não infeciosa durante a utilização no período pós-aprovação de ustecinumab. As apresentações clínicas incluíram tosse, dispneia e infiltrados intersticiais após uma a três doses. Resultados graves incluíram insuficiência respiratória e hospitalização prolongada. Foi notificada melhoria após a descontinuação do ustecinumab e também, em alguns casos, administração de corticoster</w:t>
      </w:r>
      <w:r w:rsidR="00F133CE">
        <w:rPr>
          <w:rFonts w:cs="Times New Roman"/>
          <w:color w:val="auto"/>
          <w:szCs w:val="22"/>
          <w:lang w:val="pt-PT"/>
        </w:rPr>
        <w:t>o</w:t>
      </w:r>
      <w:r w:rsidRPr="00110D6C">
        <w:rPr>
          <w:rFonts w:cs="Times New Roman"/>
          <w:color w:val="auto"/>
          <w:szCs w:val="22"/>
          <w:lang w:val="pt-PT"/>
        </w:rPr>
        <w:t>ides. Caso a infeção tenha sido excluída e o diagnóstico confirmado, descontinuar o tratamento com ustecinumab e instituir tratamento adequado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4.8).</w:t>
      </w:r>
    </w:p>
    <w:p w14:paraId="577D5756" w14:textId="77777777" w:rsidR="00030085" w:rsidRPr="00110D6C" w:rsidRDefault="00030085" w:rsidP="00A17623">
      <w:pPr>
        <w:widowControl/>
        <w:rPr>
          <w:rFonts w:cs="Times New Roman"/>
          <w:color w:val="auto"/>
          <w:szCs w:val="22"/>
          <w:lang w:val="pt-PT"/>
        </w:rPr>
      </w:pPr>
    </w:p>
    <w:p w14:paraId="7E8C6C3C"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Acontecimentos cardiovasculares</w:t>
      </w:r>
    </w:p>
    <w:p w14:paraId="6C212C82" w14:textId="046ECFCF"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Num estudo observacional de pós-comercialização, foram observados acontecimentos cardiovasculares, incluindo enfarte do miocárdio e acidente vascular cerebral, em doentes com psoríase expostos a </w:t>
      </w:r>
      <w:r w:rsidR="00F6501B" w:rsidRPr="00110D6C">
        <w:rPr>
          <w:rFonts w:cs="Times New Roman"/>
          <w:color w:val="auto"/>
          <w:szCs w:val="22"/>
          <w:lang w:val="pt-PT"/>
        </w:rPr>
        <w:t>ustecinumab</w:t>
      </w:r>
      <w:r w:rsidRPr="00110D6C">
        <w:rPr>
          <w:rFonts w:cs="Times New Roman"/>
          <w:color w:val="auto"/>
          <w:szCs w:val="22"/>
          <w:lang w:val="pt-PT"/>
        </w:rPr>
        <w:t xml:space="preserve">. Os fatores de risco de doença cardiovascular devem ser avaliados regularmente durante o tratamento com </w:t>
      </w:r>
      <w:r w:rsidR="00D05FE6" w:rsidRPr="00110D6C">
        <w:rPr>
          <w:rFonts w:cs="Times New Roman"/>
          <w:color w:val="auto"/>
          <w:szCs w:val="22"/>
          <w:lang w:val="pt-PT"/>
        </w:rPr>
        <w:t>F</w:t>
      </w:r>
      <w:r w:rsidR="00F6501B" w:rsidRPr="00110D6C">
        <w:rPr>
          <w:rFonts w:cs="Times New Roman"/>
          <w:color w:val="auto"/>
          <w:szCs w:val="22"/>
          <w:lang w:val="pt-PT"/>
        </w:rPr>
        <w:t>ymskina</w:t>
      </w:r>
      <w:r w:rsidRPr="00110D6C">
        <w:rPr>
          <w:rFonts w:cs="Times New Roman"/>
          <w:color w:val="auto"/>
          <w:szCs w:val="22"/>
          <w:lang w:val="pt-PT"/>
        </w:rPr>
        <w:t>.</w:t>
      </w:r>
    </w:p>
    <w:p w14:paraId="4FB57B06" w14:textId="77777777" w:rsidR="00030085" w:rsidRPr="00110D6C" w:rsidRDefault="00030085" w:rsidP="00A17623">
      <w:pPr>
        <w:widowControl/>
        <w:rPr>
          <w:rFonts w:cs="Times New Roman"/>
          <w:color w:val="auto"/>
          <w:szCs w:val="22"/>
          <w:lang w:val="pt-PT"/>
        </w:rPr>
      </w:pPr>
    </w:p>
    <w:p w14:paraId="003D8281" w14:textId="77777777" w:rsidR="0077031F" w:rsidRPr="00110D6C" w:rsidRDefault="00030085" w:rsidP="00A17623">
      <w:pPr>
        <w:keepNext/>
        <w:keepLines/>
        <w:widowControl/>
        <w:rPr>
          <w:rFonts w:cs="Times New Roman"/>
          <w:color w:val="auto"/>
          <w:szCs w:val="22"/>
          <w:lang w:val="pt-PT"/>
        </w:rPr>
      </w:pPr>
      <w:r w:rsidRPr="00110D6C">
        <w:rPr>
          <w:rFonts w:cs="Times New Roman"/>
          <w:color w:val="auto"/>
          <w:szCs w:val="22"/>
          <w:u w:val="single"/>
          <w:lang w:val="pt-PT"/>
        </w:rPr>
        <w:lastRenderedPageBreak/>
        <w:t>Vacinações</w:t>
      </w:r>
    </w:p>
    <w:p w14:paraId="52C442DD" w14:textId="5F6F4F89"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Recomenda-se que vacinas de vírus vivos ou vacinas de bactérias vivas, tais como Bacilo de Calmette e Guérin (BCG), não sejam administradas simultaneamente com </w:t>
      </w:r>
      <w:r w:rsidR="00D05FE6" w:rsidRPr="00110D6C">
        <w:rPr>
          <w:rFonts w:cs="Times New Roman"/>
          <w:color w:val="auto"/>
          <w:szCs w:val="22"/>
          <w:lang w:val="pt-PT"/>
        </w:rPr>
        <w:t>F</w:t>
      </w:r>
      <w:r w:rsidR="00F6501B" w:rsidRPr="00110D6C">
        <w:rPr>
          <w:rFonts w:cs="Times New Roman"/>
          <w:color w:val="auto"/>
          <w:szCs w:val="22"/>
          <w:lang w:val="pt-PT"/>
        </w:rPr>
        <w:t>ymskina</w:t>
      </w:r>
      <w:r w:rsidRPr="00110D6C">
        <w:rPr>
          <w:rFonts w:cs="Times New Roman"/>
          <w:color w:val="auto"/>
          <w:szCs w:val="22"/>
          <w:lang w:val="pt-PT"/>
        </w:rPr>
        <w:t xml:space="preserve">. Não foram realizados estudos específicos em doentes que tenham recebido recentemente vacinas de vírus vivos ou de bactérias vivas. Não estão disponíveis dados sobre a transmissão secundária de infeção por vacinas vivas em doentes em tratamento com </w:t>
      </w:r>
      <w:r w:rsidR="00F6501B" w:rsidRPr="00110D6C">
        <w:rPr>
          <w:rFonts w:cs="Times New Roman"/>
          <w:color w:val="auto"/>
          <w:szCs w:val="22"/>
          <w:lang w:val="pt-PT"/>
        </w:rPr>
        <w:t>ustecinumab</w:t>
      </w:r>
      <w:r w:rsidRPr="00110D6C">
        <w:rPr>
          <w:rFonts w:cs="Times New Roman"/>
          <w:color w:val="auto"/>
          <w:szCs w:val="22"/>
          <w:lang w:val="pt-PT"/>
        </w:rPr>
        <w:t xml:space="preserve">. Antes da administração de vacinas de vírus vivos ou de bactérias vivas, o tratamento com </w:t>
      </w:r>
      <w:r w:rsidR="00D05FE6" w:rsidRPr="00110D6C">
        <w:rPr>
          <w:rFonts w:cs="Times New Roman"/>
          <w:color w:val="auto"/>
          <w:szCs w:val="22"/>
          <w:lang w:val="pt-PT"/>
        </w:rPr>
        <w:t>F</w:t>
      </w:r>
      <w:r w:rsidR="00F6501B" w:rsidRPr="00110D6C">
        <w:rPr>
          <w:rFonts w:cs="Times New Roman"/>
          <w:color w:val="auto"/>
          <w:szCs w:val="22"/>
          <w:lang w:val="pt-PT"/>
        </w:rPr>
        <w:t>ymskina</w:t>
      </w:r>
      <w:r w:rsidRPr="00110D6C">
        <w:rPr>
          <w:rFonts w:cs="Times New Roman"/>
          <w:color w:val="auto"/>
          <w:szCs w:val="22"/>
          <w:lang w:val="pt-PT"/>
        </w:rPr>
        <w:t xml:space="preserve"> deve ser interrompido durante, pelo menos, 1</w:t>
      </w:r>
      <w:r w:rsidR="00B910F9" w:rsidRPr="00110D6C">
        <w:rPr>
          <w:rFonts w:cs="Times New Roman"/>
          <w:color w:val="auto"/>
          <w:szCs w:val="22"/>
          <w:lang w:val="pt-PT"/>
        </w:rPr>
        <w:t>5 </w:t>
      </w:r>
      <w:r w:rsidRPr="00110D6C">
        <w:rPr>
          <w:rFonts w:cs="Times New Roman"/>
          <w:color w:val="auto"/>
          <w:szCs w:val="22"/>
          <w:lang w:val="pt-PT"/>
        </w:rPr>
        <w:t xml:space="preserve">semanas após a última dose, podendo ser retomado, pelo menos, </w:t>
      </w:r>
      <w:r w:rsidR="00B910F9" w:rsidRPr="00110D6C">
        <w:rPr>
          <w:rFonts w:cs="Times New Roman"/>
          <w:color w:val="auto"/>
          <w:szCs w:val="22"/>
          <w:lang w:val="pt-PT"/>
        </w:rPr>
        <w:t>2 </w:t>
      </w:r>
      <w:r w:rsidRPr="00110D6C">
        <w:rPr>
          <w:rFonts w:cs="Times New Roman"/>
          <w:color w:val="auto"/>
          <w:szCs w:val="22"/>
          <w:lang w:val="pt-PT"/>
        </w:rPr>
        <w:t>semanas após a vacinação. Os prescritores devem consultar o Resumo das Características do Medicamento específico para a vacina para obter informação adicional e orientação sobre a utilização concomitante de agentes imunossupressores pós-vacinação.</w:t>
      </w:r>
    </w:p>
    <w:p w14:paraId="4E45F45F" w14:textId="77777777" w:rsidR="00030085" w:rsidRPr="00110D6C" w:rsidRDefault="00030085" w:rsidP="00A17623">
      <w:pPr>
        <w:widowControl/>
        <w:rPr>
          <w:rFonts w:cs="Times New Roman"/>
          <w:color w:val="auto"/>
          <w:szCs w:val="22"/>
          <w:lang w:val="pt-PT"/>
        </w:rPr>
      </w:pPr>
    </w:p>
    <w:p w14:paraId="2AD4C764" w14:textId="4C93B6A1"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 administração de vacinas vivas (tais como a vacina BCG) a lactentes expostos </w:t>
      </w:r>
      <w:r w:rsidRPr="00110D6C">
        <w:rPr>
          <w:rFonts w:cs="Times New Roman"/>
          <w:i/>
          <w:iCs/>
          <w:color w:val="auto"/>
          <w:szCs w:val="22"/>
          <w:lang w:val="pt-PT"/>
        </w:rPr>
        <w:t>in</w:t>
      </w:r>
      <w:r w:rsidR="005B2D5C" w:rsidRPr="00110D6C">
        <w:rPr>
          <w:rFonts w:cs="Times New Roman"/>
          <w:i/>
          <w:iCs/>
          <w:color w:val="auto"/>
          <w:szCs w:val="22"/>
          <w:lang w:val="pt-PT"/>
        </w:rPr>
        <w:t> </w:t>
      </w:r>
      <w:r w:rsidRPr="00110D6C">
        <w:rPr>
          <w:rFonts w:cs="Times New Roman"/>
          <w:i/>
          <w:iCs/>
          <w:color w:val="auto"/>
          <w:szCs w:val="22"/>
          <w:lang w:val="pt-PT"/>
        </w:rPr>
        <w:t>utero</w:t>
      </w:r>
      <w:r w:rsidRPr="00110D6C">
        <w:rPr>
          <w:rFonts w:cs="Times New Roman"/>
          <w:color w:val="auto"/>
          <w:szCs w:val="22"/>
          <w:lang w:val="pt-PT"/>
        </w:rPr>
        <w:t xml:space="preserve"> ao ustecinumab não é recomendada durante </w:t>
      </w:r>
      <w:r w:rsidR="009A77E4">
        <w:rPr>
          <w:rFonts w:cs="Times New Roman"/>
          <w:color w:val="auto"/>
          <w:szCs w:val="22"/>
          <w:lang w:val="pt-PT"/>
        </w:rPr>
        <w:t>doze</w:t>
      </w:r>
      <w:r w:rsidR="009A77E4" w:rsidRPr="00110D6C">
        <w:rPr>
          <w:rFonts w:cs="Times New Roman"/>
          <w:color w:val="auto"/>
          <w:szCs w:val="22"/>
          <w:lang w:val="pt-PT"/>
        </w:rPr>
        <w:t xml:space="preserve"> </w:t>
      </w:r>
      <w:r w:rsidRPr="00110D6C">
        <w:rPr>
          <w:rFonts w:cs="Times New Roman"/>
          <w:color w:val="auto"/>
          <w:szCs w:val="22"/>
          <w:lang w:val="pt-PT"/>
        </w:rPr>
        <w:t>meses após o nascimento ou até que não sejam detetáveis níveis séricos de ustecinumab no lactente (ver secções 4.</w:t>
      </w:r>
      <w:r w:rsidR="00B910F9" w:rsidRPr="00110D6C">
        <w:rPr>
          <w:rFonts w:cs="Times New Roman"/>
          <w:color w:val="auto"/>
          <w:szCs w:val="22"/>
          <w:lang w:val="pt-PT"/>
        </w:rPr>
        <w:t>5 </w:t>
      </w:r>
      <w:r w:rsidRPr="00110D6C">
        <w:rPr>
          <w:rFonts w:cs="Times New Roman"/>
          <w:color w:val="auto"/>
          <w:szCs w:val="22"/>
          <w:lang w:val="pt-PT"/>
        </w:rPr>
        <w:t>e 4.6). Se houver um benefício clínico claro para o lactente em particular, pode ser considerada a administração de uma vacina viva num momento anterior, caso não sejam detetáveis níveis séricos de ustecinumab no lactente.</w:t>
      </w:r>
      <w:r w:rsidR="00F6501B" w:rsidRPr="00110D6C">
        <w:rPr>
          <w:rFonts w:cs="Times New Roman"/>
          <w:color w:val="auto"/>
          <w:szCs w:val="22"/>
          <w:lang w:val="pt-PT"/>
        </w:rPr>
        <w:t xml:space="preserve"> </w:t>
      </w:r>
      <w:r w:rsidRPr="00110D6C">
        <w:rPr>
          <w:rFonts w:cs="Times New Roman"/>
          <w:color w:val="auto"/>
          <w:szCs w:val="22"/>
          <w:lang w:val="pt-PT"/>
        </w:rPr>
        <w:t xml:space="preserve">Os doentes em tratamento com </w:t>
      </w:r>
      <w:r w:rsidR="00D05FE6" w:rsidRPr="00110D6C">
        <w:rPr>
          <w:rFonts w:cs="Times New Roman"/>
          <w:color w:val="auto"/>
          <w:szCs w:val="22"/>
          <w:lang w:val="pt-PT"/>
        </w:rPr>
        <w:t>F</w:t>
      </w:r>
      <w:r w:rsidR="00F6501B" w:rsidRPr="00110D6C">
        <w:rPr>
          <w:rFonts w:cs="Times New Roman"/>
          <w:color w:val="auto"/>
          <w:szCs w:val="22"/>
          <w:lang w:val="pt-PT"/>
        </w:rPr>
        <w:t>ymskina</w:t>
      </w:r>
      <w:r w:rsidRPr="00110D6C">
        <w:rPr>
          <w:rFonts w:cs="Times New Roman"/>
          <w:color w:val="auto"/>
          <w:szCs w:val="22"/>
          <w:lang w:val="pt-PT"/>
        </w:rPr>
        <w:t xml:space="preserve"> podem receber vacinas inativas ou não-vivas concomitantemente.</w:t>
      </w:r>
    </w:p>
    <w:p w14:paraId="3FF21EB2" w14:textId="77777777" w:rsidR="00030085" w:rsidRPr="00110D6C" w:rsidRDefault="00030085" w:rsidP="00A17623">
      <w:pPr>
        <w:widowControl/>
        <w:rPr>
          <w:rFonts w:cs="Times New Roman"/>
          <w:color w:val="auto"/>
          <w:szCs w:val="22"/>
          <w:lang w:val="pt-PT"/>
        </w:rPr>
      </w:pPr>
    </w:p>
    <w:p w14:paraId="46906490" w14:textId="275760B2"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O tratamento prolongado com </w:t>
      </w:r>
      <w:r w:rsidR="00F6501B" w:rsidRPr="00110D6C">
        <w:rPr>
          <w:rFonts w:cs="Times New Roman"/>
          <w:color w:val="auto"/>
          <w:szCs w:val="22"/>
          <w:lang w:val="pt-PT"/>
        </w:rPr>
        <w:t>ustecinumab</w:t>
      </w:r>
      <w:r w:rsidRPr="00110D6C">
        <w:rPr>
          <w:rFonts w:cs="Times New Roman"/>
          <w:color w:val="auto"/>
          <w:szCs w:val="22"/>
          <w:lang w:val="pt-PT"/>
        </w:rPr>
        <w:t xml:space="preserve"> não suprime a resposta imunitária humoral ao polissacárido do pneumococos nem a vacinas do tétano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5.1).</w:t>
      </w:r>
    </w:p>
    <w:p w14:paraId="2C6EB03F" w14:textId="77777777" w:rsidR="00030085" w:rsidRPr="00110D6C" w:rsidRDefault="00030085" w:rsidP="00A17623">
      <w:pPr>
        <w:widowControl/>
        <w:rPr>
          <w:rFonts w:cs="Times New Roman"/>
          <w:color w:val="auto"/>
          <w:szCs w:val="22"/>
          <w:lang w:val="pt-PT"/>
        </w:rPr>
      </w:pPr>
    </w:p>
    <w:p w14:paraId="2D6C22C0"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Terapêutica imunossupressora concomitante</w:t>
      </w:r>
    </w:p>
    <w:p w14:paraId="287DECA1" w14:textId="25A7A3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Nos estudos na psoríase, a segurança e a eficácia de </w:t>
      </w:r>
      <w:r w:rsidR="00F6501B" w:rsidRPr="00110D6C">
        <w:rPr>
          <w:rFonts w:cs="Times New Roman"/>
          <w:color w:val="auto"/>
          <w:szCs w:val="22"/>
          <w:lang w:val="pt-PT"/>
        </w:rPr>
        <w:t>ustecinumab</w:t>
      </w:r>
      <w:r w:rsidRPr="00110D6C">
        <w:rPr>
          <w:rFonts w:cs="Times New Roman"/>
          <w:color w:val="auto"/>
          <w:szCs w:val="22"/>
          <w:lang w:val="pt-PT"/>
        </w:rPr>
        <w:t xml:space="preserve"> em associação com agentes imunossupressores, incluindo medicamentos biológicos ou fototerapia, não foram avaliadas. Nos estudos na artrite psoriática, a associação com o MTX não pareceu influenciar a segurança e a eficácia de </w:t>
      </w:r>
      <w:r w:rsidR="00F6501B" w:rsidRPr="00110D6C">
        <w:rPr>
          <w:rFonts w:cs="Times New Roman"/>
          <w:color w:val="auto"/>
          <w:szCs w:val="22"/>
          <w:lang w:val="pt-PT"/>
        </w:rPr>
        <w:t>ustecinumab</w:t>
      </w:r>
      <w:r w:rsidRPr="00110D6C">
        <w:rPr>
          <w:rFonts w:cs="Times New Roman"/>
          <w:color w:val="auto"/>
          <w:szCs w:val="22"/>
          <w:lang w:val="pt-PT"/>
        </w:rPr>
        <w:t xml:space="preserve">. Nos estudos na doença de Crohn e colite ulcerosa, o uso concomitante de imunossupressores ou corticosteroides não pareceu influenciar a segurança ou a eficácia de </w:t>
      </w:r>
      <w:r w:rsidR="00F6501B" w:rsidRPr="00110D6C">
        <w:rPr>
          <w:rFonts w:cs="Times New Roman"/>
          <w:color w:val="auto"/>
          <w:szCs w:val="22"/>
          <w:lang w:val="pt-PT"/>
        </w:rPr>
        <w:t>ustecinumab</w:t>
      </w:r>
      <w:r w:rsidRPr="00110D6C">
        <w:rPr>
          <w:rFonts w:cs="Times New Roman"/>
          <w:color w:val="auto"/>
          <w:szCs w:val="22"/>
          <w:lang w:val="pt-PT"/>
        </w:rPr>
        <w:t xml:space="preserve">. Recomenda-se precaução ao considerar a utilização concomitante de outros agentes imunossupressores e </w:t>
      </w:r>
      <w:r w:rsidR="00D05FE6" w:rsidRPr="00110D6C">
        <w:rPr>
          <w:rFonts w:cs="Times New Roman"/>
          <w:color w:val="auto"/>
          <w:szCs w:val="22"/>
          <w:lang w:val="pt-PT"/>
        </w:rPr>
        <w:t>F</w:t>
      </w:r>
      <w:r w:rsidR="00F6501B" w:rsidRPr="00110D6C">
        <w:rPr>
          <w:rFonts w:cs="Times New Roman"/>
          <w:color w:val="auto"/>
          <w:szCs w:val="22"/>
          <w:lang w:val="pt-PT"/>
        </w:rPr>
        <w:t>ymskina</w:t>
      </w:r>
      <w:r w:rsidRPr="00110D6C">
        <w:rPr>
          <w:rFonts w:cs="Times New Roman"/>
          <w:color w:val="auto"/>
          <w:szCs w:val="22"/>
          <w:lang w:val="pt-PT"/>
        </w:rPr>
        <w:t xml:space="preserve"> ou quando se substitui a terapêutica com um imunossupressor biológico por </w:t>
      </w:r>
      <w:r w:rsidR="00D05FE6" w:rsidRPr="00110D6C">
        <w:rPr>
          <w:rFonts w:cs="Times New Roman"/>
          <w:color w:val="auto"/>
          <w:szCs w:val="22"/>
          <w:lang w:val="pt-PT"/>
        </w:rPr>
        <w:t>F</w:t>
      </w:r>
      <w:r w:rsidR="00F6501B" w:rsidRPr="00110D6C">
        <w:rPr>
          <w:rFonts w:cs="Times New Roman"/>
          <w:color w:val="auto"/>
          <w:szCs w:val="22"/>
          <w:lang w:val="pt-PT"/>
        </w:rPr>
        <w:t>ymskina</w:t>
      </w:r>
      <w:r w:rsidRPr="00110D6C">
        <w:rPr>
          <w:rFonts w:cs="Times New Roman"/>
          <w:color w:val="auto"/>
          <w:szCs w:val="22"/>
          <w:lang w:val="pt-PT"/>
        </w:rPr>
        <w:t xml:space="preserve">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4.5).</w:t>
      </w:r>
    </w:p>
    <w:p w14:paraId="01EB9DE8" w14:textId="77777777" w:rsidR="00030085" w:rsidRPr="00110D6C" w:rsidRDefault="00030085" w:rsidP="00A17623">
      <w:pPr>
        <w:widowControl/>
        <w:rPr>
          <w:rFonts w:cs="Times New Roman"/>
          <w:color w:val="auto"/>
          <w:szCs w:val="22"/>
          <w:lang w:val="pt-PT"/>
        </w:rPr>
      </w:pPr>
    </w:p>
    <w:p w14:paraId="47157059"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Imunoterapia</w:t>
      </w:r>
    </w:p>
    <w:p w14:paraId="1C83E07A" w14:textId="6FAD05AE" w:rsidR="0077031F" w:rsidRPr="00110D6C" w:rsidRDefault="00F6501B" w:rsidP="00A17623">
      <w:pPr>
        <w:widowControl/>
        <w:rPr>
          <w:rFonts w:cs="Times New Roman"/>
          <w:color w:val="auto"/>
          <w:szCs w:val="22"/>
          <w:lang w:val="pt-PT"/>
        </w:rPr>
      </w:pPr>
      <w:r w:rsidRPr="00110D6C">
        <w:rPr>
          <w:rFonts w:cs="Times New Roman"/>
          <w:color w:val="auto"/>
          <w:szCs w:val="22"/>
          <w:lang w:val="pt-PT"/>
        </w:rPr>
        <w:t>Ustecinumab</w:t>
      </w:r>
      <w:r w:rsidR="00030085" w:rsidRPr="00110D6C">
        <w:rPr>
          <w:rFonts w:cs="Times New Roman"/>
          <w:color w:val="auto"/>
          <w:szCs w:val="22"/>
          <w:lang w:val="pt-PT"/>
        </w:rPr>
        <w:t xml:space="preserve"> não foi estudado em doentes que tenham sido submetidos a imunoterapia alergénica. Não se sabe se </w:t>
      </w:r>
      <w:r w:rsidR="00D05FE6" w:rsidRPr="00110D6C">
        <w:rPr>
          <w:rFonts w:cs="Times New Roman"/>
          <w:color w:val="auto"/>
          <w:szCs w:val="22"/>
          <w:lang w:val="pt-PT"/>
        </w:rPr>
        <w:t>F</w:t>
      </w:r>
      <w:r w:rsidRPr="00110D6C">
        <w:rPr>
          <w:rFonts w:cs="Times New Roman"/>
          <w:color w:val="auto"/>
          <w:szCs w:val="22"/>
          <w:lang w:val="pt-PT"/>
        </w:rPr>
        <w:t>ymskina</w:t>
      </w:r>
      <w:r w:rsidR="00030085" w:rsidRPr="00110D6C">
        <w:rPr>
          <w:rFonts w:cs="Times New Roman"/>
          <w:color w:val="auto"/>
          <w:szCs w:val="22"/>
          <w:lang w:val="pt-PT"/>
        </w:rPr>
        <w:t xml:space="preserve"> pode afetar a imunoterapia alergénica.</w:t>
      </w:r>
    </w:p>
    <w:p w14:paraId="0A476025" w14:textId="77777777" w:rsidR="00030085" w:rsidRPr="00110D6C" w:rsidRDefault="00030085" w:rsidP="00A17623">
      <w:pPr>
        <w:widowControl/>
        <w:rPr>
          <w:rFonts w:cs="Times New Roman"/>
          <w:color w:val="auto"/>
          <w:szCs w:val="22"/>
          <w:lang w:val="pt-PT"/>
        </w:rPr>
      </w:pPr>
    </w:p>
    <w:p w14:paraId="6F402B47"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Reações cutâneas graves</w:t>
      </w:r>
    </w:p>
    <w:p w14:paraId="0BC939B5" w14:textId="5BBFDA85" w:rsidR="0077031F" w:rsidRPr="00110D6C" w:rsidRDefault="00030085" w:rsidP="00A17623">
      <w:pPr>
        <w:widowControl/>
        <w:rPr>
          <w:rFonts w:cs="Times New Roman"/>
          <w:color w:val="auto"/>
          <w:szCs w:val="22"/>
          <w:lang w:val="pt-PT"/>
        </w:rPr>
      </w:pPr>
      <w:r w:rsidRPr="00110D6C">
        <w:rPr>
          <w:rFonts w:cs="Times New Roman"/>
          <w:color w:val="auto"/>
          <w:szCs w:val="22"/>
          <w:lang w:val="pt-PT"/>
        </w:rPr>
        <w:t>Em doentes com psoríase, foi notificada dermatite exfoliativa após tratamento com ustecinumab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 xml:space="preserve">4.8). Os doentes com psoríase em placas podem desenvolver psoríase eritrodérmica, com sintomas que podem ser clinicamente indistinguíveis da dermatite exfoliativa, como parte do curso natural da doença. Como parte da monitorização da psoríase do doente, os médicos devem estar atentos para os sintomas da psoríase eritrodérmica ou dermatite exfoliativa. Se estes sintomas ocorrerem, deve ser instituída a terapêutica adequada. </w:t>
      </w:r>
      <w:r w:rsidR="00D05FE6" w:rsidRPr="00110D6C">
        <w:rPr>
          <w:rFonts w:cs="Times New Roman"/>
          <w:color w:val="auto"/>
          <w:szCs w:val="22"/>
          <w:lang w:val="pt-PT"/>
        </w:rPr>
        <w:t>F</w:t>
      </w:r>
      <w:r w:rsidR="00F6501B" w:rsidRPr="00110D6C">
        <w:rPr>
          <w:rFonts w:cs="Times New Roman"/>
          <w:color w:val="auto"/>
          <w:szCs w:val="22"/>
          <w:lang w:val="pt-PT"/>
        </w:rPr>
        <w:t>ymskina</w:t>
      </w:r>
      <w:r w:rsidRPr="00110D6C">
        <w:rPr>
          <w:rFonts w:cs="Times New Roman"/>
          <w:color w:val="auto"/>
          <w:szCs w:val="22"/>
          <w:lang w:val="pt-PT"/>
        </w:rPr>
        <w:t xml:space="preserve"> deve ser interrompido se houver suspeita de uma reação medicamentosa.</w:t>
      </w:r>
    </w:p>
    <w:p w14:paraId="41B7926C" w14:textId="77777777" w:rsidR="00030085" w:rsidRPr="00110D6C" w:rsidRDefault="00030085" w:rsidP="00A17623">
      <w:pPr>
        <w:widowControl/>
        <w:rPr>
          <w:rFonts w:cs="Times New Roman"/>
          <w:color w:val="auto"/>
          <w:szCs w:val="22"/>
          <w:lang w:val="pt-PT"/>
        </w:rPr>
      </w:pPr>
    </w:p>
    <w:p w14:paraId="3A78FF85"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Doenças relacionadas com lúpus</w:t>
      </w:r>
    </w:p>
    <w:p w14:paraId="4EEF5354"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Foram notificados casos de doenças relacionadas com lúpus em doentes tratados com ustecinumab, incluindo lúpus eritematoso cutâneo e síndrome do tipo lúpus. Se ocorrerem lesões, especialmente em áreas da pele expostas ao sol ou se acompanhadas de artralgia, o doente deve procurar atendimento médico imediato. Se for confirmado o diagnóstico de doença relacionada com lúpus, o tratamento com ustecinumab deve ser interrompido e deve ser iniciado o tratamento adequado.</w:t>
      </w:r>
    </w:p>
    <w:p w14:paraId="4E5C9854" w14:textId="77777777" w:rsidR="00030085" w:rsidRPr="00110D6C" w:rsidRDefault="00030085" w:rsidP="00A17623">
      <w:pPr>
        <w:widowControl/>
        <w:rPr>
          <w:rFonts w:cs="Times New Roman"/>
          <w:color w:val="auto"/>
          <w:szCs w:val="22"/>
          <w:lang w:val="pt-PT"/>
        </w:rPr>
      </w:pPr>
    </w:p>
    <w:p w14:paraId="514CAE0C" w14:textId="77777777" w:rsidR="0077031F" w:rsidRPr="00110D6C" w:rsidRDefault="00030085" w:rsidP="00CB222F">
      <w:pPr>
        <w:keepNext/>
        <w:widowControl/>
        <w:rPr>
          <w:rFonts w:cs="Times New Roman"/>
          <w:color w:val="auto"/>
          <w:szCs w:val="22"/>
          <w:lang w:val="pt-PT"/>
        </w:rPr>
      </w:pPr>
      <w:r w:rsidRPr="00110D6C">
        <w:rPr>
          <w:rFonts w:cs="Times New Roman"/>
          <w:color w:val="auto"/>
          <w:szCs w:val="22"/>
          <w:u w:val="single"/>
          <w:lang w:val="pt-PT"/>
        </w:rPr>
        <w:t>Populações especiais</w:t>
      </w:r>
    </w:p>
    <w:p w14:paraId="05BDF2E8" w14:textId="77777777" w:rsidR="0077031F" w:rsidRPr="00110D6C" w:rsidRDefault="00030085" w:rsidP="00CB222F">
      <w:pPr>
        <w:keepNext/>
        <w:widowControl/>
        <w:rPr>
          <w:rFonts w:cs="Times New Roman"/>
          <w:color w:val="auto"/>
          <w:szCs w:val="22"/>
          <w:lang w:val="pt-PT"/>
        </w:rPr>
      </w:pPr>
      <w:r w:rsidRPr="00110D6C">
        <w:rPr>
          <w:rFonts w:cs="Times New Roman"/>
          <w:i/>
          <w:iCs/>
          <w:color w:val="auto"/>
          <w:szCs w:val="22"/>
          <w:lang w:val="pt-PT"/>
        </w:rPr>
        <w:t>Idosos (≥</w:t>
      </w:r>
      <w:r w:rsidR="00F5387C" w:rsidRPr="00110D6C">
        <w:rPr>
          <w:rFonts w:cs="Times New Roman"/>
          <w:i/>
          <w:iCs/>
          <w:color w:val="auto"/>
          <w:szCs w:val="22"/>
          <w:lang w:val="pt-PT"/>
        </w:rPr>
        <w:t> </w:t>
      </w:r>
      <w:r w:rsidRPr="00110D6C">
        <w:rPr>
          <w:rFonts w:cs="Times New Roman"/>
          <w:i/>
          <w:iCs/>
          <w:color w:val="auto"/>
          <w:szCs w:val="22"/>
          <w:lang w:val="pt-PT"/>
        </w:rPr>
        <w:t>6</w:t>
      </w:r>
      <w:r w:rsidR="00B910F9" w:rsidRPr="00110D6C">
        <w:rPr>
          <w:rFonts w:cs="Times New Roman"/>
          <w:i/>
          <w:iCs/>
          <w:color w:val="auto"/>
          <w:szCs w:val="22"/>
          <w:lang w:val="pt-PT"/>
        </w:rPr>
        <w:t>5 </w:t>
      </w:r>
      <w:r w:rsidRPr="00110D6C">
        <w:rPr>
          <w:rFonts w:cs="Times New Roman"/>
          <w:i/>
          <w:iCs/>
          <w:color w:val="auto"/>
          <w:szCs w:val="22"/>
          <w:lang w:val="pt-PT"/>
        </w:rPr>
        <w:t>anos)</w:t>
      </w:r>
    </w:p>
    <w:p w14:paraId="631C5B03" w14:textId="2BEB6C68" w:rsidR="0077031F" w:rsidRPr="00110D6C" w:rsidRDefault="00030085" w:rsidP="00CB222F">
      <w:pPr>
        <w:keepNext/>
        <w:widowControl/>
        <w:rPr>
          <w:rFonts w:cs="Times New Roman"/>
          <w:color w:val="auto"/>
          <w:szCs w:val="22"/>
          <w:lang w:val="pt-PT"/>
        </w:rPr>
      </w:pPr>
      <w:r w:rsidRPr="00110D6C">
        <w:rPr>
          <w:rFonts w:cs="Times New Roman"/>
          <w:color w:val="auto"/>
          <w:szCs w:val="22"/>
          <w:lang w:val="pt-PT"/>
        </w:rPr>
        <w:t xml:space="preserve">Não foram observadas diferenças globais na eficácia ou segurança de </w:t>
      </w:r>
      <w:r w:rsidR="00F6501B" w:rsidRPr="00110D6C">
        <w:rPr>
          <w:rFonts w:cs="Times New Roman"/>
          <w:color w:val="auto"/>
          <w:szCs w:val="22"/>
          <w:lang w:val="pt-PT"/>
        </w:rPr>
        <w:t>ustecinumab</w:t>
      </w:r>
      <w:r w:rsidRPr="00110D6C">
        <w:rPr>
          <w:rFonts w:cs="Times New Roman"/>
          <w:color w:val="auto"/>
          <w:szCs w:val="22"/>
          <w:lang w:val="pt-PT"/>
        </w:rPr>
        <w:t>, nos doentes com idade igual ou superior a 6</w:t>
      </w:r>
      <w:r w:rsidR="00B910F9" w:rsidRPr="00110D6C">
        <w:rPr>
          <w:rFonts w:cs="Times New Roman"/>
          <w:color w:val="auto"/>
          <w:szCs w:val="22"/>
          <w:lang w:val="pt-PT"/>
        </w:rPr>
        <w:t>5 </w:t>
      </w:r>
      <w:r w:rsidRPr="00110D6C">
        <w:rPr>
          <w:rFonts w:cs="Times New Roman"/>
          <w:color w:val="auto"/>
          <w:szCs w:val="22"/>
          <w:lang w:val="pt-PT"/>
        </w:rPr>
        <w:t xml:space="preserve">anos a receber tratamento com </w:t>
      </w:r>
      <w:r w:rsidR="00110D6C" w:rsidRPr="00110D6C">
        <w:rPr>
          <w:rFonts w:cs="Times New Roman"/>
          <w:color w:val="auto"/>
          <w:szCs w:val="22"/>
          <w:lang w:val="pt-PT"/>
        </w:rPr>
        <w:t>ustecinumab</w:t>
      </w:r>
      <w:r w:rsidRPr="00110D6C">
        <w:rPr>
          <w:rFonts w:cs="Times New Roman"/>
          <w:color w:val="auto"/>
          <w:szCs w:val="22"/>
          <w:lang w:val="pt-PT"/>
        </w:rPr>
        <w:t xml:space="preserve">, em comparação com doentes </w:t>
      </w:r>
      <w:r w:rsidRPr="00110D6C">
        <w:rPr>
          <w:rFonts w:cs="Times New Roman"/>
          <w:color w:val="auto"/>
          <w:szCs w:val="22"/>
          <w:lang w:val="pt-PT"/>
        </w:rPr>
        <w:lastRenderedPageBreak/>
        <w:t>mais jovens em estudos clínicos em indicações aprovadas, embora o número de doentes com idade igual ou superior a 6</w:t>
      </w:r>
      <w:r w:rsidR="00B910F9" w:rsidRPr="00110D6C">
        <w:rPr>
          <w:rFonts w:cs="Times New Roman"/>
          <w:color w:val="auto"/>
          <w:szCs w:val="22"/>
          <w:lang w:val="pt-PT"/>
        </w:rPr>
        <w:t>5 </w:t>
      </w:r>
      <w:r w:rsidRPr="00110D6C">
        <w:rPr>
          <w:rFonts w:cs="Times New Roman"/>
          <w:color w:val="auto"/>
          <w:szCs w:val="22"/>
          <w:lang w:val="pt-PT"/>
        </w:rPr>
        <w:t>anos não seja suficiente para determinar se estes respondem de forma diferente, em comparação com os doentes mais jovens.</w:t>
      </w:r>
    </w:p>
    <w:p w14:paraId="51DC6CC9"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Deve ter-se precaução no tratamento dos idosos, porque, em geral, há uma maior incidência de infeções nesta população de doentes.</w:t>
      </w:r>
    </w:p>
    <w:p w14:paraId="10464E0A" w14:textId="77777777" w:rsidR="00030085" w:rsidRPr="00110D6C" w:rsidRDefault="00030085" w:rsidP="00A17623">
      <w:pPr>
        <w:widowControl/>
        <w:rPr>
          <w:rFonts w:cs="Times New Roman"/>
          <w:color w:val="auto"/>
          <w:szCs w:val="22"/>
          <w:lang w:val="pt-PT"/>
        </w:rPr>
      </w:pPr>
    </w:p>
    <w:p w14:paraId="742C8223"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Conteúdo em sódio</w:t>
      </w:r>
    </w:p>
    <w:p w14:paraId="6A8974DE" w14:textId="01AA90CD" w:rsidR="0077031F" w:rsidRPr="00110D6C" w:rsidRDefault="00D05FE6" w:rsidP="00A17623">
      <w:pPr>
        <w:widowControl/>
        <w:rPr>
          <w:rFonts w:cs="Times New Roman"/>
          <w:color w:val="auto"/>
          <w:szCs w:val="22"/>
          <w:lang w:val="pt-PT"/>
        </w:rPr>
      </w:pPr>
      <w:r w:rsidRPr="00110D6C">
        <w:rPr>
          <w:rFonts w:cs="Times New Roman"/>
          <w:color w:val="auto"/>
          <w:szCs w:val="22"/>
          <w:lang w:val="pt-PT"/>
        </w:rPr>
        <w:t>F</w:t>
      </w:r>
      <w:r w:rsidR="00110D6C" w:rsidRPr="00110D6C">
        <w:rPr>
          <w:rFonts w:cs="Times New Roman"/>
          <w:color w:val="auto"/>
          <w:szCs w:val="22"/>
          <w:lang w:val="pt-PT"/>
        </w:rPr>
        <w:t>ymskina</w:t>
      </w:r>
      <w:r w:rsidR="00030085" w:rsidRPr="00110D6C">
        <w:rPr>
          <w:rFonts w:cs="Times New Roman"/>
          <w:color w:val="auto"/>
          <w:szCs w:val="22"/>
          <w:lang w:val="pt-PT"/>
        </w:rPr>
        <w:t xml:space="preserve"> contém menos do que </w:t>
      </w:r>
      <w:r w:rsidR="00B910F9" w:rsidRPr="00110D6C">
        <w:rPr>
          <w:rFonts w:cs="Times New Roman"/>
          <w:color w:val="auto"/>
          <w:szCs w:val="22"/>
          <w:lang w:val="pt-PT"/>
        </w:rPr>
        <w:t>1 </w:t>
      </w:r>
      <w:r w:rsidR="00030085" w:rsidRPr="00110D6C">
        <w:rPr>
          <w:rFonts w:cs="Times New Roman"/>
          <w:color w:val="auto"/>
          <w:szCs w:val="22"/>
          <w:lang w:val="pt-PT"/>
        </w:rPr>
        <w:t>mmol (2</w:t>
      </w:r>
      <w:r w:rsidR="00B910F9" w:rsidRPr="00110D6C">
        <w:rPr>
          <w:rFonts w:cs="Times New Roman"/>
          <w:color w:val="auto"/>
          <w:szCs w:val="22"/>
          <w:lang w:val="pt-PT"/>
        </w:rPr>
        <w:t>3 </w:t>
      </w:r>
      <w:r w:rsidR="00030085" w:rsidRPr="00110D6C">
        <w:rPr>
          <w:rFonts w:cs="Times New Roman"/>
          <w:color w:val="auto"/>
          <w:szCs w:val="22"/>
          <w:lang w:val="pt-PT"/>
        </w:rPr>
        <w:t>mg) de sódio por dose ou seja, é praticamente “isento de sódio”.</w:t>
      </w:r>
    </w:p>
    <w:p w14:paraId="3655681A" w14:textId="0781B2BC"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No entanto, </w:t>
      </w:r>
      <w:r w:rsidR="00D05FE6" w:rsidRPr="00110D6C">
        <w:rPr>
          <w:rFonts w:cs="Times New Roman"/>
          <w:color w:val="auto"/>
          <w:szCs w:val="22"/>
          <w:lang w:val="pt-PT"/>
        </w:rPr>
        <w:t>F</w:t>
      </w:r>
      <w:r w:rsidR="00110D6C" w:rsidRPr="00110D6C">
        <w:rPr>
          <w:rFonts w:cs="Times New Roman"/>
          <w:color w:val="auto"/>
          <w:szCs w:val="22"/>
          <w:lang w:val="pt-PT"/>
        </w:rPr>
        <w:t>ymskina</w:t>
      </w:r>
      <w:r w:rsidRPr="00110D6C">
        <w:rPr>
          <w:rFonts w:cs="Times New Roman"/>
          <w:color w:val="auto"/>
          <w:szCs w:val="22"/>
          <w:lang w:val="pt-PT"/>
        </w:rPr>
        <w:t xml:space="preserve"> é diluído em solução para perfusão de cloreto de sódio </w:t>
      </w:r>
      <w:r w:rsidR="00B910F9" w:rsidRPr="00110D6C">
        <w:rPr>
          <w:rFonts w:cs="Times New Roman"/>
          <w:color w:val="auto"/>
          <w:szCs w:val="22"/>
          <w:lang w:val="pt-PT"/>
        </w:rPr>
        <w:t>9 </w:t>
      </w:r>
      <w:r w:rsidRPr="00110D6C">
        <w:rPr>
          <w:rFonts w:cs="Times New Roman"/>
          <w:color w:val="auto"/>
          <w:szCs w:val="22"/>
          <w:lang w:val="pt-PT"/>
        </w:rPr>
        <w:t>mg/ml (0,9%). Esta informação deve ser tida em consideração em doentes com uma dieta de sódio controlada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6.6).</w:t>
      </w:r>
    </w:p>
    <w:p w14:paraId="0587862A" w14:textId="77777777" w:rsidR="00DC3C01" w:rsidRDefault="00DC3C01" w:rsidP="002057DA">
      <w:pPr>
        <w:widowControl/>
        <w:rPr>
          <w:rFonts w:cs="Times New Roman"/>
          <w:bCs/>
          <w:color w:val="auto"/>
          <w:szCs w:val="22"/>
          <w:lang w:val="pt-PT"/>
        </w:rPr>
      </w:pPr>
      <w:bookmarkStart w:id="8" w:name="bookmark14"/>
    </w:p>
    <w:p w14:paraId="64567ECC" w14:textId="738BB58D" w:rsidR="005D4036" w:rsidRPr="0089076D" w:rsidRDefault="005D4036" w:rsidP="002057DA">
      <w:pPr>
        <w:widowControl/>
        <w:rPr>
          <w:rFonts w:cs="Times New Roman"/>
          <w:bCs/>
          <w:color w:val="auto"/>
          <w:szCs w:val="22"/>
          <w:u w:val="single"/>
          <w:lang w:val="pt-PT"/>
        </w:rPr>
      </w:pPr>
      <w:r w:rsidRPr="0089076D">
        <w:rPr>
          <w:rFonts w:cs="Times New Roman"/>
          <w:bCs/>
          <w:color w:val="auto"/>
          <w:szCs w:val="22"/>
          <w:u w:val="single"/>
          <w:lang w:val="pt-PT"/>
        </w:rPr>
        <w:t>Fymskina contém polissorbatos</w:t>
      </w:r>
    </w:p>
    <w:p w14:paraId="2F688915" w14:textId="5159F5BA" w:rsidR="005D4036" w:rsidRDefault="005D4036" w:rsidP="002057DA">
      <w:pPr>
        <w:widowControl/>
        <w:rPr>
          <w:rFonts w:cs="Times New Roman"/>
          <w:bCs/>
          <w:color w:val="auto"/>
          <w:szCs w:val="22"/>
          <w:lang w:val="pt-PT"/>
        </w:rPr>
      </w:pPr>
      <w:r w:rsidRPr="005D4036">
        <w:rPr>
          <w:rFonts w:cs="Times New Roman"/>
          <w:bCs/>
          <w:color w:val="auto"/>
          <w:szCs w:val="22"/>
          <w:lang w:val="pt-PT"/>
        </w:rPr>
        <w:t>Os polissorbatos podem causar reações alérgicas</w:t>
      </w:r>
      <w:r>
        <w:rPr>
          <w:rFonts w:cs="Times New Roman"/>
          <w:bCs/>
          <w:color w:val="auto"/>
          <w:szCs w:val="22"/>
          <w:lang w:val="pt-PT"/>
        </w:rPr>
        <w:t>.</w:t>
      </w:r>
    </w:p>
    <w:p w14:paraId="19F6151E" w14:textId="77777777" w:rsidR="005D4036" w:rsidRDefault="005D4036" w:rsidP="002057DA">
      <w:pPr>
        <w:widowControl/>
        <w:rPr>
          <w:rFonts w:cs="Times New Roman"/>
          <w:bCs/>
          <w:color w:val="auto"/>
          <w:szCs w:val="22"/>
          <w:lang w:val="pt-PT"/>
        </w:rPr>
      </w:pPr>
    </w:p>
    <w:p w14:paraId="31868BF2" w14:textId="77777777" w:rsidR="005D4036" w:rsidRPr="00110D6C" w:rsidRDefault="005D4036" w:rsidP="002057DA">
      <w:pPr>
        <w:widowControl/>
        <w:rPr>
          <w:rFonts w:cs="Times New Roman"/>
          <w:bCs/>
          <w:color w:val="auto"/>
          <w:szCs w:val="22"/>
          <w:lang w:val="pt-PT"/>
        </w:rPr>
      </w:pPr>
    </w:p>
    <w:p w14:paraId="3B32AF22"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4.5</w:t>
      </w:r>
      <w:r w:rsidRPr="00110D6C">
        <w:rPr>
          <w:rFonts w:cs="Times New Roman"/>
          <w:b/>
          <w:bCs/>
          <w:color w:val="auto"/>
          <w:szCs w:val="22"/>
          <w:lang w:val="pt-PT"/>
        </w:rPr>
        <w:tab/>
      </w:r>
      <w:r w:rsidR="00030085" w:rsidRPr="00110D6C">
        <w:rPr>
          <w:rFonts w:cs="Times New Roman"/>
          <w:b/>
          <w:bCs/>
          <w:color w:val="auto"/>
          <w:szCs w:val="22"/>
          <w:lang w:val="pt-PT"/>
        </w:rPr>
        <w:t>Interações medicamentosas e outras formas de interação</w:t>
      </w:r>
      <w:bookmarkEnd w:id="8"/>
    </w:p>
    <w:p w14:paraId="227575D5" w14:textId="77777777" w:rsidR="00030085" w:rsidRPr="00110D6C" w:rsidRDefault="00030085" w:rsidP="00A17623">
      <w:pPr>
        <w:widowControl/>
        <w:rPr>
          <w:rFonts w:cs="Times New Roman"/>
          <w:color w:val="auto"/>
          <w:szCs w:val="22"/>
          <w:lang w:val="pt-PT"/>
        </w:rPr>
      </w:pPr>
    </w:p>
    <w:p w14:paraId="0F3634FD" w14:textId="15B29ADD"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As vacinas vivas não devem ser administradas concomitantemente com </w:t>
      </w:r>
      <w:r w:rsidR="00D05FE6" w:rsidRPr="00110D6C">
        <w:rPr>
          <w:rFonts w:cs="Times New Roman"/>
          <w:color w:val="auto"/>
          <w:szCs w:val="22"/>
          <w:lang w:val="pt-PT"/>
        </w:rPr>
        <w:t>F</w:t>
      </w:r>
      <w:r w:rsidR="00110D6C" w:rsidRPr="00110D6C">
        <w:rPr>
          <w:rFonts w:cs="Times New Roman"/>
          <w:color w:val="auto"/>
          <w:szCs w:val="22"/>
          <w:lang w:val="pt-PT"/>
        </w:rPr>
        <w:t>ymskina</w:t>
      </w:r>
      <w:r w:rsidRPr="00110D6C">
        <w:rPr>
          <w:rFonts w:cs="Times New Roman"/>
          <w:color w:val="auto"/>
          <w:szCs w:val="22"/>
          <w:lang w:val="pt-PT"/>
        </w:rPr>
        <w:t>.</w:t>
      </w:r>
    </w:p>
    <w:p w14:paraId="2D9B81C3" w14:textId="77777777" w:rsidR="00030085" w:rsidRPr="00110D6C" w:rsidRDefault="00030085" w:rsidP="00A17623">
      <w:pPr>
        <w:widowControl/>
        <w:rPr>
          <w:rFonts w:cs="Times New Roman"/>
          <w:color w:val="auto"/>
          <w:szCs w:val="22"/>
          <w:lang w:val="pt-PT"/>
        </w:rPr>
      </w:pPr>
    </w:p>
    <w:p w14:paraId="41CDE3FE" w14:textId="191730DA"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 administração de vacinas vivas (tais como a vacina BCG) a lactentes expostos </w:t>
      </w:r>
      <w:r w:rsidRPr="00110D6C">
        <w:rPr>
          <w:rFonts w:cs="Times New Roman"/>
          <w:i/>
          <w:iCs/>
          <w:color w:val="auto"/>
          <w:szCs w:val="22"/>
          <w:lang w:val="pt-PT"/>
        </w:rPr>
        <w:t>in</w:t>
      </w:r>
      <w:r w:rsidR="005B2D5C" w:rsidRPr="00110D6C">
        <w:rPr>
          <w:rFonts w:cs="Times New Roman"/>
          <w:i/>
          <w:iCs/>
          <w:color w:val="auto"/>
          <w:szCs w:val="22"/>
          <w:lang w:val="pt-PT"/>
        </w:rPr>
        <w:t> </w:t>
      </w:r>
      <w:r w:rsidRPr="00110D6C">
        <w:rPr>
          <w:rFonts w:cs="Times New Roman"/>
          <w:i/>
          <w:iCs/>
          <w:color w:val="auto"/>
          <w:szCs w:val="22"/>
          <w:lang w:val="pt-PT"/>
        </w:rPr>
        <w:t>utero</w:t>
      </w:r>
      <w:r w:rsidRPr="00110D6C">
        <w:rPr>
          <w:rFonts w:cs="Times New Roman"/>
          <w:color w:val="auto"/>
          <w:szCs w:val="22"/>
          <w:lang w:val="pt-PT"/>
        </w:rPr>
        <w:t xml:space="preserve"> ao ustecinumab não é recomendada durante </w:t>
      </w:r>
      <w:r w:rsidR="005D4036">
        <w:rPr>
          <w:rFonts w:cs="Times New Roman"/>
          <w:color w:val="auto"/>
          <w:szCs w:val="22"/>
          <w:lang w:val="pt-PT"/>
        </w:rPr>
        <w:t>doze</w:t>
      </w:r>
      <w:r w:rsidR="005D4036" w:rsidRPr="00110D6C">
        <w:rPr>
          <w:rFonts w:cs="Times New Roman"/>
          <w:color w:val="auto"/>
          <w:szCs w:val="22"/>
          <w:lang w:val="pt-PT"/>
        </w:rPr>
        <w:t xml:space="preserve"> </w:t>
      </w:r>
      <w:r w:rsidRPr="00110D6C">
        <w:rPr>
          <w:rFonts w:cs="Times New Roman"/>
          <w:color w:val="auto"/>
          <w:szCs w:val="22"/>
          <w:lang w:val="pt-PT"/>
        </w:rPr>
        <w:t>meses após o nascimento ou até que não sejam detetáveis níveis séricos de ustecinumab no lactente (ver secções 4.</w:t>
      </w:r>
      <w:r w:rsidR="00B910F9" w:rsidRPr="00110D6C">
        <w:rPr>
          <w:rFonts w:cs="Times New Roman"/>
          <w:color w:val="auto"/>
          <w:szCs w:val="22"/>
          <w:lang w:val="pt-PT"/>
        </w:rPr>
        <w:t>4 </w:t>
      </w:r>
      <w:r w:rsidRPr="00110D6C">
        <w:rPr>
          <w:rFonts w:cs="Times New Roman"/>
          <w:color w:val="auto"/>
          <w:szCs w:val="22"/>
          <w:lang w:val="pt-PT"/>
        </w:rPr>
        <w:t>e 4.6). Se houver um benefício clínico claro para o lactente em particular, pode ser considerada a administração de uma vacina viva num momento anterior, caso não sejam detetáveis níveis séricos de ustecinumab no lactente.</w:t>
      </w:r>
    </w:p>
    <w:p w14:paraId="12B04C10" w14:textId="77777777" w:rsidR="00030085" w:rsidRPr="00110D6C" w:rsidRDefault="00030085" w:rsidP="00A17623">
      <w:pPr>
        <w:widowControl/>
        <w:rPr>
          <w:rFonts w:cs="Times New Roman"/>
          <w:color w:val="auto"/>
          <w:szCs w:val="22"/>
          <w:lang w:val="pt-PT"/>
        </w:rPr>
      </w:pPr>
    </w:p>
    <w:p w14:paraId="1062AB8D" w14:textId="088A2528" w:rsidR="0077031F" w:rsidRPr="00110D6C" w:rsidRDefault="00030085" w:rsidP="00A17623">
      <w:pPr>
        <w:widowControl/>
        <w:rPr>
          <w:rFonts w:cs="Times New Roman"/>
          <w:color w:val="auto"/>
          <w:szCs w:val="22"/>
          <w:lang w:val="pt-PT"/>
        </w:rPr>
      </w:pPr>
      <w:r w:rsidRPr="00110D6C">
        <w:rPr>
          <w:rFonts w:cs="Times New Roman"/>
          <w:color w:val="auto"/>
          <w:szCs w:val="22"/>
          <w:lang w:val="pt-PT"/>
        </w:rPr>
        <w:t>Na análise farmacocinética populacional dos estudos de fase 3, foi avaliado o efeito dos medicamentos concomitantes mais frequentemente utilizados em doentes com psoríase (incluindo paracetamol, ibuprofeno, ácido acetilsalicílico, metformina, atorvastatina, levotiroxina) sobre a farmacocinética do ustecinumab. Não se verificaram indícios de interação com estes medicamentos concomitantes. A base para esta análise consistiu no facto de, pelo menos, 10</w:t>
      </w:r>
      <w:r w:rsidR="00B910F9" w:rsidRPr="00110D6C">
        <w:rPr>
          <w:rFonts w:cs="Times New Roman"/>
          <w:color w:val="auto"/>
          <w:szCs w:val="22"/>
          <w:lang w:val="pt-PT"/>
        </w:rPr>
        <w:t>0 </w:t>
      </w:r>
      <w:r w:rsidRPr="00110D6C">
        <w:rPr>
          <w:rFonts w:cs="Times New Roman"/>
          <w:color w:val="auto"/>
          <w:szCs w:val="22"/>
          <w:lang w:val="pt-PT"/>
        </w:rPr>
        <w:t>doentes (&gt;</w:t>
      </w:r>
      <w:r w:rsidR="00F5387C" w:rsidRPr="00110D6C">
        <w:rPr>
          <w:rFonts w:cs="Times New Roman"/>
          <w:color w:val="auto"/>
          <w:szCs w:val="22"/>
          <w:lang w:val="pt-PT"/>
        </w:rPr>
        <w:t> </w:t>
      </w:r>
      <w:r w:rsidRPr="00110D6C">
        <w:rPr>
          <w:rFonts w:cs="Times New Roman"/>
          <w:color w:val="auto"/>
          <w:szCs w:val="22"/>
          <w:lang w:val="pt-PT"/>
        </w:rPr>
        <w:t>5% da população estudada) terem sido tratados concomitantemente com estes medicamentos durante, pelo menos, 90% do período de estudo. A farmacocinética do ustecinumab não foi impactada pela associação com MTX, AINEs, 6- mercaptopurina, azatioprina e corticosteroides orais, em doentes com artrite psoriática, doença de Crohn ou colite ulcerosa, ou exposição prévia a agentes anti-TNFα em doentes com artrite psoriática ou doença de Crohn ou por exposição prévia a biológicos (isto é, agentes anti-TNFα e/ou vedolizumab) em doentes com colite ulcerosa.</w:t>
      </w:r>
    </w:p>
    <w:p w14:paraId="345BFA5E" w14:textId="77777777" w:rsidR="00030085" w:rsidRPr="00110D6C" w:rsidRDefault="00030085" w:rsidP="00A17623">
      <w:pPr>
        <w:widowControl/>
        <w:rPr>
          <w:rFonts w:cs="Times New Roman"/>
          <w:color w:val="auto"/>
          <w:szCs w:val="22"/>
          <w:lang w:val="pt-PT"/>
        </w:rPr>
      </w:pPr>
    </w:p>
    <w:p w14:paraId="47A0C030" w14:textId="1E52630E"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Os resultados de um estudo </w:t>
      </w:r>
      <w:r w:rsidRPr="00110D6C">
        <w:rPr>
          <w:rFonts w:cs="Times New Roman"/>
          <w:i/>
          <w:iCs/>
          <w:color w:val="auto"/>
          <w:szCs w:val="22"/>
          <w:lang w:val="pt-PT"/>
        </w:rPr>
        <w:t>in</w:t>
      </w:r>
      <w:r w:rsidR="009E0064" w:rsidRPr="00110D6C">
        <w:rPr>
          <w:rFonts w:cs="Times New Roman"/>
          <w:i/>
          <w:iCs/>
          <w:color w:val="auto"/>
          <w:szCs w:val="22"/>
          <w:lang w:val="pt-PT"/>
        </w:rPr>
        <w:t> </w:t>
      </w:r>
      <w:r w:rsidRPr="00110D6C">
        <w:rPr>
          <w:rFonts w:cs="Times New Roman"/>
          <w:i/>
          <w:iCs/>
          <w:color w:val="auto"/>
          <w:szCs w:val="22"/>
          <w:lang w:val="pt-PT"/>
        </w:rPr>
        <w:t>vitro</w:t>
      </w:r>
      <w:r w:rsidRPr="00110D6C">
        <w:rPr>
          <w:rFonts w:cs="Times New Roman"/>
          <w:color w:val="auto"/>
          <w:szCs w:val="22"/>
          <w:lang w:val="pt-PT"/>
        </w:rPr>
        <w:t xml:space="preserve"> </w:t>
      </w:r>
      <w:r w:rsidR="00904C0C">
        <w:rPr>
          <w:iCs/>
          <w:szCs w:val="22"/>
        </w:rPr>
        <w:t>e de um estudo de fase 1 em indivíduos com doença de Crohn ativa</w:t>
      </w:r>
      <w:r w:rsidR="00904C0C" w:rsidRPr="00E124FE">
        <w:rPr>
          <w:i/>
          <w:szCs w:val="22"/>
        </w:rPr>
        <w:t xml:space="preserve"> </w:t>
      </w:r>
      <w:r w:rsidRPr="00110D6C">
        <w:rPr>
          <w:rFonts w:cs="Times New Roman"/>
          <w:color w:val="auto"/>
          <w:szCs w:val="22"/>
          <w:lang w:val="pt-PT"/>
        </w:rPr>
        <w:t>não sugerem a necessidade de um ajustamento de dose em doentes que estão a receber concomitantemente substratos</w:t>
      </w:r>
      <w:r w:rsidR="00904C0C">
        <w:rPr>
          <w:rFonts w:cs="Times New Roman"/>
          <w:color w:val="auto"/>
          <w:szCs w:val="22"/>
          <w:lang w:val="pt-PT"/>
        </w:rPr>
        <w:t xml:space="preserve"> do</w:t>
      </w:r>
      <w:r w:rsidRPr="00110D6C">
        <w:rPr>
          <w:rFonts w:cs="Times New Roman"/>
          <w:color w:val="auto"/>
          <w:szCs w:val="22"/>
          <w:lang w:val="pt-PT"/>
        </w:rPr>
        <w:t xml:space="preserve"> CYP45</w:t>
      </w:r>
      <w:r w:rsidR="00B910F9" w:rsidRPr="00110D6C">
        <w:rPr>
          <w:rFonts w:cs="Times New Roman"/>
          <w:color w:val="auto"/>
          <w:szCs w:val="22"/>
          <w:lang w:val="pt-PT"/>
        </w:rPr>
        <w:t>0 </w:t>
      </w:r>
      <w:r w:rsidRPr="00110D6C">
        <w:rPr>
          <w:rFonts w:cs="Times New Roman"/>
          <w:color w:val="auto"/>
          <w:szCs w:val="22"/>
          <w:lang w:val="pt-PT"/>
        </w:rPr>
        <w:t>(ver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5.2).</w:t>
      </w:r>
    </w:p>
    <w:p w14:paraId="7CF9DBAF" w14:textId="77777777" w:rsidR="00030085" w:rsidRPr="00110D6C" w:rsidRDefault="00030085" w:rsidP="00A17623">
      <w:pPr>
        <w:widowControl/>
        <w:rPr>
          <w:rFonts w:cs="Times New Roman"/>
          <w:color w:val="auto"/>
          <w:szCs w:val="22"/>
          <w:lang w:val="pt-PT"/>
        </w:rPr>
      </w:pPr>
    </w:p>
    <w:p w14:paraId="186DB825" w14:textId="5B4238D0"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Nos estudos na psoríase, a segurança e a eficácia de </w:t>
      </w:r>
      <w:r w:rsidR="00110D6C" w:rsidRPr="00110D6C">
        <w:rPr>
          <w:rFonts w:cs="Times New Roman"/>
          <w:color w:val="auto"/>
          <w:szCs w:val="22"/>
          <w:lang w:val="pt-PT"/>
        </w:rPr>
        <w:t>ustecinumab</w:t>
      </w:r>
      <w:r w:rsidRPr="00110D6C">
        <w:rPr>
          <w:rFonts w:cs="Times New Roman"/>
          <w:color w:val="auto"/>
          <w:szCs w:val="22"/>
          <w:lang w:val="pt-PT"/>
        </w:rPr>
        <w:t xml:space="preserve"> em associação com outros agentes imunossupressores, incluindo medicamentos biológicos ou fototerapia, não foram avaliadas. Nos estudos na artrite psoriática, a associação com o MTX não pareceu influenciar a segurança e a eficácia de </w:t>
      </w:r>
      <w:r w:rsidR="00110D6C" w:rsidRPr="00110D6C">
        <w:rPr>
          <w:rFonts w:cs="Times New Roman"/>
          <w:color w:val="auto"/>
          <w:szCs w:val="22"/>
          <w:lang w:val="pt-PT"/>
        </w:rPr>
        <w:t>ustecinumab</w:t>
      </w:r>
      <w:r w:rsidRPr="00110D6C">
        <w:rPr>
          <w:rFonts w:cs="Times New Roman"/>
          <w:color w:val="auto"/>
          <w:szCs w:val="22"/>
          <w:lang w:val="pt-PT"/>
        </w:rPr>
        <w:t xml:space="preserve">. Nos estudos na doença de Crohn e colite ulcerosa, o uso concomitante de imunossupressores ou corticosteroides não pareceu influenciar a segurança ou a eficácia de </w:t>
      </w:r>
      <w:r w:rsidR="00110D6C" w:rsidRPr="00110D6C">
        <w:rPr>
          <w:rFonts w:cs="Times New Roman"/>
          <w:color w:val="auto"/>
          <w:szCs w:val="22"/>
          <w:lang w:val="pt-PT"/>
        </w:rPr>
        <w:t>ustecinumab</w:t>
      </w:r>
      <w:r w:rsidRPr="00110D6C">
        <w:rPr>
          <w:rFonts w:cs="Times New Roman"/>
          <w:color w:val="auto"/>
          <w:szCs w:val="22"/>
          <w:lang w:val="pt-PT"/>
        </w:rPr>
        <w:t xml:space="preserve">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4.4).</w:t>
      </w:r>
    </w:p>
    <w:p w14:paraId="443E28C0" w14:textId="77777777" w:rsidR="00DC3C01" w:rsidRPr="00110D6C" w:rsidRDefault="00DC3C01" w:rsidP="002057DA">
      <w:pPr>
        <w:widowControl/>
        <w:rPr>
          <w:rFonts w:cs="Times New Roman"/>
          <w:bCs/>
          <w:color w:val="auto"/>
          <w:szCs w:val="22"/>
          <w:lang w:val="pt-PT"/>
        </w:rPr>
      </w:pPr>
      <w:bookmarkStart w:id="9" w:name="bookmark16"/>
    </w:p>
    <w:p w14:paraId="1FAE2844"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4.6</w:t>
      </w:r>
      <w:r w:rsidRPr="00110D6C">
        <w:rPr>
          <w:rFonts w:cs="Times New Roman"/>
          <w:b/>
          <w:bCs/>
          <w:color w:val="auto"/>
          <w:szCs w:val="22"/>
          <w:lang w:val="pt-PT"/>
        </w:rPr>
        <w:tab/>
      </w:r>
      <w:r w:rsidR="00030085" w:rsidRPr="00110D6C">
        <w:rPr>
          <w:rFonts w:cs="Times New Roman"/>
          <w:b/>
          <w:bCs/>
          <w:color w:val="auto"/>
          <w:szCs w:val="22"/>
          <w:lang w:val="pt-PT"/>
        </w:rPr>
        <w:t>Fertilidade, gravidez e aleitamento</w:t>
      </w:r>
      <w:bookmarkEnd w:id="9"/>
    </w:p>
    <w:p w14:paraId="774B7C5C" w14:textId="77777777" w:rsidR="00030085" w:rsidRPr="00110D6C" w:rsidRDefault="00030085" w:rsidP="00A17623">
      <w:pPr>
        <w:widowControl/>
        <w:rPr>
          <w:rFonts w:cs="Times New Roman"/>
          <w:color w:val="auto"/>
          <w:szCs w:val="22"/>
          <w:lang w:val="pt-PT"/>
        </w:rPr>
      </w:pPr>
    </w:p>
    <w:p w14:paraId="25EED673"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Mulheres com potencial para engravidar</w:t>
      </w:r>
    </w:p>
    <w:p w14:paraId="56A5CB86"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As mulheres com potencial para engravidar deverão utilizar um método contracetivo durante o tratamento e até 1</w:t>
      </w:r>
      <w:r w:rsidR="00B910F9" w:rsidRPr="00110D6C">
        <w:rPr>
          <w:rFonts w:cs="Times New Roman"/>
          <w:color w:val="auto"/>
          <w:szCs w:val="22"/>
          <w:lang w:val="pt-PT"/>
        </w:rPr>
        <w:t>5 </w:t>
      </w:r>
      <w:r w:rsidRPr="00110D6C">
        <w:rPr>
          <w:rFonts w:cs="Times New Roman"/>
          <w:color w:val="auto"/>
          <w:szCs w:val="22"/>
          <w:lang w:val="pt-PT"/>
        </w:rPr>
        <w:t>semanas após o tratamento.</w:t>
      </w:r>
    </w:p>
    <w:p w14:paraId="317DB40A" w14:textId="77777777" w:rsidR="00030085" w:rsidRPr="00110D6C" w:rsidRDefault="00030085" w:rsidP="00A17623">
      <w:pPr>
        <w:widowControl/>
        <w:rPr>
          <w:rFonts w:cs="Times New Roman"/>
          <w:color w:val="auto"/>
          <w:szCs w:val="22"/>
          <w:lang w:val="pt-PT"/>
        </w:rPr>
      </w:pPr>
    </w:p>
    <w:p w14:paraId="3E70ADBD" w14:textId="77777777" w:rsidR="0077031F" w:rsidRPr="00110D6C" w:rsidRDefault="00030085" w:rsidP="00CB222F">
      <w:pPr>
        <w:keepNext/>
        <w:widowControl/>
        <w:rPr>
          <w:rFonts w:cs="Times New Roman"/>
          <w:color w:val="auto"/>
          <w:szCs w:val="22"/>
          <w:lang w:val="pt-PT"/>
        </w:rPr>
      </w:pPr>
      <w:r w:rsidRPr="00110D6C">
        <w:rPr>
          <w:rFonts w:cs="Times New Roman"/>
          <w:color w:val="auto"/>
          <w:szCs w:val="22"/>
          <w:u w:val="single"/>
          <w:lang w:val="pt-PT"/>
        </w:rPr>
        <w:lastRenderedPageBreak/>
        <w:t>Gravidez</w:t>
      </w:r>
    </w:p>
    <w:p w14:paraId="0F5A1C23" w14:textId="7E5BD432" w:rsidR="005C68E7" w:rsidRDefault="005C68E7" w:rsidP="00CB222F">
      <w:pPr>
        <w:keepNext/>
        <w:widowControl/>
        <w:rPr>
          <w:rFonts w:cs="Times New Roman"/>
          <w:color w:val="auto"/>
          <w:szCs w:val="22"/>
          <w:lang w:val="pt-PT"/>
        </w:rPr>
      </w:pPr>
      <w:r>
        <w:rPr>
          <w:szCs w:val="22"/>
        </w:rPr>
        <w:t>Dados recolhidos de forma prospetiva de um número moderado de gravidezes após exposição a</w:t>
      </w:r>
      <w:r w:rsidR="00755567">
        <w:rPr>
          <w:szCs w:val="22"/>
        </w:rPr>
        <w:t>o</w:t>
      </w:r>
      <w:r>
        <w:rPr>
          <w:szCs w:val="22"/>
        </w:rPr>
        <w:t xml:space="preserve"> ustecinumab com resultados conhecidos, incluindo mais de 450 gravidezes expostas durante o primeiro trimestre, não indicam um aumento do risco de malformações congénitas maiores no recém-nascido.</w:t>
      </w:r>
    </w:p>
    <w:p w14:paraId="29CBCDD7" w14:textId="77777777" w:rsidR="005C68E7" w:rsidRDefault="005C68E7" w:rsidP="00CB222F">
      <w:pPr>
        <w:keepNext/>
        <w:widowControl/>
        <w:rPr>
          <w:rFonts w:cs="Times New Roman"/>
          <w:color w:val="auto"/>
          <w:szCs w:val="22"/>
          <w:lang w:val="pt-PT"/>
        </w:rPr>
      </w:pPr>
    </w:p>
    <w:p w14:paraId="7B8747F9" w14:textId="23E88704" w:rsidR="005C68E7" w:rsidRDefault="00030085" w:rsidP="00CB222F">
      <w:pPr>
        <w:keepNext/>
        <w:widowControl/>
        <w:rPr>
          <w:rFonts w:cs="Times New Roman"/>
          <w:color w:val="auto"/>
          <w:szCs w:val="22"/>
          <w:lang w:val="pt-PT"/>
        </w:rPr>
      </w:pPr>
      <w:r w:rsidRPr="00110D6C">
        <w:rPr>
          <w:rFonts w:cs="Times New Roman"/>
          <w:color w:val="auto"/>
          <w:szCs w:val="22"/>
          <w:lang w:val="pt-PT"/>
        </w:rPr>
        <w:t>Os estudos em animais não indicam quaisquer efeitos nefastos, diretos ou indiretos, no que respeita à gravidez, ao desenvolvimento embrionário/fetal, parto ou ao desenvolvimento pós-natal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5.3).</w:t>
      </w:r>
    </w:p>
    <w:p w14:paraId="6F8474FD" w14:textId="77777777" w:rsidR="005C68E7" w:rsidRDefault="005C68E7" w:rsidP="00CB222F">
      <w:pPr>
        <w:keepNext/>
        <w:widowControl/>
        <w:rPr>
          <w:rFonts w:cs="Times New Roman"/>
          <w:color w:val="auto"/>
          <w:szCs w:val="22"/>
          <w:lang w:val="pt-PT"/>
        </w:rPr>
      </w:pPr>
    </w:p>
    <w:p w14:paraId="03C5F7CB" w14:textId="2A9059E1" w:rsidR="0077031F" w:rsidRPr="00110D6C" w:rsidRDefault="005C68E7" w:rsidP="00CB222F">
      <w:pPr>
        <w:keepNext/>
        <w:widowControl/>
        <w:rPr>
          <w:rFonts w:cs="Times New Roman"/>
          <w:color w:val="auto"/>
          <w:szCs w:val="22"/>
          <w:lang w:val="pt-PT"/>
        </w:rPr>
      </w:pPr>
      <w:r>
        <w:rPr>
          <w:szCs w:val="22"/>
        </w:rPr>
        <w:t xml:space="preserve">No entanto, a experiência clínica disponível é limitada. </w:t>
      </w:r>
      <w:r w:rsidR="00030085" w:rsidRPr="00110D6C">
        <w:rPr>
          <w:rFonts w:cs="Times New Roman"/>
          <w:color w:val="auto"/>
          <w:szCs w:val="22"/>
          <w:lang w:val="pt-PT"/>
        </w:rPr>
        <w:t xml:space="preserve">Como medida de precaução é preferível evitar a utilização de </w:t>
      </w:r>
      <w:r w:rsidR="00D05FE6" w:rsidRPr="00110D6C">
        <w:rPr>
          <w:rFonts w:cs="Times New Roman"/>
          <w:color w:val="auto"/>
          <w:szCs w:val="22"/>
          <w:lang w:val="pt-PT"/>
        </w:rPr>
        <w:t>F</w:t>
      </w:r>
      <w:r w:rsidR="00110D6C" w:rsidRPr="00110D6C">
        <w:rPr>
          <w:rFonts w:cs="Times New Roman"/>
          <w:color w:val="auto"/>
          <w:szCs w:val="22"/>
          <w:lang w:val="pt-PT"/>
        </w:rPr>
        <w:t>ymskina</w:t>
      </w:r>
      <w:r w:rsidR="00030085" w:rsidRPr="00110D6C">
        <w:rPr>
          <w:rFonts w:cs="Times New Roman"/>
          <w:color w:val="auto"/>
          <w:szCs w:val="22"/>
          <w:lang w:val="pt-PT"/>
        </w:rPr>
        <w:t xml:space="preserve"> durante a gravidez.</w:t>
      </w:r>
    </w:p>
    <w:p w14:paraId="5CBFC8D6" w14:textId="77777777" w:rsidR="00030085" w:rsidRPr="00110D6C" w:rsidRDefault="00030085" w:rsidP="00A17623">
      <w:pPr>
        <w:widowControl/>
        <w:rPr>
          <w:rFonts w:cs="Times New Roman"/>
          <w:color w:val="auto"/>
          <w:szCs w:val="22"/>
          <w:lang w:val="pt-PT"/>
        </w:rPr>
      </w:pPr>
    </w:p>
    <w:p w14:paraId="4488AC62"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O ustecinumab atravessa a placenta e foi detetado no soro de lactentes nascidos de doentes do sexo feminino tratadas com ustecinumab durante a gravidez. Desconhece-se o impacto clínico deste facto, no entanto, o risco de infeção em lactentes expostos </w:t>
      </w:r>
      <w:r w:rsidRPr="00110D6C">
        <w:rPr>
          <w:rFonts w:cs="Times New Roman"/>
          <w:i/>
          <w:iCs/>
          <w:color w:val="auto"/>
          <w:szCs w:val="22"/>
          <w:lang w:val="pt-PT"/>
        </w:rPr>
        <w:t>in</w:t>
      </w:r>
      <w:r w:rsidR="005B2D5C" w:rsidRPr="00110D6C">
        <w:rPr>
          <w:rFonts w:cs="Times New Roman"/>
          <w:i/>
          <w:iCs/>
          <w:color w:val="auto"/>
          <w:szCs w:val="22"/>
          <w:lang w:val="pt-PT"/>
        </w:rPr>
        <w:t> </w:t>
      </w:r>
      <w:r w:rsidRPr="00110D6C">
        <w:rPr>
          <w:rFonts w:cs="Times New Roman"/>
          <w:i/>
          <w:iCs/>
          <w:color w:val="auto"/>
          <w:szCs w:val="22"/>
          <w:lang w:val="pt-PT"/>
        </w:rPr>
        <w:t>utero</w:t>
      </w:r>
      <w:r w:rsidRPr="00110D6C">
        <w:rPr>
          <w:rFonts w:cs="Times New Roman"/>
          <w:color w:val="auto"/>
          <w:szCs w:val="22"/>
          <w:lang w:val="pt-PT"/>
        </w:rPr>
        <w:t xml:space="preserve"> ao ustecinumab pode estar aumentado após o nascimento.</w:t>
      </w:r>
    </w:p>
    <w:p w14:paraId="4A4A01FE" w14:textId="77777777" w:rsidR="00030085" w:rsidRPr="00110D6C" w:rsidRDefault="00030085" w:rsidP="00A17623">
      <w:pPr>
        <w:widowControl/>
        <w:rPr>
          <w:rFonts w:cs="Times New Roman"/>
          <w:color w:val="auto"/>
          <w:szCs w:val="22"/>
          <w:lang w:val="pt-PT"/>
        </w:rPr>
      </w:pPr>
    </w:p>
    <w:p w14:paraId="143B57AD" w14:textId="29B9E78D"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 administração de vacinas vivas (tais como a vacina BCG) a lactentes expostos </w:t>
      </w:r>
      <w:r w:rsidRPr="00110D6C">
        <w:rPr>
          <w:rFonts w:cs="Times New Roman"/>
          <w:i/>
          <w:iCs/>
          <w:color w:val="auto"/>
          <w:szCs w:val="22"/>
          <w:lang w:val="pt-PT"/>
        </w:rPr>
        <w:t>in</w:t>
      </w:r>
      <w:r w:rsidR="005B2D5C" w:rsidRPr="00110D6C">
        <w:rPr>
          <w:rFonts w:cs="Times New Roman"/>
          <w:i/>
          <w:iCs/>
          <w:color w:val="auto"/>
          <w:szCs w:val="22"/>
          <w:lang w:val="pt-PT"/>
        </w:rPr>
        <w:t> </w:t>
      </w:r>
      <w:r w:rsidRPr="00110D6C">
        <w:rPr>
          <w:rFonts w:cs="Times New Roman"/>
          <w:i/>
          <w:iCs/>
          <w:color w:val="auto"/>
          <w:szCs w:val="22"/>
          <w:lang w:val="pt-PT"/>
        </w:rPr>
        <w:t>utero</w:t>
      </w:r>
      <w:r w:rsidRPr="00110D6C">
        <w:rPr>
          <w:rFonts w:cs="Times New Roman"/>
          <w:color w:val="auto"/>
          <w:szCs w:val="22"/>
          <w:lang w:val="pt-PT"/>
        </w:rPr>
        <w:t xml:space="preserve"> ao ustecinumab não é recomendada durante </w:t>
      </w:r>
      <w:r w:rsidR="00627B02">
        <w:rPr>
          <w:rFonts w:cs="Times New Roman"/>
          <w:color w:val="auto"/>
          <w:szCs w:val="22"/>
          <w:lang w:val="pt-PT"/>
        </w:rPr>
        <w:t xml:space="preserve">doze </w:t>
      </w:r>
      <w:r w:rsidRPr="00110D6C">
        <w:rPr>
          <w:rFonts w:cs="Times New Roman"/>
          <w:color w:val="auto"/>
          <w:szCs w:val="22"/>
          <w:lang w:val="pt-PT"/>
        </w:rPr>
        <w:t>meses após o nascimento ou até que não sejam detetáveis níveis séricos de ustecinumab no lactente (ver secções 4.</w:t>
      </w:r>
      <w:r w:rsidR="00B910F9" w:rsidRPr="00110D6C">
        <w:rPr>
          <w:rFonts w:cs="Times New Roman"/>
          <w:color w:val="auto"/>
          <w:szCs w:val="22"/>
          <w:lang w:val="pt-PT"/>
        </w:rPr>
        <w:t>4 </w:t>
      </w:r>
      <w:r w:rsidRPr="00110D6C">
        <w:rPr>
          <w:rFonts w:cs="Times New Roman"/>
          <w:color w:val="auto"/>
          <w:szCs w:val="22"/>
          <w:lang w:val="pt-PT"/>
        </w:rPr>
        <w:t>e 4.5). Se houver um benefício clínico claro para o lactente em particular, pode ser considerada a administração de uma vacina viva num momento anterior, caso não sejam detetáveis níveis séricos de ustecinumab no lactente.</w:t>
      </w:r>
    </w:p>
    <w:p w14:paraId="439F38A0" w14:textId="77777777" w:rsidR="00030085" w:rsidRPr="00110D6C" w:rsidRDefault="00030085" w:rsidP="00A17623">
      <w:pPr>
        <w:widowControl/>
        <w:rPr>
          <w:rFonts w:cs="Times New Roman"/>
          <w:color w:val="auto"/>
          <w:szCs w:val="22"/>
          <w:lang w:val="pt-PT"/>
        </w:rPr>
      </w:pPr>
    </w:p>
    <w:p w14:paraId="4E4C357B"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Amamentação</w:t>
      </w:r>
    </w:p>
    <w:p w14:paraId="5CAC83FA" w14:textId="45CD0DE6" w:rsidR="0077031F" w:rsidRPr="00110D6C" w:rsidRDefault="00030085" w:rsidP="00A17623">
      <w:pPr>
        <w:widowControl/>
        <w:rPr>
          <w:rFonts w:cs="Times New Roman"/>
          <w:color w:val="auto"/>
          <w:szCs w:val="22"/>
          <w:lang w:val="pt-PT"/>
        </w:rPr>
      </w:pPr>
      <w:r w:rsidRPr="00110D6C">
        <w:rPr>
          <w:rFonts w:cs="Times New Roman"/>
          <w:color w:val="auto"/>
          <w:szCs w:val="22"/>
          <w:lang w:val="pt-PT"/>
        </w:rPr>
        <w:t>As informações limitadas disponíveis na literatura publicada sugerem que o ustecinumab é excretado no leite materno em quantidades muito reduzidas. Desconhece-se se ustecinumab é absorvido sistemicamente após a ingestão. Devido ao potencial de ustecinumab para reações adversas em lactentes, a decisão de interromper a amamentação durante o tratamento e até 1</w:t>
      </w:r>
      <w:r w:rsidR="00B910F9" w:rsidRPr="00110D6C">
        <w:rPr>
          <w:rFonts w:cs="Times New Roman"/>
          <w:color w:val="auto"/>
          <w:szCs w:val="22"/>
          <w:lang w:val="pt-PT"/>
        </w:rPr>
        <w:t>5 </w:t>
      </w:r>
      <w:r w:rsidRPr="00110D6C">
        <w:rPr>
          <w:rFonts w:cs="Times New Roman"/>
          <w:color w:val="auto"/>
          <w:szCs w:val="22"/>
          <w:lang w:val="pt-PT"/>
        </w:rPr>
        <w:t xml:space="preserve">semanas após o tratamento ou de interromper a terapêutica com </w:t>
      </w:r>
      <w:r w:rsidR="00D05FE6" w:rsidRPr="00110D6C">
        <w:rPr>
          <w:rFonts w:cs="Times New Roman"/>
          <w:color w:val="auto"/>
          <w:szCs w:val="22"/>
          <w:lang w:val="pt-PT"/>
        </w:rPr>
        <w:t>F</w:t>
      </w:r>
      <w:r w:rsidR="00110D6C" w:rsidRPr="00110D6C">
        <w:rPr>
          <w:rFonts w:cs="Times New Roman"/>
          <w:color w:val="auto"/>
          <w:szCs w:val="22"/>
          <w:lang w:val="pt-PT"/>
        </w:rPr>
        <w:t>ymskina</w:t>
      </w:r>
      <w:r w:rsidRPr="00110D6C">
        <w:rPr>
          <w:rFonts w:cs="Times New Roman"/>
          <w:color w:val="auto"/>
          <w:szCs w:val="22"/>
          <w:lang w:val="pt-PT"/>
        </w:rPr>
        <w:t xml:space="preserve"> tem que ser tomada tendo em consideração o benefício da amamentação para a criança e o benefício da terapêutica com </w:t>
      </w:r>
      <w:r w:rsidR="00D05FE6" w:rsidRPr="00110D6C">
        <w:rPr>
          <w:rFonts w:cs="Times New Roman"/>
          <w:color w:val="auto"/>
          <w:szCs w:val="22"/>
          <w:lang w:val="pt-PT"/>
        </w:rPr>
        <w:t>F</w:t>
      </w:r>
      <w:r w:rsidR="00110D6C" w:rsidRPr="00110D6C">
        <w:rPr>
          <w:rFonts w:cs="Times New Roman"/>
          <w:color w:val="auto"/>
          <w:szCs w:val="22"/>
          <w:lang w:val="pt-PT"/>
        </w:rPr>
        <w:t>ymskina</w:t>
      </w:r>
      <w:r w:rsidRPr="00110D6C">
        <w:rPr>
          <w:rFonts w:cs="Times New Roman"/>
          <w:color w:val="auto"/>
          <w:szCs w:val="22"/>
          <w:lang w:val="pt-PT"/>
        </w:rPr>
        <w:t xml:space="preserve"> para a mulher.</w:t>
      </w:r>
    </w:p>
    <w:p w14:paraId="614FF4EC" w14:textId="77777777" w:rsidR="00030085" w:rsidRPr="00110D6C" w:rsidRDefault="00030085" w:rsidP="00A17623">
      <w:pPr>
        <w:widowControl/>
        <w:rPr>
          <w:rFonts w:cs="Times New Roman"/>
          <w:color w:val="auto"/>
          <w:szCs w:val="22"/>
          <w:lang w:val="pt-PT"/>
        </w:rPr>
      </w:pPr>
    </w:p>
    <w:p w14:paraId="5373D92D"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Fertilidade</w:t>
      </w:r>
    </w:p>
    <w:p w14:paraId="1E5F6C37"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O efeito de ustecinumab na fertilidade humana não foi avaliado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5.3).</w:t>
      </w:r>
    </w:p>
    <w:p w14:paraId="4DC73DCA" w14:textId="77777777" w:rsidR="00DC3C01" w:rsidRPr="00110D6C" w:rsidRDefault="00DC3C01" w:rsidP="002057DA">
      <w:pPr>
        <w:widowControl/>
        <w:rPr>
          <w:rFonts w:cs="Times New Roman"/>
          <w:bCs/>
          <w:color w:val="auto"/>
          <w:szCs w:val="22"/>
          <w:lang w:val="pt-PT"/>
        </w:rPr>
      </w:pPr>
      <w:bookmarkStart w:id="10" w:name="bookmark18"/>
    </w:p>
    <w:p w14:paraId="6F9A56FB"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4.7</w:t>
      </w:r>
      <w:r w:rsidRPr="00110D6C">
        <w:rPr>
          <w:rFonts w:cs="Times New Roman"/>
          <w:b/>
          <w:bCs/>
          <w:color w:val="auto"/>
          <w:szCs w:val="22"/>
          <w:lang w:val="pt-PT"/>
        </w:rPr>
        <w:tab/>
      </w:r>
      <w:r w:rsidR="00030085" w:rsidRPr="00110D6C">
        <w:rPr>
          <w:rFonts w:cs="Times New Roman"/>
          <w:b/>
          <w:bCs/>
          <w:color w:val="auto"/>
          <w:szCs w:val="22"/>
          <w:lang w:val="pt-PT"/>
        </w:rPr>
        <w:t>Efeitos sobre a capacidade de conduzir e utilizar máquinas</w:t>
      </w:r>
      <w:bookmarkEnd w:id="10"/>
    </w:p>
    <w:p w14:paraId="0F07CAE8" w14:textId="77777777" w:rsidR="00030085" w:rsidRPr="00110D6C" w:rsidRDefault="00030085" w:rsidP="00A17623">
      <w:pPr>
        <w:widowControl/>
        <w:rPr>
          <w:rFonts w:cs="Times New Roman"/>
          <w:color w:val="auto"/>
          <w:szCs w:val="22"/>
          <w:lang w:val="pt-PT"/>
        </w:rPr>
      </w:pPr>
    </w:p>
    <w:p w14:paraId="38FFD32A" w14:textId="669B0898"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Os efeitos de </w:t>
      </w:r>
      <w:r w:rsidR="00D05FE6" w:rsidRPr="00110D6C">
        <w:rPr>
          <w:rFonts w:cs="Times New Roman"/>
          <w:color w:val="auto"/>
          <w:szCs w:val="22"/>
          <w:lang w:val="pt-PT"/>
        </w:rPr>
        <w:t>F</w:t>
      </w:r>
      <w:r w:rsidR="00110D6C" w:rsidRPr="00110D6C">
        <w:rPr>
          <w:rFonts w:cs="Times New Roman"/>
          <w:color w:val="auto"/>
          <w:szCs w:val="22"/>
          <w:lang w:val="pt-PT"/>
        </w:rPr>
        <w:t>ymskina</w:t>
      </w:r>
      <w:r w:rsidRPr="00110D6C">
        <w:rPr>
          <w:rFonts w:cs="Times New Roman"/>
          <w:color w:val="auto"/>
          <w:szCs w:val="22"/>
          <w:lang w:val="pt-PT"/>
        </w:rPr>
        <w:t xml:space="preserve"> sobre a capacidade de conduzir ou utilizar máquinas são nulos ou desprezáveis.</w:t>
      </w:r>
    </w:p>
    <w:p w14:paraId="4954C487" w14:textId="77777777" w:rsidR="00DC3C01" w:rsidRPr="00110D6C" w:rsidRDefault="00DC3C01" w:rsidP="002057DA">
      <w:pPr>
        <w:widowControl/>
        <w:rPr>
          <w:rFonts w:cs="Times New Roman"/>
          <w:bCs/>
          <w:color w:val="auto"/>
          <w:szCs w:val="22"/>
          <w:lang w:val="pt-PT"/>
        </w:rPr>
      </w:pPr>
      <w:bookmarkStart w:id="11" w:name="bookmark20"/>
    </w:p>
    <w:p w14:paraId="540459D1"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4.8</w:t>
      </w:r>
      <w:r w:rsidRPr="00110D6C">
        <w:rPr>
          <w:rFonts w:cs="Times New Roman"/>
          <w:b/>
          <w:bCs/>
          <w:color w:val="auto"/>
          <w:szCs w:val="22"/>
          <w:lang w:val="pt-PT"/>
        </w:rPr>
        <w:tab/>
      </w:r>
      <w:r w:rsidR="00030085" w:rsidRPr="00110D6C">
        <w:rPr>
          <w:rFonts w:cs="Times New Roman"/>
          <w:b/>
          <w:bCs/>
          <w:color w:val="auto"/>
          <w:szCs w:val="22"/>
          <w:lang w:val="pt-PT"/>
        </w:rPr>
        <w:t>Efeitos indesejáveis</w:t>
      </w:r>
      <w:bookmarkEnd w:id="11"/>
    </w:p>
    <w:p w14:paraId="45F67A8C" w14:textId="77777777" w:rsidR="00030085" w:rsidRPr="00110D6C" w:rsidRDefault="00030085" w:rsidP="00A17623">
      <w:pPr>
        <w:widowControl/>
        <w:rPr>
          <w:rFonts w:cs="Times New Roman"/>
          <w:color w:val="auto"/>
          <w:szCs w:val="22"/>
          <w:lang w:val="pt-PT"/>
        </w:rPr>
      </w:pPr>
    </w:p>
    <w:p w14:paraId="1BC81B9D"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Resumo do perfil de segurança</w:t>
      </w:r>
    </w:p>
    <w:p w14:paraId="66D805D6" w14:textId="64A59977" w:rsidR="0077031F" w:rsidRPr="00110D6C" w:rsidRDefault="00030085" w:rsidP="00F5387C">
      <w:pPr>
        <w:widowControl/>
        <w:rPr>
          <w:rFonts w:cs="Times New Roman"/>
          <w:color w:val="auto"/>
          <w:szCs w:val="22"/>
          <w:lang w:val="pt-PT"/>
        </w:rPr>
      </w:pPr>
      <w:r w:rsidRPr="00110D6C">
        <w:rPr>
          <w:rFonts w:cs="Times New Roman"/>
          <w:color w:val="auto"/>
          <w:szCs w:val="22"/>
          <w:lang w:val="pt-PT"/>
        </w:rPr>
        <w:t>As reações adversas mais frequentes (&gt;</w:t>
      </w:r>
      <w:r w:rsidR="00F5387C" w:rsidRPr="00110D6C">
        <w:rPr>
          <w:rFonts w:cs="Times New Roman"/>
          <w:color w:val="auto"/>
          <w:szCs w:val="22"/>
          <w:lang w:val="pt-PT"/>
        </w:rPr>
        <w:t> </w:t>
      </w:r>
      <w:r w:rsidRPr="00110D6C">
        <w:rPr>
          <w:rFonts w:cs="Times New Roman"/>
          <w:color w:val="auto"/>
          <w:szCs w:val="22"/>
          <w:lang w:val="pt-PT"/>
        </w:rPr>
        <w:t xml:space="preserve">5%) nas fases controladas dos estudos clínicos na psoríase em adultos, na artrite psoriática, na doença de Crohn e colite ulcerosa tratadas com ustecinumab foram nasofaringite e cefaleia. A maioria foi considerada de natureza ligeira e não foi necessária a interrupção do tratamento em estudo. As reações adversas mais graves reportadas para </w:t>
      </w:r>
      <w:r w:rsidR="00110D6C" w:rsidRPr="00110D6C">
        <w:rPr>
          <w:rFonts w:cs="Times New Roman"/>
          <w:color w:val="auto"/>
          <w:szCs w:val="22"/>
          <w:lang w:val="pt-PT"/>
        </w:rPr>
        <w:t>ustecinumab</w:t>
      </w:r>
      <w:r w:rsidRPr="00110D6C">
        <w:rPr>
          <w:rFonts w:cs="Times New Roman"/>
          <w:color w:val="auto"/>
          <w:szCs w:val="22"/>
          <w:lang w:val="pt-PT"/>
        </w:rPr>
        <w:t xml:space="preserve"> foram reações de hipersensibilidade graves, incluindo anafilaxia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4.4). O perfil de segurança global foi semelhante nos doentes com psoríase, artrite psoriática, doença de Crohn e colite ulcerosa.</w:t>
      </w:r>
    </w:p>
    <w:p w14:paraId="0864DE9A" w14:textId="77777777" w:rsidR="00030085" w:rsidRPr="00110D6C" w:rsidRDefault="00030085" w:rsidP="00A17623">
      <w:pPr>
        <w:widowControl/>
        <w:rPr>
          <w:rFonts w:cs="Times New Roman"/>
          <w:color w:val="auto"/>
          <w:szCs w:val="22"/>
          <w:lang w:val="pt-PT"/>
        </w:rPr>
      </w:pPr>
    </w:p>
    <w:p w14:paraId="20BC7717"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Lista tabelar das reações adversas</w:t>
      </w:r>
    </w:p>
    <w:p w14:paraId="79316938" w14:textId="216DD526" w:rsidR="0077031F" w:rsidRPr="00110D6C" w:rsidRDefault="00030085" w:rsidP="00A17623">
      <w:pPr>
        <w:widowControl/>
        <w:rPr>
          <w:rFonts w:cs="Times New Roman"/>
          <w:color w:val="auto"/>
          <w:szCs w:val="22"/>
          <w:lang w:val="pt-PT"/>
        </w:rPr>
      </w:pPr>
      <w:r w:rsidRPr="00110D6C">
        <w:rPr>
          <w:rFonts w:cs="Times New Roman"/>
          <w:color w:val="auto"/>
          <w:szCs w:val="22"/>
          <w:lang w:val="pt-PT"/>
        </w:rPr>
        <w:t>Os dados de segurança descritos abaixo refletem a exposição em adultos a ustecinumab em 1</w:t>
      </w:r>
      <w:r w:rsidR="00B910F9" w:rsidRPr="00110D6C">
        <w:rPr>
          <w:rFonts w:cs="Times New Roman"/>
          <w:color w:val="auto"/>
          <w:szCs w:val="22"/>
          <w:lang w:val="pt-PT"/>
        </w:rPr>
        <w:t>4 </w:t>
      </w:r>
      <w:r w:rsidRPr="00110D6C">
        <w:rPr>
          <w:rFonts w:cs="Times New Roman"/>
          <w:color w:val="auto"/>
          <w:szCs w:val="22"/>
          <w:lang w:val="pt-PT"/>
        </w:rPr>
        <w:t xml:space="preserve">estudos de Fase </w:t>
      </w:r>
      <w:r w:rsidR="00B910F9" w:rsidRPr="00110D6C">
        <w:rPr>
          <w:rFonts w:cs="Times New Roman"/>
          <w:color w:val="auto"/>
          <w:szCs w:val="22"/>
          <w:lang w:val="pt-PT"/>
        </w:rPr>
        <w:t>2 </w:t>
      </w:r>
      <w:r w:rsidRPr="00110D6C">
        <w:rPr>
          <w:rFonts w:cs="Times New Roman"/>
          <w:color w:val="auto"/>
          <w:szCs w:val="22"/>
          <w:lang w:val="pt-PT"/>
        </w:rPr>
        <w:t>e Fase</w:t>
      </w:r>
      <w:r w:rsidR="00A121D2" w:rsidRPr="00110D6C">
        <w:rPr>
          <w:rFonts w:cs="Times New Roman"/>
          <w:color w:val="auto"/>
          <w:szCs w:val="22"/>
          <w:lang w:val="pt-PT"/>
        </w:rPr>
        <w:t> </w:t>
      </w:r>
      <w:r w:rsidR="00B910F9" w:rsidRPr="00110D6C">
        <w:rPr>
          <w:rFonts w:cs="Times New Roman"/>
          <w:color w:val="auto"/>
          <w:szCs w:val="22"/>
          <w:lang w:val="pt-PT"/>
        </w:rPr>
        <w:t>3</w:t>
      </w:r>
      <w:r w:rsidR="00A121D2" w:rsidRPr="00110D6C">
        <w:rPr>
          <w:rFonts w:cs="Times New Roman"/>
          <w:color w:val="auto"/>
          <w:szCs w:val="22"/>
          <w:lang w:val="pt-PT"/>
        </w:rPr>
        <w:t> </w:t>
      </w:r>
      <w:r w:rsidRPr="00110D6C">
        <w:rPr>
          <w:rFonts w:cs="Times New Roman"/>
          <w:color w:val="auto"/>
          <w:szCs w:val="22"/>
          <w:lang w:val="pt-PT"/>
        </w:rPr>
        <w:t>envolvendo 67</w:t>
      </w:r>
      <w:r w:rsidR="00904C0C">
        <w:rPr>
          <w:rFonts w:cs="Times New Roman"/>
          <w:color w:val="auto"/>
          <w:szCs w:val="22"/>
          <w:lang w:val="pt-PT"/>
        </w:rPr>
        <w:t>1</w:t>
      </w:r>
      <w:r w:rsidRPr="00110D6C">
        <w:rPr>
          <w:rFonts w:cs="Times New Roman"/>
          <w:color w:val="auto"/>
          <w:szCs w:val="22"/>
          <w:lang w:val="pt-PT"/>
        </w:rPr>
        <w:t>0</w:t>
      </w:r>
      <w:r w:rsidR="00B910F9" w:rsidRPr="00110D6C">
        <w:rPr>
          <w:rFonts w:cs="Times New Roman"/>
          <w:color w:val="auto"/>
          <w:szCs w:val="22"/>
          <w:lang w:val="pt-PT"/>
        </w:rPr>
        <w:t> </w:t>
      </w:r>
      <w:r w:rsidRPr="00110D6C">
        <w:rPr>
          <w:rFonts w:cs="Times New Roman"/>
          <w:color w:val="auto"/>
          <w:szCs w:val="22"/>
          <w:lang w:val="pt-PT"/>
        </w:rPr>
        <w:t>doentes (413</w:t>
      </w:r>
      <w:r w:rsidR="00B910F9" w:rsidRPr="00110D6C">
        <w:rPr>
          <w:rFonts w:cs="Times New Roman"/>
          <w:color w:val="auto"/>
          <w:szCs w:val="22"/>
          <w:lang w:val="pt-PT"/>
        </w:rPr>
        <w:t>5 </w:t>
      </w:r>
      <w:r w:rsidRPr="00110D6C">
        <w:rPr>
          <w:rFonts w:cs="Times New Roman"/>
          <w:color w:val="auto"/>
          <w:szCs w:val="22"/>
          <w:lang w:val="pt-PT"/>
        </w:rPr>
        <w:t>com psoríase e/ou artrite psoriática, 174</w:t>
      </w:r>
      <w:r w:rsidR="00B910F9" w:rsidRPr="00110D6C">
        <w:rPr>
          <w:rFonts w:cs="Times New Roman"/>
          <w:color w:val="auto"/>
          <w:szCs w:val="22"/>
          <w:lang w:val="pt-PT"/>
        </w:rPr>
        <w:t>9 </w:t>
      </w:r>
      <w:r w:rsidRPr="00110D6C">
        <w:rPr>
          <w:rFonts w:cs="Times New Roman"/>
          <w:color w:val="auto"/>
          <w:szCs w:val="22"/>
          <w:lang w:val="pt-PT"/>
        </w:rPr>
        <w:t>com doença de Crohn e 82</w:t>
      </w:r>
      <w:r w:rsidR="00904C0C">
        <w:rPr>
          <w:rFonts w:cs="Times New Roman"/>
          <w:color w:val="auto"/>
          <w:szCs w:val="22"/>
          <w:lang w:val="pt-PT"/>
        </w:rPr>
        <w:t>6</w:t>
      </w:r>
      <w:r w:rsidR="00B910F9" w:rsidRPr="00110D6C">
        <w:rPr>
          <w:rFonts w:cs="Times New Roman"/>
          <w:color w:val="auto"/>
          <w:szCs w:val="22"/>
          <w:lang w:val="pt-PT"/>
        </w:rPr>
        <w:t> </w:t>
      </w:r>
      <w:r w:rsidRPr="00110D6C">
        <w:rPr>
          <w:rFonts w:cs="Times New Roman"/>
          <w:color w:val="auto"/>
          <w:szCs w:val="22"/>
          <w:lang w:val="pt-PT"/>
        </w:rPr>
        <w:t xml:space="preserve">doentes com colite ulcerosa). Isto inclui exposição a </w:t>
      </w:r>
      <w:r w:rsidR="00110D6C" w:rsidRPr="00110D6C">
        <w:rPr>
          <w:rFonts w:cs="Times New Roman"/>
          <w:color w:val="auto"/>
          <w:szCs w:val="22"/>
          <w:lang w:val="pt-PT"/>
        </w:rPr>
        <w:t>ustecinumab</w:t>
      </w:r>
      <w:r w:rsidRPr="00110D6C">
        <w:rPr>
          <w:rFonts w:cs="Times New Roman"/>
          <w:color w:val="auto"/>
          <w:szCs w:val="22"/>
          <w:lang w:val="pt-PT"/>
        </w:rPr>
        <w:t xml:space="preserve"> durante as fases controladas e não controladas dos estudos clínicos </w:t>
      </w:r>
      <w:r w:rsidR="00904C0C">
        <w:rPr>
          <w:bCs/>
          <w:szCs w:val="22"/>
        </w:rPr>
        <w:t xml:space="preserve">em doentes com psoríase, artrite psoriática, doença de Crohn e colite ulcerosa </w:t>
      </w:r>
      <w:r w:rsidRPr="00110D6C">
        <w:rPr>
          <w:rFonts w:cs="Times New Roman"/>
          <w:color w:val="auto"/>
          <w:szCs w:val="22"/>
          <w:lang w:val="pt-PT"/>
        </w:rPr>
        <w:t xml:space="preserve">durante, pelo menos, </w:t>
      </w:r>
      <w:r w:rsidR="00B910F9" w:rsidRPr="00110D6C">
        <w:rPr>
          <w:rFonts w:cs="Times New Roman"/>
          <w:color w:val="auto"/>
          <w:szCs w:val="22"/>
          <w:lang w:val="pt-PT"/>
        </w:rPr>
        <w:t>6 </w:t>
      </w:r>
      <w:r w:rsidRPr="00110D6C">
        <w:rPr>
          <w:rFonts w:cs="Times New Roman"/>
          <w:color w:val="auto"/>
          <w:szCs w:val="22"/>
          <w:lang w:val="pt-PT"/>
        </w:rPr>
        <w:t>meses (457</w:t>
      </w:r>
      <w:r w:rsidR="00B910F9" w:rsidRPr="00110D6C">
        <w:rPr>
          <w:rFonts w:cs="Times New Roman"/>
          <w:color w:val="auto"/>
          <w:szCs w:val="22"/>
          <w:lang w:val="pt-PT"/>
        </w:rPr>
        <w:t>7 </w:t>
      </w:r>
      <w:r w:rsidR="00904C0C">
        <w:rPr>
          <w:rFonts w:cs="Times New Roman"/>
          <w:color w:val="auto"/>
          <w:szCs w:val="22"/>
          <w:lang w:val="pt-PT"/>
        </w:rPr>
        <w:t xml:space="preserve">doentes) </w:t>
      </w:r>
      <w:r w:rsidR="00904C0C">
        <w:rPr>
          <w:bCs/>
          <w:szCs w:val="22"/>
        </w:rPr>
        <w:t>ou, pelo menos, 1 ano</w:t>
      </w:r>
      <w:r w:rsidRPr="00110D6C">
        <w:rPr>
          <w:rFonts w:cs="Times New Roman"/>
          <w:color w:val="auto"/>
          <w:szCs w:val="22"/>
          <w:lang w:val="pt-PT"/>
        </w:rPr>
        <w:t xml:space="preserve"> </w:t>
      </w:r>
      <w:r w:rsidR="00904C0C">
        <w:rPr>
          <w:rFonts w:cs="Times New Roman"/>
          <w:color w:val="auto"/>
          <w:szCs w:val="22"/>
          <w:lang w:val="pt-PT"/>
        </w:rPr>
        <w:lastRenderedPageBreak/>
        <w:t>(</w:t>
      </w:r>
      <w:r w:rsidRPr="00110D6C">
        <w:rPr>
          <w:rFonts w:cs="Times New Roman"/>
          <w:color w:val="auto"/>
          <w:szCs w:val="22"/>
          <w:lang w:val="pt-PT"/>
        </w:rPr>
        <w:t>3</w:t>
      </w:r>
      <w:r w:rsidR="00904C0C">
        <w:rPr>
          <w:rFonts w:cs="Times New Roman"/>
          <w:color w:val="auto"/>
          <w:szCs w:val="22"/>
          <w:lang w:val="pt-PT"/>
        </w:rPr>
        <w:t>648</w:t>
      </w:r>
      <w:r w:rsidR="00B910F9" w:rsidRPr="00110D6C">
        <w:rPr>
          <w:rFonts w:cs="Times New Roman"/>
          <w:color w:val="auto"/>
          <w:szCs w:val="22"/>
          <w:lang w:val="pt-PT"/>
        </w:rPr>
        <w:t> </w:t>
      </w:r>
      <w:r w:rsidRPr="00110D6C">
        <w:rPr>
          <w:rFonts w:cs="Times New Roman"/>
          <w:color w:val="auto"/>
          <w:szCs w:val="22"/>
          <w:lang w:val="pt-PT"/>
        </w:rPr>
        <w:t>doentes</w:t>
      </w:r>
      <w:r w:rsidR="00904C0C">
        <w:rPr>
          <w:rFonts w:cs="Times New Roman"/>
          <w:color w:val="auto"/>
          <w:szCs w:val="22"/>
          <w:lang w:val="pt-PT"/>
        </w:rPr>
        <w:t>).</w:t>
      </w:r>
      <w:r w:rsidRPr="00110D6C">
        <w:rPr>
          <w:rFonts w:cs="Times New Roman"/>
          <w:color w:val="auto"/>
          <w:szCs w:val="22"/>
          <w:lang w:val="pt-PT"/>
        </w:rPr>
        <w:t xml:space="preserve"> </w:t>
      </w:r>
      <w:r w:rsidR="00904C0C">
        <w:rPr>
          <w:bCs/>
          <w:szCs w:val="22"/>
        </w:rPr>
        <w:t>Um total de 2194 doentes</w:t>
      </w:r>
      <w:r w:rsidR="00904C0C" w:rsidRPr="00E124FE">
        <w:rPr>
          <w:bCs/>
          <w:szCs w:val="22"/>
        </w:rPr>
        <w:t xml:space="preserve"> </w:t>
      </w:r>
      <w:r w:rsidRPr="00110D6C">
        <w:rPr>
          <w:rFonts w:cs="Times New Roman"/>
          <w:color w:val="auto"/>
          <w:szCs w:val="22"/>
          <w:lang w:val="pt-PT"/>
        </w:rPr>
        <w:t>com psoríase, doença de Crohn ou colite ulcerosa</w:t>
      </w:r>
      <w:r w:rsidR="00904C0C">
        <w:rPr>
          <w:rFonts w:cs="Times New Roman"/>
          <w:color w:val="auto"/>
          <w:szCs w:val="22"/>
          <w:lang w:val="pt-PT"/>
        </w:rPr>
        <w:t xml:space="preserve"> </w:t>
      </w:r>
      <w:r w:rsidR="00904C0C">
        <w:rPr>
          <w:bCs/>
          <w:szCs w:val="22"/>
        </w:rPr>
        <w:t>foram expostos</w:t>
      </w:r>
      <w:r w:rsidRPr="00110D6C">
        <w:rPr>
          <w:rFonts w:cs="Times New Roman"/>
          <w:color w:val="auto"/>
          <w:szCs w:val="22"/>
          <w:lang w:val="pt-PT"/>
        </w:rPr>
        <w:t xml:space="preserve"> durante</w:t>
      </w:r>
      <w:r w:rsidR="00904C0C">
        <w:rPr>
          <w:rFonts w:cs="Times New Roman"/>
          <w:color w:val="auto"/>
          <w:szCs w:val="22"/>
          <w:lang w:val="pt-PT"/>
        </w:rPr>
        <w:t>,</w:t>
      </w:r>
      <w:r w:rsidRPr="00110D6C">
        <w:rPr>
          <w:rFonts w:cs="Times New Roman"/>
          <w:color w:val="auto"/>
          <w:szCs w:val="22"/>
          <w:lang w:val="pt-PT"/>
        </w:rPr>
        <w:t xml:space="preserve"> pelo menos</w:t>
      </w:r>
      <w:r w:rsidR="00904C0C">
        <w:rPr>
          <w:rFonts w:cs="Times New Roman"/>
          <w:color w:val="auto"/>
          <w:szCs w:val="22"/>
          <w:lang w:val="pt-PT"/>
        </w:rPr>
        <w:t>,</w:t>
      </w:r>
      <w:r w:rsidRPr="00110D6C">
        <w:rPr>
          <w:rFonts w:cs="Times New Roman"/>
          <w:color w:val="auto"/>
          <w:szCs w:val="22"/>
          <w:lang w:val="pt-PT"/>
        </w:rPr>
        <w:t xml:space="preserve"> </w:t>
      </w:r>
      <w:r w:rsidR="00B910F9" w:rsidRPr="00110D6C">
        <w:rPr>
          <w:rFonts w:cs="Times New Roman"/>
          <w:color w:val="auto"/>
          <w:szCs w:val="22"/>
          <w:lang w:val="pt-PT"/>
        </w:rPr>
        <w:t>4 </w:t>
      </w:r>
      <w:r w:rsidRPr="00110D6C">
        <w:rPr>
          <w:rFonts w:cs="Times New Roman"/>
          <w:color w:val="auto"/>
          <w:szCs w:val="22"/>
          <w:lang w:val="pt-PT"/>
        </w:rPr>
        <w:t>anos</w:t>
      </w:r>
      <w:r w:rsidR="00904C0C">
        <w:rPr>
          <w:rFonts w:cs="Times New Roman"/>
          <w:color w:val="auto"/>
          <w:szCs w:val="22"/>
          <w:lang w:val="pt-PT"/>
        </w:rPr>
        <w:t xml:space="preserve"> </w:t>
      </w:r>
      <w:r w:rsidR="00904C0C">
        <w:rPr>
          <w:bCs/>
          <w:szCs w:val="22"/>
        </w:rPr>
        <w:t>enquanto 1148</w:t>
      </w:r>
      <w:r w:rsidR="00B910F9" w:rsidRPr="00110D6C">
        <w:rPr>
          <w:rFonts w:cs="Times New Roman"/>
          <w:color w:val="auto"/>
          <w:szCs w:val="22"/>
          <w:lang w:val="pt-PT"/>
        </w:rPr>
        <w:t> </w:t>
      </w:r>
      <w:r w:rsidRPr="00110D6C">
        <w:rPr>
          <w:rFonts w:cs="Times New Roman"/>
          <w:color w:val="auto"/>
          <w:szCs w:val="22"/>
          <w:lang w:val="pt-PT"/>
        </w:rPr>
        <w:t>doentes com psoríase</w:t>
      </w:r>
      <w:r w:rsidR="00904C0C">
        <w:rPr>
          <w:rFonts w:cs="Times New Roman"/>
          <w:color w:val="auto"/>
          <w:szCs w:val="22"/>
          <w:lang w:val="pt-PT"/>
        </w:rPr>
        <w:t xml:space="preserve"> </w:t>
      </w:r>
      <w:r w:rsidR="00904C0C">
        <w:rPr>
          <w:bCs/>
          <w:szCs w:val="22"/>
        </w:rPr>
        <w:t>ou doença de Crohn foram expostos durante, pelo menos, 5 anos</w:t>
      </w:r>
      <w:r w:rsidRPr="00110D6C">
        <w:rPr>
          <w:rFonts w:cs="Times New Roman"/>
          <w:color w:val="auto"/>
          <w:szCs w:val="22"/>
          <w:lang w:val="pt-PT"/>
        </w:rPr>
        <w:t>.</w:t>
      </w:r>
    </w:p>
    <w:p w14:paraId="779E8E90" w14:textId="77777777" w:rsidR="00030085" w:rsidRPr="00110D6C" w:rsidRDefault="00030085" w:rsidP="00A17623">
      <w:pPr>
        <w:widowControl/>
        <w:rPr>
          <w:rFonts w:cs="Times New Roman"/>
          <w:color w:val="auto"/>
          <w:szCs w:val="22"/>
          <w:lang w:val="pt-PT"/>
        </w:rPr>
      </w:pPr>
    </w:p>
    <w:p w14:paraId="18D02905"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 Tabela</w:t>
      </w:r>
      <w:r w:rsidR="00982985" w:rsidRPr="00110D6C">
        <w:rPr>
          <w:rFonts w:cs="Times New Roman"/>
          <w:color w:val="auto"/>
          <w:szCs w:val="22"/>
          <w:lang w:val="pt-PT"/>
        </w:rPr>
        <w:t> </w:t>
      </w:r>
      <w:r w:rsidR="00B910F9" w:rsidRPr="00110D6C">
        <w:rPr>
          <w:rFonts w:cs="Times New Roman"/>
          <w:color w:val="auto"/>
          <w:szCs w:val="22"/>
          <w:lang w:val="pt-PT"/>
        </w:rPr>
        <w:t>2</w:t>
      </w:r>
      <w:r w:rsidR="00982985" w:rsidRPr="00110D6C">
        <w:rPr>
          <w:rFonts w:cs="Times New Roman"/>
          <w:color w:val="auto"/>
          <w:szCs w:val="22"/>
          <w:lang w:val="pt-PT"/>
        </w:rPr>
        <w:t xml:space="preserve"> </w:t>
      </w:r>
      <w:r w:rsidRPr="00110D6C">
        <w:rPr>
          <w:rFonts w:cs="Times New Roman"/>
          <w:color w:val="auto"/>
          <w:szCs w:val="22"/>
          <w:lang w:val="pt-PT"/>
        </w:rPr>
        <w:t>apresenta uma lista das reações adversas dos estudos clínicos na psoríase em adultos, na artrite psoriática, na doença de Crohn e colite ulcerosa, assim como as reações reportadas durante a experiência pós-comercialização. As reações adversas são classificadas pela classe de sistemas de órgãos e por frequência, utilizando a seguinte convenção: Muito frequentes (≥</w:t>
      </w:r>
      <w:r w:rsidR="00F5387C" w:rsidRPr="00110D6C">
        <w:rPr>
          <w:rFonts w:cs="Times New Roman"/>
          <w:color w:val="auto"/>
          <w:szCs w:val="22"/>
          <w:lang w:val="pt-PT"/>
        </w:rPr>
        <w:t> </w:t>
      </w:r>
      <w:r w:rsidRPr="00110D6C">
        <w:rPr>
          <w:rFonts w:cs="Times New Roman"/>
          <w:color w:val="auto"/>
          <w:szCs w:val="22"/>
          <w:lang w:val="pt-PT"/>
        </w:rPr>
        <w:t>1/10), Frequentes (≥</w:t>
      </w:r>
      <w:r w:rsidR="00F5387C" w:rsidRPr="00110D6C">
        <w:rPr>
          <w:rFonts w:cs="Times New Roman"/>
          <w:color w:val="auto"/>
          <w:szCs w:val="22"/>
          <w:lang w:val="pt-PT"/>
        </w:rPr>
        <w:t> </w:t>
      </w:r>
      <w:r w:rsidRPr="00110D6C">
        <w:rPr>
          <w:rFonts w:cs="Times New Roman"/>
          <w:color w:val="auto"/>
          <w:szCs w:val="22"/>
          <w:lang w:val="pt-PT"/>
        </w:rPr>
        <w:t>1/10</w:t>
      </w:r>
      <w:r w:rsidR="00B910F9" w:rsidRPr="00110D6C">
        <w:rPr>
          <w:rFonts w:cs="Times New Roman"/>
          <w:color w:val="auto"/>
          <w:szCs w:val="22"/>
          <w:lang w:val="pt-PT"/>
        </w:rPr>
        <w:t>0 </w:t>
      </w:r>
      <w:r w:rsidRPr="00110D6C">
        <w:rPr>
          <w:rFonts w:cs="Times New Roman"/>
          <w:color w:val="auto"/>
          <w:szCs w:val="22"/>
          <w:lang w:val="pt-PT"/>
        </w:rPr>
        <w:t>a &lt;</w:t>
      </w:r>
      <w:r w:rsidR="00F5387C" w:rsidRPr="00110D6C">
        <w:rPr>
          <w:rFonts w:cs="Times New Roman"/>
          <w:color w:val="auto"/>
          <w:szCs w:val="22"/>
          <w:lang w:val="pt-PT"/>
        </w:rPr>
        <w:t> </w:t>
      </w:r>
      <w:r w:rsidRPr="00110D6C">
        <w:rPr>
          <w:rFonts w:cs="Times New Roman"/>
          <w:color w:val="auto"/>
          <w:szCs w:val="22"/>
          <w:lang w:val="pt-PT"/>
        </w:rPr>
        <w:t>1/10), Pouco frequentes (≥</w:t>
      </w:r>
      <w:r w:rsidR="00F5387C" w:rsidRPr="00110D6C">
        <w:rPr>
          <w:rFonts w:cs="Times New Roman"/>
          <w:color w:val="auto"/>
          <w:szCs w:val="22"/>
          <w:lang w:val="pt-PT"/>
        </w:rPr>
        <w:t> </w:t>
      </w:r>
      <w:r w:rsidRPr="00110D6C">
        <w:rPr>
          <w:rFonts w:cs="Times New Roman"/>
          <w:color w:val="auto"/>
          <w:szCs w:val="22"/>
          <w:lang w:val="pt-PT"/>
        </w:rPr>
        <w:t>1/100</w:t>
      </w:r>
      <w:r w:rsidR="00B910F9" w:rsidRPr="00110D6C">
        <w:rPr>
          <w:rFonts w:cs="Times New Roman"/>
          <w:color w:val="auto"/>
          <w:szCs w:val="22"/>
          <w:lang w:val="pt-PT"/>
        </w:rPr>
        <w:t>0 </w:t>
      </w:r>
      <w:r w:rsidRPr="00110D6C">
        <w:rPr>
          <w:rFonts w:cs="Times New Roman"/>
          <w:color w:val="auto"/>
          <w:szCs w:val="22"/>
          <w:lang w:val="pt-PT"/>
        </w:rPr>
        <w:t>a &lt;</w:t>
      </w:r>
      <w:r w:rsidR="00F5387C" w:rsidRPr="00110D6C">
        <w:rPr>
          <w:rFonts w:cs="Times New Roman"/>
          <w:color w:val="auto"/>
          <w:szCs w:val="22"/>
          <w:lang w:val="pt-PT"/>
        </w:rPr>
        <w:t> </w:t>
      </w:r>
      <w:r w:rsidRPr="00110D6C">
        <w:rPr>
          <w:rFonts w:cs="Times New Roman"/>
          <w:color w:val="auto"/>
          <w:szCs w:val="22"/>
          <w:lang w:val="pt-PT"/>
        </w:rPr>
        <w:t>1/100), Raras (≥</w:t>
      </w:r>
      <w:r w:rsidR="00F5387C" w:rsidRPr="00110D6C">
        <w:rPr>
          <w:rFonts w:cs="Times New Roman"/>
          <w:color w:val="auto"/>
          <w:szCs w:val="22"/>
          <w:lang w:val="pt-PT"/>
        </w:rPr>
        <w:t> </w:t>
      </w:r>
      <w:r w:rsidRPr="00110D6C">
        <w:rPr>
          <w:rFonts w:cs="Times New Roman"/>
          <w:color w:val="auto"/>
          <w:szCs w:val="22"/>
          <w:lang w:val="pt-PT"/>
        </w:rPr>
        <w:t>1/1</w:t>
      </w:r>
      <w:r w:rsidR="00B910F9" w:rsidRPr="00110D6C">
        <w:rPr>
          <w:rFonts w:cs="Times New Roman"/>
          <w:color w:val="auto"/>
          <w:szCs w:val="22"/>
          <w:lang w:val="pt-PT"/>
        </w:rPr>
        <w:t>0 </w:t>
      </w:r>
      <w:r w:rsidRPr="00110D6C">
        <w:rPr>
          <w:rFonts w:cs="Times New Roman"/>
          <w:color w:val="auto"/>
          <w:szCs w:val="22"/>
          <w:lang w:val="pt-PT"/>
        </w:rPr>
        <w:t>00</w:t>
      </w:r>
      <w:r w:rsidR="00B910F9" w:rsidRPr="00110D6C">
        <w:rPr>
          <w:rFonts w:cs="Times New Roman"/>
          <w:color w:val="auto"/>
          <w:szCs w:val="22"/>
          <w:lang w:val="pt-PT"/>
        </w:rPr>
        <w:t>0 </w:t>
      </w:r>
      <w:r w:rsidRPr="00110D6C">
        <w:rPr>
          <w:rFonts w:cs="Times New Roman"/>
          <w:color w:val="auto"/>
          <w:szCs w:val="22"/>
          <w:lang w:val="pt-PT"/>
        </w:rPr>
        <w:t>a &lt;</w:t>
      </w:r>
      <w:r w:rsidR="00F5387C" w:rsidRPr="00110D6C">
        <w:rPr>
          <w:rFonts w:cs="Times New Roman"/>
          <w:color w:val="auto"/>
          <w:szCs w:val="22"/>
          <w:lang w:val="pt-PT"/>
        </w:rPr>
        <w:t> </w:t>
      </w:r>
      <w:r w:rsidRPr="00110D6C">
        <w:rPr>
          <w:rFonts w:cs="Times New Roman"/>
          <w:color w:val="auto"/>
          <w:szCs w:val="22"/>
          <w:lang w:val="pt-PT"/>
        </w:rPr>
        <w:t>1/1000), Muito raras</w:t>
      </w:r>
      <w:r w:rsidR="00F5387C" w:rsidRPr="00110D6C">
        <w:rPr>
          <w:rFonts w:cs="Times New Roman"/>
          <w:color w:val="auto"/>
          <w:szCs w:val="22"/>
          <w:lang w:val="pt-PT"/>
        </w:rPr>
        <w:t xml:space="preserve"> </w:t>
      </w:r>
      <w:r w:rsidRPr="00110D6C">
        <w:rPr>
          <w:rFonts w:cs="Times New Roman"/>
          <w:color w:val="auto"/>
          <w:szCs w:val="22"/>
          <w:lang w:val="pt-PT"/>
        </w:rPr>
        <w:t>(&lt;</w:t>
      </w:r>
      <w:r w:rsidR="00F5387C" w:rsidRPr="00110D6C">
        <w:rPr>
          <w:rFonts w:cs="Times New Roman"/>
          <w:color w:val="auto"/>
          <w:szCs w:val="22"/>
          <w:lang w:val="pt-PT"/>
        </w:rPr>
        <w:t> </w:t>
      </w:r>
      <w:r w:rsidRPr="00110D6C">
        <w:rPr>
          <w:rFonts w:cs="Times New Roman"/>
          <w:color w:val="auto"/>
          <w:szCs w:val="22"/>
          <w:lang w:val="pt-PT"/>
        </w:rPr>
        <w:t>1/1</w:t>
      </w:r>
      <w:r w:rsidR="00B910F9" w:rsidRPr="00110D6C">
        <w:rPr>
          <w:rFonts w:cs="Times New Roman"/>
          <w:color w:val="auto"/>
          <w:szCs w:val="22"/>
          <w:lang w:val="pt-PT"/>
        </w:rPr>
        <w:t>0 </w:t>
      </w:r>
      <w:r w:rsidRPr="00110D6C">
        <w:rPr>
          <w:rFonts w:cs="Times New Roman"/>
          <w:color w:val="auto"/>
          <w:szCs w:val="22"/>
          <w:lang w:val="pt-PT"/>
        </w:rPr>
        <w:t>000), desconhecido (não pode ser calculado a partir dos dados disponíveis). As reações adversas são apresentadas por ordem decrescente de gravidade dentro de cada classe de frequência.</w:t>
      </w:r>
    </w:p>
    <w:p w14:paraId="04C25E4A" w14:textId="77777777" w:rsidR="00030085" w:rsidRPr="00110D6C" w:rsidRDefault="00030085" w:rsidP="00A17623">
      <w:pPr>
        <w:widowControl/>
        <w:rPr>
          <w:rFonts w:cs="Times New Roman"/>
          <w:color w:val="auto"/>
          <w:szCs w:val="22"/>
          <w:lang w:val="pt-PT"/>
        </w:rPr>
      </w:pPr>
    </w:p>
    <w:p w14:paraId="2FA7FC93" w14:textId="77777777" w:rsidR="0077031F" w:rsidRPr="00110D6C" w:rsidRDefault="00030085" w:rsidP="006A79E5">
      <w:pPr>
        <w:keepNext/>
        <w:keepLines/>
        <w:widowControl/>
        <w:ind w:left="1134" w:hanging="1134"/>
        <w:rPr>
          <w:rFonts w:cs="Times New Roman"/>
          <w:color w:val="auto"/>
          <w:szCs w:val="22"/>
          <w:lang w:val="pt-PT"/>
        </w:rPr>
      </w:pPr>
      <w:r w:rsidRPr="00110D6C">
        <w:rPr>
          <w:rFonts w:cs="Times New Roman"/>
          <w:i/>
          <w:iCs/>
          <w:color w:val="auto"/>
          <w:szCs w:val="22"/>
          <w:lang w:val="pt-PT"/>
        </w:rPr>
        <w:t>Tabela</w:t>
      </w:r>
      <w:r w:rsidR="00982985" w:rsidRPr="00110D6C">
        <w:rPr>
          <w:rFonts w:cs="Times New Roman"/>
          <w:i/>
          <w:iCs/>
          <w:color w:val="auto"/>
          <w:szCs w:val="22"/>
          <w:lang w:val="pt-PT"/>
        </w:rPr>
        <w:t> </w:t>
      </w:r>
      <w:r w:rsidR="00B910F9" w:rsidRPr="00110D6C">
        <w:rPr>
          <w:rFonts w:cs="Times New Roman"/>
          <w:i/>
          <w:iCs/>
          <w:color w:val="auto"/>
          <w:szCs w:val="22"/>
          <w:lang w:val="pt-PT"/>
        </w:rPr>
        <w:t>2</w:t>
      </w:r>
      <w:r w:rsidR="006A79E5" w:rsidRPr="00110D6C">
        <w:rPr>
          <w:rFonts w:cs="Times New Roman"/>
          <w:i/>
          <w:iCs/>
          <w:color w:val="auto"/>
          <w:szCs w:val="22"/>
          <w:lang w:val="pt-PT"/>
        </w:rPr>
        <w:tab/>
      </w:r>
      <w:r w:rsidRPr="00110D6C">
        <w:rPr>
          <w:rFonts w:cs="Times New Roman"/>
          <w:i/>
          <w:iCs/>
          <w:color w:val="auto"/>
          <w:szCs w:val="22"/>
          <w:lang w:val="pt-PT"/>
        </w:rPr>
        <w:t>Lista das reações adversas</w:t>
      </w:r>
    </w:p>
    <w:tbl>
      <w:tblPr>
        <w:tblOverlap w:val="never"/>
        <w:tblW w:w="5000" w:type="pct"/>
        <w:tblLook w:val="04A0" w:firstRow="1" w:lastRow="0" w:firstColumn="1" w:lastColumn="0" w:noHBand="0" w:noVBand="1"/>
      </w:tblPr>
      <w:tblGrid>
        <w:gridCol w:w="2748"/>
        <w:gridCol w:w="6314"/>
      </w:tblGrid>
      <w:tr w:rsidR="0077031F" w:rsidRPr="00110D6C" w14:paraId="7DA7DE72" w14:textId="77777777" w:rsidTr="00030085">
        <w:tc>
          <w:tcPr>
            <w:tcW w:w="1516" w:type="pct"/>
            <w:tcBorders>
              <w:top w:val="single" w:sz="4" w:space="0" w:color="auto"/>
              <w:left w:val="single" w:sz="4" w:space="0" w:color="auto"/>
            </w:tcBorders>
            <w:shd w:val="clear" w:color="auto" w:fill="auto"/>
          </w:tcPr>
          <w:p w14:paraId="5A915603" w14:textId="77777777" w:rsidR="0077031F" w:rsidRPr="00110D6C" w:rsidRDefault="00030085" w:rsidP="00A17623">
            <w:pPr>
              <w:keepNext/>
              <w:keepLines/>
              <w:widowControl/>
              <w:rPr>
                <w:rFonts w:cs="Times New Roman"/>
                <w:color w:val="auto"/>
                <w:szCs w:val="22"/>
                <w:lang w:val="pt-PT"/>
              </w:rPr>
            </w:pPr>
            <w:r w:rsidRPr="00110D6C">
              <w:rPr>
                <w:rFonts w:cs="Times New Roman"/>
                <w:b/>
                <w:bCs/>
                <w:color w:val="auto"/>
                <w:szCs w:val="22"/>
                <w:lang w:val="pt-PT"/>
              </w:rPr>
              <w:t>Classe de Sistemas de Órgãos</w:t>
            </w:r>
          </w:p>
        </w:tc>
        <w:tc>
          <w:tcPr>
            <w:tcW w:w="3484" w:type="pct"/>
            <w:tcBorders>
              <w:top w:val="single" w:sz="4" w:space="0" w:color="auto"/>
              <w:right w:val="single" w:sz="4" w:space="0" w:color="auto"/>
            </w:tcBorders>
            <w:shd w:val="clear" w:color="auto" w:fill="auto"/>
          </w:tcPr>
          <w:p w14:paraId="149D9D4A" w14:textId="77777777" w:rsidR="0077031F" w:rsidRPr="00110D6C" w:rsidRDefault="00030085" w:rsidP="00A17623">
            <w:pPr>
              <w:keepNext/>
              <w:keepLines/>
              <w:widowControl/>
              <w:rPr>
                <w:rFonts w:cs="Times New Roman"/>
                <w:color w:val="auto"/>
                <w:szCs w:val="22"/>
                <w:lang w:val="pt-PT"/>
              </w:rPr>
            </w:pPr>
            <w:r w:rsidRPr="00110D6C">
              <w:rPr>
                <w:rFonts w:cs="Times New Roman"/>
                <w:b/>
                <w:bCs/>
                <w:color w:val="auto"/>
                <w:szCs w:val="22"/>
                <w:lang w:val="pt-PT"/>
              </w:rPr>
              <w:t>Frequência: Reação adversa</w:t>
            </w:r>
          </w:p>
        </w:tc>
      </w:tr>
      <w:tr w:rsidR="0077031F" w:rsidRPr="00110D6C" w14:paraId="57317FBC" w14:textId="77777777" w:rsidTr="00030085">
        <w:tc>
          <w:tcPr>
            <w:tcW w:w="1516" w:type="pct"/>
            <w:tcBorders>
              <w:top w:val="single" w:sz="4" w:space="0" w:color="auto"/>
              <w:left w:val="single" w:sz="4" w:space="0" w:color="auto"/>
            </w:tcBorders>
            <w:shd w:val="clear" w:color="auto" w:fill="auto"/>
          </w:tcPr>
          <w:p w14:paraId="2C0DAEF4"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Infeções e infestações</w:t>
            </w:r>
          </w:p>
        </w:tc>
        <w:tc>
          <w:tcPr>
            <w:tcW w:w="3484" w:type="pct"/>
            <w:tcBorders>
              <w:top w:val="single" w:sz="4" w:space="0" w:color="auto"/>
              <w:right w:val="single" w:sz="4" w:space="0" w:color="auto"/>
            </w:tcBorders>
            <w:shd w:val="clear" w:color="auto" w:fill="auto"/>
          </w:tcPr>
          <w:p w14:paraId="23FDA414"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Frequentes: Infeção das vias respiratórias superiores, nasofaringite, sinusite</w:t>
            </w:r>
          </w:p>
          <w:p w14:paraId="548C5A26"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Pouco frequentes: Celulite, infeções dentárias, herpes zoster, infeção das vias respiratórias inferiores, infeção viral do trato respiratório superior, infeção micótica vulvovaginal</w:t>
            </w:r>
          </w:p>
          <w:p w14:paraId="276B3734" w14:textId="77777777" w:rsidR="00030085" w:rsidRPr="00110D6C" w:rsidRDefault="00030085" w:rsidP="00A17623">
            <w:pPr>
              <w:widowControl/>
              <w:rPr>
                <w:rFonts w:cs="Times New Roman"/>
                <w:color w:val="auto"/>
                <w:szCs w:val="22"/>
                <w:lang w:val="pt-PT"/>
              </w:rPr>
            </w:pPr>
          </w:p>
        </w:tc>
      </w:tr>
      <w:tr w:rsidR="0077031F" w:rsidRPr="00110D6C" w14:paraId="51229013" w14:textId="77777777" w:rsidTr="00030085">
        <w:tc>
          <w:tcPr>
            <w:tcW w:w="1516" w:type="pct"/>
            <w:tcBorders>
              <w:top w:val="single" w:sz="4" w:space="0" w:color="auto"/>
              <w:left w:val="single" w:sz="4" w:space="0" w:color="auto"/>
            </w:tcBorders>
            <w:shd w:val="clear" w:color="auto" w:fill="auto"/>
          </w:tcPr>
          <w:p w14:paraId="20FE31D4"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Doenças do sistema imunitário</w:t>
            </w:r>
          </w:p>
        </w:tc>
        <w:tc>
          <w:tcPr>
            <w:tcW w:w="3484" w:type="pct"/>
            <w:tcBorders>
              <w:top w:val="single" w:sz="4" w:space="0" w:color="auto"/>
              <w:right w:val="single" w:sz="4" w:space="0" w:color="auto"/>
            </w:tcBorders>
            <w:shd w:val="clear" w:color="auto" w:fill="auto"/>
          </w:tcPr>
          <w:p w14:paraId="52CA6662"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Pouco frequentes: Reações de hipersensibilidade (incluindo erupção cutânea, urticária)</w:t>
            </w:r>
          </w:p>
          <w:p w14:paraId="39C6ABAC"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Rara: Reações de hipersensibilidade graves (incluindo anafilaxia, angioedema)</w:t>
            </w:r>
          </w:p>
          <w:p w14:paraId="15B4B8CF" w14:textId="77777777" w:rsidR="00030085" w:rsidRPr="00110D6C" w:rsidRDefault="00030085" w:rsidP="00A17623">
            <w:pPr>
              <w:widowControl/>
              <w:rPr>
                <w:rFonts w:cs="Times New Roman"/>
                <w:color w:val="auto"/>
                <w:szCs w:val="22"/>
                <w:lang w:val="pt-PT"/>
              </w:rPr>
            </w:pPr>
          </w:p>
        </w:tc>
      </w:tr>
      <w:tr w:rsidR="0077031F" w:rsidRPr="00110D6C" w14:paraId="34DB4BFC" w14:textId="77777777" w:rsidTr="00030085">
        <w:tc>
          <w:tcPr>
            <w:tcW w:w="1516" w:type="pct"/>
            <w:tcBorders>
              <w:top w:val="single" w:sz="4" w:space="0" w:color="auto"/>
              <w:left w:val="single" w:sz="4" w:space="0" w:color="auto"/>
            </w:tcBorders>
            <w:shd w:val="clear" w:color="auto" w:fill="auto"/>
          </w:tcPr>
          <w:p w14:paraId="35FE0F8E"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Perturbações do foro psiquiátrico</w:t>
            </w:r>
          </w:p>
          <w:p w14:paraId="6EA78E94" w14:textId="77777777" w:rsidR="00030085" w:rsidRPr="00110D6C" w:rsidRDefault="00030085" w:rsidP="00A17623">
            <w:pPr>
              <w:widowControl/>
              <w:rPr>
                <w:rFonts w:cs="Times New Roman"/>
                <w:color w:val="auto"/>
                <w:szCs w:val="22"/>
                <w:lang w:val="pt-PT"/>
              </w:rPr>
            </w:pPr>
          </w:p>
        </w:tc>
        <w:tc>
          <w:tcPr>
            <w:tcW w:w="3484" w:type="pct"/>
            <w:tcBorders>
              <w:top w:val="single" w:sz="4" w:space="0" w:color="auto"/>
              <w:right w:val="single" w:sz="4" w:space="0" w:color="auto"/>
            </w:tcBorders>
            <w:shd w:val="clear" w:color="auto" w:fill="auto"/>
          </w:tcPr>
          <w:p w14:paraId="2D15B55C"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Pouco frequentes: Depressão</w:t>
            </w:r>
          </w:p>
        </w:tc>
      </w:tr>
      <w:tr w:rsidR="0077031F" w:rsidRPr="00110D6C" w14:paraId="71364D58" w14:textId="77777777" w:rsidTr="00030085">
        <w:tc>
          <w:tcPr>
            <w:tcW w:w="1516" w:type="pct"/>
            <w:tcBorders>
              <w:top w:val="single" w:sz="4" w:space="0" w:color="auto"/>
              <w:left w:val="single" w:sz="4" w:space="0" w:color="auto"/>
            </w:tcBorders>
            <w:shd w:val="clear" w:color="auto" w:fill="auto"/>
          </w:tcPr>
          <w:p w14:paraId="5BFED9E9"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Doenças do sistema nervoso</w:t>
            </w:r>
          </w:p>
        </w:tc>
        <w:tc>
          <w:tcPr>
            <w:tcW w:w="3484" w:type="pct"/>
            <w:tcBorders>
              <w:top w:val="single" w:sz="4" w:space="0" w:color="auto"/>
              <w:right w:val="single" w:sz="4" w:space="0" w:color="auto"/>
            </w:tcBorders>
            <w:shd w:val="clear" w:color="auto" w:fill="auto"/>
          </w:tcPr>
          <w:p w14:paraId="5AFAB7E7" w14:textId="77777777" w:rsidR="00030085" w:rsidRPr="00110D6C" w:rsidRDefault="00030085" w:rsidP="00A17623">
            <w:pPr>
              <w:widowControl/>
              <w:rPr>
                <w:rFonts w:cs="Times New Roman"/>
                <w:color w:val="auto"/>
                <w:szCs w:val="22"/>
                <w:lang w:val="pt-PT"/>
              </w:rPr>
            </w:pPr>
            <w:r w:rsidRPr="00110D6C">
              <w:rPr>
                <w:rFonts w:cs="Times New Roman"/>
                <w:color w:val="auto"/>
                <w:szCs w:val="22"/>
                <w:lang w:val="pt-PT"/>
              </w:rPr>
              <w:t>Frequentes: Tonturas, cefaleias</w:t>
            </w:r>
          </w:p>
          <w:p w14:paraId="5F6E0736"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Pouco frequentes: Paralisia facial</w:t>
            </w:r>
          </w:p>
          <w:p w14:paraId="1B178AD8" w14:textId="77777777" w:rsidR="00030085" w:rsidRPr="00110D6C" w:rsidRDefault="00030085" w:rsidP="00A17623">
            <w:pPr>
              <w:widowControl/>
              <w:rPr>
                <w:rFonts w:cs="Times New Roman"/>
                <w:color w:val="auto"/>
                <w:szCs w:val="22"/>
                <w:lang w:val="pt-PT"/>
              </w:rPr>
            </w:pPr>
          </w:p>
        </w:tc>
      </w:tr>
      <w:tr w:rsidR="0077031F" w:rsidRPr="00110D6C" w14:paraId="34D8C7FD" w14:textId="77777777" w:rsidTr="00030085">
        <w:tc>
          <w:tcPr>
            <w:tcW w:w="1516" w:type="pct"/>
            <w:tcBorders>
              <w:top w:val="single" w:sz="4" w:space="0" w:color="auto"/>
              <w:left w:val="single" w:sz="4" w:space="0" w:color="auto"/>
            </w:tcBorders>
            <w:shd w:val="clear" w:color="auto" w:fill="auto"/>
          </w:tcPr>
          <w:p w14:paraId="4B4210BE"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Doenças respiratórias, torácicas e do mediastino</w:t>
            </w:r>
          </w:p>
        </w:tc>
        <w:tc>
          <w:tcPr>
            <w:tcW w:w="3484" w:type="pct"/>
            <w:tcBorders>
              <w:top w:val="single" w:sz="4" w:space="0" w:color="auto"/>
              <w:right w:val="single" w:sz="4" w:space="0" w:color="auto"/>
            </w:tcBorders>
            <w:shd w:val="clear" w:color="auto" w:fill="auto"/>
          </w:tcPr>
          <w:p w14:paraId="408938E4"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Frequentes: Dor orofaríngea</w:t>
            </w:r>
          </w:p>
          <w:p w14:paraId="6B5863EF"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Pouco frequentes: Congestão nasal</w:t>
            </w:r>
          </w:p>
          <w:p w14:paraId="38FEB140"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Raros: Alveolite alérgica, pneumonia eosinofílica</w:t>
            </w:r>
          </w:p>
          <w:p w14:paraId="1DE2AD9B"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Muito raros: Pneumonia em organização*</w:t>
            </w:r>
          </w:p>
          <w:p w14:paraId="1C2AE67B" w14:textId="77777777" w:rsidR="00030085" w:rsidRPr="00110D6C" w:rsidRDefault="00030085" w:rsidP="00A17623">
            <w:pPr>
              <w:widowControl/>
              <w:rPr>
                <w:rFonts w:cs="Times New Roman"/>
                <w:color w:val="auto"/>
                <w:szCs w:val="22"/>
                <w:lang w:val="pt-PT"/>
              </w:rPr>
            </w:pPr>
          </w:p>
        </w:tc>
      </w:tr>
      <w:tr w:rsidR="0077031F" w:rsidRPr="00110D6C" w14:paraId="218B0662" w14:textId="77777777" w:rsidTr="00030085">
        <w:tc>
          <w:tcPr>
            <w:tcW w:w="1516" w:type="pct"/>
            <w:tcBorders>
              <w:top w:val="single" w:sz="4" w:space="0" w:color="auto"/>
              <w:left w:val="single" w:sz="4" w:space="0" w:color="auto"/>
            </w:tcBorders>
            <w:shd w:val="clear" w:color="auto" w:fill="auto"/>
          </w:tcPr>
          <w:p w14:paraId="7B7CFD70"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Doenças gastrointestinais</w:t>
            </w:r>
          </w:p>
        </w:tc>
        <w:tc>
          <w:tcPr>
            <w:tcW w:w="3484" w:type="pct"/>
            <w:tcBorders>
              <w:top w:val="single" w:sz="4" w:space="0" w:color="auto"/>
              <w:right w:val="single" w:sz="4" w:space="0" w:color="auto"/>
            </w:tcBorders>
            <w:shd w:val="clear" w:color="auto" w:fill="auto"/>
          </w:tcPr>
          <w:p w14:paraId="0513AB4D"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Frequentes: Diarreia, náuseas, vómito</w:t>
            </w:r>
          </w:p>
          <w:p w14:paraId="5E9F54F4" w14:textId="77777777" w:rsidR="00030085" w:rsidRPr="00110D6C" w:rsidRDefault="00030085" w:rsidP="00A17623">
            <w:pPr>
              <w:widowControl/>
              <w:rPr>
                <w:rFonts w:cs="Times New Roman"/>
                <w:color w:val="auto"/>
                <w:szCs w:val="22"/>
                <w:lang w:val="pt-PT"/>
              </w:rPr>
            </w:pPr>
          </w:p>
        </w:tc>
      </w:tr>
      <w:tr w:rsidR="0077031F" w:rsidRPr="00110D6C" w14:paraId="0B33FD4B" w14:textId="77777777" w:rsidTr="00030085">
        <w:tc>
          <w:tcPr>
            <w:tcW w:w="1516" w:type="pct"/>
            <w:tcBorders>
              <w:top w:val="single" w:sz="4" w:space="0" w:color="auto"/>
              <w:left w:val="single" w:sz="4" w:space="0" w:color="auto"/>
            </w:tcBorders>
            <w:shd w:val="clear" w:color="auto" w:fill="auto"/>
          </w:tcPr>
          <w:p w14:paraId="6D80AD19"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Afeções dos tecidos cutâneos e subcutâneos</w:t>
            </w:r>
          </w:p>
        </w:tc>
        <w:tc>
          <w:tcPr>
            <w:tcW w:w="3484" w:type="pct"/>
            <w:tcBorders>
              <w:top w:val="single" w:sz="4" w:space="0" w:color="auto"/>
              <w:right w:val="single" w:sz="4" w:space="0" w:color="auto"/>
            </w:tcBorders>
            <w:shd w:val="clear" w:color="auto" w:fill="auto"/>
          </w:tcPr>
          <w:p w14:paraId="7C7D8D91"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Frequentes: Prurido</w:t>
            </w:r>
          </w:p>
          <w:p w14:paraId="77ACECAF"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Pouco frequentes: Psoríase pustular, exfoliação cutânea, acne Raros: Dermatite exfoliativa, vasculite de hipersensibilidade</w:t>
            </w:r>
          </w:p>
          <w:p w14:paraId="4000DCE7"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Muito raros: Penfigóide bolhoso, lúpus eritematoso cutâneo</w:t>
            </w:r>
          </w:p>
          <w:p w14:paraId="7C274FF9" w14:textId="77777777" w:rsidR="00030085" w:rsidRPr="00110D6C" w:rsidRDefault="00030085" w:rsidP="00A17623">
            <w:pPr>
              <w:widowControl/>
              <w:rPr>
                <w:rFonts w:cs="Times New Roman"/>
                <w:color w:val="auto"/>
                <w:szCs w:val="22"/>
                <w:lang w:val="pt-PT"/>
              </w:rPr>
            </w:pPr>
          </w:p>
        </w:tc>
      </w:tr>
      <w:tr w:rsidR="0077031F" w:rsidRPr="00110D6C" w14:paraId="281568CA" w14:textId="77777777" w:rsidTr="00030085">
        <w:tc>
          <w:tcPr>
            <w:tcW w:w="1516" w:type="pct"/>
            <w:tcBorders>
              <w:top w:val="single" w:sz="4" w:space="0" w:color="auto"/>
              <w:left w:val="single" w:sz="4" w:space="0" w:color="auto"/>
            </w:tcBorders>
            <w:shd w:val="clear" w:color="auto" w:fill="auto"/>
          </w:tcPr>
          <w:p w14:paraId="6488E735"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Afeções musculosqueléticas e dos tecidos conjuntivos</w:t>
            </w:r>
          </w:p>
          <w:p w14:paraId="731AC899" w14:textId="77777777" w:rsidR="00030085" w:rsidRPr="00110D6C" w:rsidRDefault="00030085" w:rsidP="00A17623">
            <w:pPr>
              <w:widowControl/>
              <w:rPr>
                <w:rFonts w:cs="Times New Roman"/>
                <w:color w:val="auto"/>
                <w:szCs w:val="22"/>
                <w:lang w:val="pt-PT"/>
              </w:rPr>
            </w:pPr>
          </w:p>
        </w:tc>
        <w:tc>
          <w:tcPr>
            <w:tcW w:w="3484" w:type="pct"/>
            <w:tcBorders>
              <w:top w:val="single" w:sz="4" w:space="0" w:color="auto"/>
              <w:right w:val="single" w:sz="4" w:space="0" w:color="auto"/>
            </w:tcBorders>
            <w:shd w:val="clear" w:color="auto" w:fill="auto"/>
          </w:tcPr>
          <w:p w14:paraId="658E8872"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Frequentes: Dorsalgia, mialgia, artralgia Muito raros: Síndrome do tipo lúpus</w:t>
            </w:r>
          </w:p>
        </w:tc>
      </w:tr>
      <w:tr w:rsidR="0077031F" w:rsidRPr="00110D6C" w14:paraId="21D8A04A" w14:textId="77777777" w:rsidTr="00030085">
        <w:tc>
          <w:tcPr>
            <w:tcW w:w="1516" w:type="pct"/>
            <w:tcBorders>
              <w:top w:val="single" w:sz="4" w:space="0" w:color="auto"/>
              <w:left w:val="single" w:sz="4" w:space="0" w:color="auto"/>
              <w:bottom w:val="single" w:sz="4" w:space="0" w:color="auto"/>
            </w:tcBorders>
            <w:shd w:val="clear" w:color="auto" w:fill="auto"/>
          </w:tcPr>
          <w:p w14:paraId="5861CC06"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Perturbações gerais e alterações no local de administração</w:t>
            </w:r>
          </w:p>
          <w:p w14:paraId="3ADCD653" w14:textId="77777777" w:rsidR="00030085" w:rsidRPr="00110D6C" w:rsidRDefault="00030085" w:rsidP="00A17623">
            <w:pPr>
              <w:widowControl/>
              <w:rPr>
                <w:rFonts w:cs="Times New Roman"/>
                <w:color w:val="auto"/>
                <w:szCs w:val="22"/>
                <w:lang w:val="pt-PT"/>
              </w:rPr>
            </w:pPr>
          </w:p>
        </w:tc>
        <w:tc>
          <w:tcPr>
            <w:tcW w:w="3484" w:type="pct"/>
            <w:tcBorders>
              <w:top w:val="single" w:sz="4" w:space="0" w:color="auto"/>
              <w:bottom w:val="single" w:sz="4" w:space="0" w:color="auto"/>
              <w:right w:val="single" w:sz="4" w:space="0" w:color="auto"/>
            </w:tcBorders>
            <w:shd w:val="clear" w:color="auto" w:fill="auto"/>
          </w:tcPr>
          <w:p w14:paraId="45170751"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Frequentes: Fadiga, eritema no local de injeção, dor no local da injeção</w:t>
            </w:r>
          </w:p>
          <w:p w14:paraId="1F808E1D"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Pouco frequentes: Reações no local de injeção (incluindo hemorragia, hematoma, induração, edema e prurido), astenia</w:t>
            </w:r>
          </w:p>
        </w:tc>
      </w:tr>
    </w:tbl>
    <w:p w14:paraId="0E8A01BD" w14:textId="77777777" w:rsidR="0077031F" w:rsidRPr="00110D6C" w:rsidRDefault="00030085" w:rsidP="00A17623">
      <w:pPr>
        <w:widowControl/>
        <w:ind w:left="284" w:hanging="284"/>
        <w:rPr>
          <w:rFonts w:cs="Times New Roman"/>
          <w:color w:val="auto"/>
          <w:sz w:val="20"/>
          <w:szCs w:val="22"/>
          <w:lang w:val="pt-PT"/>
        </w:rPr>
      </w:pPr>
      <w:r w:rsidRPr="00110D6C">
        <w:rPr>
          <w:rFonts w:cs="Times New Roman"/>
          <w:color w:val="auto"/>
          <w:sz w:val="20"/>
          <w:szCs w:val="22"/>
          <w:vertAlign w:val="superscript"/>
          <w:lang w:val="pt-PT"/>
        </w:rPr>
        <w:t>*</w:t>
      </w:r>
      <w:r w:rsidRPr="00110D6C">
        <w:rPr>
          <w:rFonts w:cs="Times New Roman"/>
          <w:color w:val="auto"/>
          <w:sz w:val="20"/>
          <w:szCs w:val="22"/>
          <w:lang w:val="pt-PT"/>
        </w:rPr>
        <w:tab/>
        <w:t>Ver</w:t>
      </w:r>
      <w:r w:rsidR="006A79E5" w:rsidRPr="00110D6C">
        <w:rPr>
          <w:rFonts w:cs="Times New Roman"/>
          <w:color w:val="auto"/>
          <w:sz w:val="20"/>
          <w:szCs w:val="22"/>
          <w:lang w:val="pt-PT"/>
        </w:rPr>
        <w:t> </w:t>
      </w:r>
      <w:r w:rsidRPr="00110D6C">
        <w:rPr>
          <w:rFonts w:cs="Times New Roman"/>
          <w:color w:val="auto"/>
          <w:sz w:val="20"/>
          <w:szCs w:val="22"/>
          <w:lang w:val="pt-PT"/>
        </w:rPr>
        <w:t>secção</w:t>
      </w:r>
      <w:r w:rsidR="006A79E5" w:rsidRPr="00110D6C">
        <w:rPr>
          <w:rFonts w:cs="Times New Roman"/>
          <w:color w:val="auto"/>
          <w:sz w:val="20"/>
          <w:szCs w:val="22"/>
          <w:lang w:val="pt-PT"/>
        </w:rPr>
        <w:t> </w:t>
      </w:r>
      <w:r w:rsidRPr="00110D6C">
        <w:rPr>
          <w:rFonts w:cs="Times New Roman"/>
          <w:color w:val="auto"/>
          <w:sz w:val="20"/>
          <w:szCs w:val="22"/>
          <w:lang w:val="pt-PT"/>
        </w:rPr>
        <w:t>4.4. Reações de hipersensibilidade sistémica e respiratória.</w:t>
      </w:r>
    </w:p>
    <w:p w14:paraId="5F7174BE" w14:textId="77777777" w:rsidR="00030085" w:rsidRPr="00110D6C" w:rsidRDefault="00030085" w:rsidP="00A17623">
      <w:pPr>
        <w:widowControl/>
        <w:rPr>
          <w:rFonts w:cs="Times New Roman"/>
          <w:color w:val="auto"/>
          <w:szCs w:val="22"/>
          <w:lang w:val="pt-PT"/>
        </w:rPr>
      </w:pPr>
    </w:p>
    <w:p w14:paraId="1E9888FF"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Descrição de reações adversas selecionadas</w:t>
      </w:r>
    </w:p>
    <w:p w14:paraId="5CCC6EA9" w14:textId="77777777" w:rsidR="00030085" w:rsidRPr="00110D6C" w:rsidRDefault="00030085" w:rsidP="00A17623">
      <w:pPr>
        <w:widowControl/>
        <w:rPr>
          <w:rFonts w:cs="Times New Roman"/>
          <w:color w:val="auto"/>
          <w:szCs w:val="22"/>
          <w:lang w:val="pt-PT"/>
        </w:rPr>
      </w:pPr>
    </w:p>
    <w:p w14:paraId="29BE22EF"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Infeções</w:t>
      </w:r>
    </w:p>
    <w:p w14:paraId="7E4F06FC"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lastRenderedPageBreak/>
        <w:t>Em estudos controlados por placebo em doentes com psoríase, artrite psoriática, doença de Crohn e colite ulcerosa, as taxas de infeção ou de infeção grave foram semelhantes entre os doentes tratados com ustecinumab e os doentes tratados com placebo. Na fase controlada por placebo destes estudos clínicos, a taxa de infeção foi de 1,3</w:t>
      </w:r>
      <w:r w:rsidR="00B910F9" w:rsidRPr="00110D6C">
        <w:rPr>
          <w:rFonts w:cs="Times New Roman"/>
          <w:color w:val="auto"/>
          <w:szCs w:val="22"/>
          <w:lang w:val="pt-PT"/>
        </w:rPr>
        <w:t>6 </w:t>
      </w:r>
      <w:r w:rsidRPr="00110D6C">
        <w:rPr>
          <w:rFonts w:cs="Times New Roman"/>
          <w:color w:val="auto"/>
          <w:szCs w:val="22"/>
          <w:lang w:val="pt-PT"/>
        </w:rPr>
        <w:t>por doente-ano de seguimento nos doentes tratados com ustecinumab, e de 1,3</w:t>
      </w:r>
      <w:r w:rsidR="00B910F9" w:rsidRPr="00110D6C">
        <w:rPr>
          <w:rFonts w:cs="Times New Roman"/>
          <w:color w:val="auto"/>
          <w:szCs w:val="22"/>
          <w:lang w:val="pt-PT"/>
        </w:rPr>
        <w:t>4 </w:t>
      </w:r>
      <w:r w:rsidRPr="00110D6C">
        <w:rPr>
          <w:rFonts w:cs="Times New Roman"/>
          <w:color w:val="auto"/>
          <w:szCs w:val="22"/>
          <w:lang w:val="pt-PT"/>
        </w:rPr>
        <w:t>nos doentes tratados com placebo. As infeções graves ocorreram numa taxa de 0,0</w:t>
      </w:r>
      <w:r w:rsidR="00B910F9" w:rsidRPr="00110D6C">
        <w:rPr>
          <w:rFonts w:cs="Times New Roman"/>
          <w:color w:val="auto"/>
          <w:szCs w:val="22"/>
          <w:lang w:val="pt-PT"/>
        </w:rPr>
        <w:t>3 </w:t>
      </w:r>
      <w:r w:rsidRPr="00110D6C">
        <w:rPr>
          <w:rFonts w:cs="Times New Roman"/>
          <w:color w:val="auto"/>
          <w:szCs w:val="22"/>
          <w:lang w:val="pt-PT"/>
        </w:rPr>
        <w:t>por doente-ano de seguimento nos doentes tratados com ustecinumab (3</w:t>
      </w:r>
      <w:r w:rsidR="00B910F9" w:rsidRPr="00110D6C">
        <w:rPr>
          <w:rFonts w:cs="Times New Roman"/>
          <w:color w:val="auto"/>
          <w:szCs w:val="22"/>
          <w:lang w:val="pt-PT"/>
        </w:rPr>
        <w:t>0 </w:t>
      </w:r>
      <w:r w:rsidRPr="00110D6C">
        <w:rPr>
          <w:rFonts w:cs="Times New Roman"/>
          <w:color w:val="auto"/>
          <w:szCs w:val="22"/>
          <w:lang w:val="pt-PT"/>
        </w:rPr>
        <w:t>infeções graves em 93</w:t>
      </w:r>
      <w:r w:rsidR="00B910F9" w:rsidRPr="00110D6C">
        <w:rPr>
          <w:rFonts w:cs="Times New Roman"/>
          <w:color w:val="auto"/>
          <w:szCs w:val="22"/>
          <w:lang w:val="pt-PT"/>
        </w:rPr>
        <w:t>0 </w:t>
      </w:r>
      <w:r w:rsidRPr="00110D6C">
        <w:rPr>
          <w:rFonts w:cs="Times New Roman"/>
          <w:color w:val="auto"/>
          <w:szCs w:val="22"/>
          <w:lang w:val="pt-PT"/>
        </w:rPr>
        <w:t>doente-anos de seguimento) e de 0,0</w:t>
      </w:r>
      <w:r w:rsidR="00B910F9" w:rsidRPr="00110D6C">
        <w:rPr>
          <w:rFonts w:cs="Times New Roman"/>
          <w:color w:val="auto"/>
          <w:szCs w:val="22"/>
          <w:lang w:val="pt-PT"/>
        </w:rPr>
        <w:t>3 </w:t>
      </w:r>
      <w:r w:rsidRPr="00110D6C">
        <w:rPr>
          <w:rFonts w:cs="Times New Roman"/>
          <w:color w:val="auto"/>
          <w:szCs w:val="22"/>
          <w:lang w:val="pt-PT"/>
        </w:rPr>
        <w:t>nos doentes tratados com placebo (1</w:t>
      </w:r>
      <w:r w:rsidR="00B910F9" w:rsidRPr="00110D6C">
        <w:rPr>
          <w:rFonts w:cs="Times New Roman"/>
          <w:color w:val="auto"/>
          <w:szCs w:val="22"/>
          <w:lang w:val="pt-PT"/>
        </w:rPr>
        <w:t>5 </w:t>
      </w:r>
      <w:r w:rsidRPr="00110D6C">
        <w:rPr>
          <w:rFonts w:cs="Times New Roman"/>
          <w:color w:val="auto"/>
          <w:szCs w:val="22"/>
          <w:lang w:val="pt-PT"/>
        </w:rPr>
        <w:t>infeções graves em 43</w:t>
      </w:r>
      <w:r w:rsidR="00B910F9" w:rsidRPr="00110D6C">
        <w:rPr>
          <w:rFonts w:cs="Times New Roman"/>
          <w:color w:val="auto"/>
          <w:szCs w:val="22"/>
          <w:lang w:val="pt-PT"/>
        </w:rPr>
        <w:t>4 </w:t>
      </w:r>
      <w:r w:rsidRPr="00110D6C">
        <w:rPr>
          <w:rFonts w:cs="Times New Roman"/>
          <w:color w:val="auto"/>
          <w:szCs w:val="22"/>
          <w:lang w:val="pt-PT"/>
        </w:rPr>
        <w:t>doente-anos de seguimento)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4.4).</w:t>
      </w:r>
    </w:p>
    <w:p w14:paraId="38CBDB6C" w14:textId="77777777" w:rsidR="00030085" w:rsidRPr="00110D6C" w:rsidRDefault="00030085" w:rsidP="00A17623">
      <w:pPr>
        <w:widowControl/>
        <w:rPr>
          <w:rFonts w:cs="Times New Roman"/>
          <w:color w:val="auto"/>
          <w:szCs w:val="22"/>
          <w:lang w:val="pt-PT"/>
        </w:rPr>
      </w:pPr>
    </w:p>
    <w:p w14:paraId="7FAD8B08" w14:textId="15E26A2E" w:rsidR="0077031F" w:rsidRPr="00110D6C" w:rsidRDefault="00030085" w:rsidP="00A17623">
      <w:pPr>
        <w:widowControl/>
        <w:rPr>
          <w:rFonts w:cs="Times New Roman"/>
          <w:color w:val="auto"/>
          <w:szCs w:val="22"/>
          <w:lang w:val="pt-PT"/>
        </w:rPr>
      </w:pPr>
      <w:r w:rsidRPr="00110D6C">
        <w:rPr>
          <w:rFonts w:cs="Times New Roman"/>
          <w:color w:val="auto"/>
          <w:szCs w:val="22"/>
          <w:lang w:val="pt-PT"/>
        </w:rPr>
        <w:t>Nas fases controladas e não controladas dos estudos clínicos na psoríase, na artrite psoriática, na doença de Crohn e colite ulcerosa, representando 1</w:t>
      </w:r>
      <w:r w:rsidR="00E82752">
        <w:rPr>
          <w:rFonts w:cs="Times New Roman"/>
          <w:color w:val="auto"/>
          <w:szCs w:val="22"/>
          <w:lang w:val="pt-PT"/>
        </w:rPr>
        <w:t>5 227</w:t>
      </w:r>
      <w:r w:rsidR="00B910F9" w:rsidRPr="00110D6C">
        <w:rPr>
          <w:rFonts w:cs="Times New Roman"/>
          <w:color w:val="auto"/>
          <w:szCs w:val="22"/>
          <w:lang w:val="pt-PT"/>
        </w:rPr>
        <w:t> </w:t>
      </w:r>
      <w:r w:rsidRPr="00110D6C">
        <w:rPr>
          <w:rFonts w:cs="Times New Roman"/>
          <w:color w:val="auto"/>
          <w:szCs w:val="22"/>
          <w:lang w:val="pt-PT"/>
        </w:rPr>
        <w:t xml:space="preserve">doente-anos de exposição </w:t>
      </w:r>
      <w:r w:rsidR="00E82752">
        <w:rPr>
          <w:bCs/>
          <w:szCs w:val="22"/>
        </w:rPr>
        <w:t xml:space="preserve">a ustecinumab </w:t>
      </w:r>
      <w:r w:rsidRPr="00110D6C">
        <w:rPr>
          <w:rFonts w:cs="Times New Roman"/>
          <w:color w:val="auto"/>
          <w:szCs w:val="22"/>
          <w:lang w:val="pt-PT"/>
        </w:rPr>
        <w:t>em 67</w:t>
      </w:r>
      <w:r w:rsidR="00E82752">
        <w:rPr>
          <w:rFonts w:cs="Times New Roman"/>
          <w:color w:val="auto"/>
          <w:szCs w:val="22"/>
          <w:lang w:val="pt-PT"/>
        </w:rPr>
        <w:t>1</w:t>
      </w:r>
      <w:r w:rsidRPr="00110D6C">
        <w:rPr>
          <w:rFonts w:cs="Times New Roman"/>
          <w:color w:val="auto"/>
          <w:szCs w:val="22"/>
          <w:lang w:val="pt-PT"/>
        </w:rPr>
        <w:t>0</w:t>
      </w:r>
      <w:r w:rsidR="00B910F9" w:rsidRPr="00110D6C">
        <w:rPr>
          <w:rFonts w:cs="Times New Roman"/>
          <w:color w:val="auto"/>
          <w:szCs w:val="22"/>
          <w:lang w:val="pt-PT"/>
        </w:rPr>
        <w:t> </w:t>
      </w:r>
      <w:r w:rsidRPr="00110D6C">
        <w:rPr>
          <w:rFonts w:cs="Times New Roman"/>
          <w:color w:val="auto"/>
          <w:szCs w:val="22"/>
          <w:lang w:val="pt-PT"/>
        </w:rPr>
        <w:t>doentes, a mediana de seguimento foi de 1,</w:t>
      </w:r>
      <w:r w:rsidR="00E82752">
        <w:rPr>
          <w:rFonts w:cs="Times New Roman"/>
          <w:color w:val="auto"/>
          <w:szCs w:val="22"/>
          <w:lang w:val="pt-PT"/>
        </w:rPr>
        <w:t>2</w:t>
      </w:r>
      <w:r w:rsidR="00B910F9" w:rsidRPr="00110D6C">
        <w:rPr>
          <w:rFonts w:cs="Times New Roman"/>
          <w:color w:val="auto"/>
          <w:szCs w:val="22"/>
          <w:lang w:val="pt-PT"/>
        </w:rPr>
        <w:t> </w:t>
      </w:r>
      <w:r w:rsidRPr="00110D6C">
        <w:rPr>
          <w:rFonts w:cs="Times New Roman"/>
          <w:color w:val="auto"/>
          <w:szCs w:val="22"/>
          <w:lang w:val="pt-PT"/>
        </w:rPr>
        <w:t>anos; 1,</w:t>
      </w:r>
      <w:r w:rsidR="00E82752">
        <w:rPr>
          <w:rFonts w:cs="Times New Roman"/>
          <w:color w:val="auto"/>
          <w:szCs w:val="22"/>
          <w:lang w:val="pt-PT"/>
        </w:rPr>
        <w:t>7</w:t>
      </w:r>
      <w:r w:rsidR="00B910F9" w:rsidRPr="00110D6C">
        <w:rPr>
          <w:rFonts w:cs="Times New Roman"/>
          <w:color w:val="auto"/>
          <w:szCs w:val="22"/>
          <w:lang w:val="pt-PT"/>
        </w:rPr>
        <w:t> </w:t>
      </w:r>
      <w:r w:rsidRPr="00110D6C">
        <w:rPr>
          <w:rFonts w:cs="Times New Roman"/>
          <w:color w:val="auto"/>
          <w:szCs w:val="22"/>
          <w:lang w:val="pt-PT"/>
        </w:rPr>
        <w:t>anos para estudos na doença psoriática, 0,</w:t>
      </w:r>
      <w:r w:rsidR="00B910F9" w:rsidRPr="00110D6C">
        <w:rPr>
          <w:rFonts w:cs="Times New Roman"/>
          <w:color w:val="auto"/>
          <w:szCs w:val="22"/>
          <w:lang w:val="pt-PT"/>
        </w:rPr>
        <w:t>6 </w:t>
      </w:r>
      <w:r w:rsidRPr="00110D6C">
        <w:rPr>
          <w:rFonts w:cs="Times New Roman"/>
          <w:color w:val="auto"/>
          <w:szCs w:val="22"/>
          <w:lang w:val="pt-PT"/>
        </w:rPr>
        <w:t xml:space="preserve">anos para estudos na doença de Crohn e </w:t>
      </w:r>
      <w:r w:rsidR="00E82752">
        <w:rPr>
          <w:rFonts w:cs="Times New Roman"/>
          <w:color w:val="auto"/>
          <w:szCs w:val="22"/>
          <w:lang w:val="pt-PT"/>
        </w:rPr>
        <w:t>2,3</w:t>
      </w:r>
      <w:r w:rsidR="00B910F9" w:rsidRPr="00110D6C">
        <w:rPr>
          <w:rFonts w:cs="Times New Roman"/>
          <w:color w:val="auto"/>
          <w:szCs w:val="22"/>
          <w:lang w:val="pt-PT"/>
        </w:rPr>
        <w:t> </w:t>
      </w:r>
      <w:r w:rsidRPr="00110D6C">
        <w:rPr>
          <w:rFonts w:cs="Times New Roman"/>
          <w:color w:val="auto"/>
          <w:szCs w:val="22"/>
          <w:lang w:val="pt-PT"/>
        </w:rPr>
        <w:t>anos para estudos na colite ulcerosa. A taxa de infeção foi de 0,</w:t>
      </w:r>
      <w:r w:rsidR="00E82752">
        <w:rPr>
          <w:rFonts w:cs="Times New Roman"/>
          <w:color w:val="auto"/>
          <w:szCs w:val="22"/>
          <w:lang w:val="pt-PT"/>
        </w:rPr>
        <w:t>85</w:t>
      </w:r>
      <w:r w:rsidR="00B910F9" w:rsidRPr="00110D6C">
        <w:rPr>
          <w:rFonts w:cs="Times New Roman"/>
          <w:color w:val="auto"/>
          <w:szCs w:val="22"/>
          <w:lang w:val="pt-PT"/>
        </w:rPr>
        <w:t> </w:t>
      </w:r>
      <w:r w:rsidRPr="00110D6C">
        <w:rPr>
          <w:rFonts w:cs="Times New Roman"/>
          <w:color w:val="auto"/>
          <w:szCs w:val="22"/>
          <w:lang w:val="pt-PT"/>
        </w:rPr>
        <w:t>por doente-ano de seguimento nos doentes tratados com ustecinumab, e a taxa de infeções graves foi de 0,0</w:t>
      </w:r>
      <w:r w:rsidR="00B910F9" w:rsidRPr="00110D6C">
        <w:rPr>
          <w:rFonts w:cs="Times New Roman"/>
          <w:color w:val="auto"/>
          <w:szCs w:val="22"/>
          <w:lang w:val="pt-PT"/>
        </w:rPr>
        <w:t>2 </w:t>
      </w:r>
      <w:r w:rsidRPr="00110D6C">
        <w:rPr>
          <w:rFonts w:cs="Times New Roman"/>
          <w:color w:val="auto"/>
          <w:szCs w:val="22"/>
          <w:lang w:val="pt-PT"/>
        </w:rPr>
        <w:t>por doente-ano de seguimento nos doentes tratados com ustecinumab (</w:t>
      </w:r>
      <w:r w:rsidR="00E82752">
        <w:rPr>
          <w:rFonts w:cs="Times New Roman"/>
          <w:color w:val="auto"/>
          <w:szCs w:val="22"/>
          <w:lang w:val="pt-PT"/>
        </w:rPr>
        <w:t>28</w:t>
      </w:r>
      <w:r w:rsidR="00B910F9" w:rsidRPr="00110D6C">
        <w:rPr>
          <w:rFonts w:cs="Times New Roman"/>
          <w:color w:val="auto"/>
          <w:szCs w:val="22"/>
          <w:lang w:val="pt-PT"/>
        </w:rPr>
        <w:t>9 </w:t>
      </w:r>
      <w:r w:rsidRPr="00110D6C">
        <w:rPr>
          <w:rFonts w:cs="Times New Roman"/>
          <w:color w:val="auto"/>
          <w:szCs w:val="22"/>
          <w:lang w:val="pt-PT"/>
        </w:rPr>
        <w:t>infeções graves em 1</w:t>
      </w:r>
      <w:r w:rsidR="00E82752">
        <w:rPr>
          <w:rFonts w:cs="Times New Roman"/>
          <w:color w:val="auto"/>
          <w:szCs w:val="22"/>
          <w:lang w:val="pt-PT"/>
        </w:rPr>
        <w:t>5 227</w:t>
      </w:r>
      <w:r w:rsidR="00B910F9" w:rsidRPr="00110D6C">
        <w:rPr>
          <w:rFonts w:cs="Times New Roman"/>
          <w:color w:val="auto"/>
          <w:szCs w:val="22"/>
          <w:lang w:val="pt-PT"/>
        </w:rPr>
        <w:t> </w:t>
      </w:r>
      <w:r w:rsidRPr="00110D6C">
        <w:rPr>
          <w:rFonts w:cs="Times New Roman"/>
          <w:color w:val="auto"/>
          <w:szCs w:val="22"/>
          <w:lang w:val="pt-PT"/>
        </w:rPr>
        <w:t>doente-anos de seguimento) e as infeções graves notificadas incluíram pneumonia, abcesso anal, celulite, diverticulite, gastroenterite e infeções virais.</w:t>
      </w:r>
    </w:p>
    <w:p w14:paraId="3FBBB914" w14:textId="77777777" w:rsidR="00030085" w:rsidRPr="00110D6C" w:rsidRDefault="00030085" w:rsidP="00A17623">
      <w:pPr>
        <w:widowControl/>
        <w:rPr>
          <w:rFonts w:cs="Times New Roman"/>
          <w:color w:val="auto"/>
          <w:szCs w:val="22"/>
          <w:lang w:val="pt-PT"/>
        </w:rPr>
      </w:pPr>
    </w:p>
    <w:p w14:paraId="1FB801D2"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Nos estudos clínicos, os doentes com tuberculose latente que foram tratados concomitantemente com isoniazida não desenvolveram tuberculose.</w:t>
      </w:r>
    </w:p>
    <w:p w14:paraId="712A88B0" w14:textId="77777777" w:rsidR="00030085" w:rsidRPr="00110D6C" w:rsidRDefault="00030085" w:rsidP="00A17623">
      <w:pPr>
        <w:widowControl/>
        <w:rPr>
          <w:rFonts w:cs="Times New Roman"/>
          <w:color w:val="auto"/>
          <w:szCs w:val="22"/>
          <w:lang w:val="pt-PT"/>
        </w:rPr>
      </w:pPr>
    </w:p>
    <w:p w14:paraId="07CAB902"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Doenças malignas</w:t>
      </w:r>
    </w:p>
    <w:p w14:paraId="072838F4"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Na fase controlada por placebo dos estudos clínicos na psoríase, na artrite psoriática, na doença de Crohn e colite ulcerosa, a incidência de doenças malignas, excluindo o cancro de pele não-melanoma, foi de 0,1</w:t>
      </w:r>
      <w:r w:rsidR="00B910F9" w:rsidRPr="00110D6C">
        <w:rPr>
          <w:rFonts w:cs="Times New Roman"/>
          <w:color w:val="auto"/>
          <w:szCs w:val="22"/>
          <w:lang w:val="pt-PT"/>
        </w:rPr>
        <w:t>1 </w:t>
      </w:r>
      <w:r w:rsidRPr="00110D6C">
        <w:rPr>
          <w:rFonts w:cs="Times New Roman"/>
          <w:color w:val="auto"/>
          <w:szCs w:val="22"/>
          <w:lang w:val="pt-PT"/>
        </w:rPr>
        <w:t>por 10</w:t>
      </w:r>
      <w:r w:rsidR="00B910F9" w:rsidRPr="00110D6C">
        <w:rPr>
          <w:rFonts w:cs="Times New Roman"/>
          <w:color w:val="auto"/>
          <w:szCs w:val="22"/>
          <w:lang w:val="pt-PT"/>
        </w:rPr>
        <w:t>0 </w:t>
      </w:r>
      <w:r w:rsidRPr="00110D6C">
        <w:rPr>
          <w:rFonts w:cs="Times New Roman"/>
          <w:color w:val="auto"/>
          <w:szCs w:val="22"/>
          <w:lang w:val="pt-PT"/>
        </w:rPr>
        <w:t>doente-anos de seguimento nos doentes tratados com ustecinumab (</w:t>
      </w:r>
      <w:r w:rsidR="00B910F9" w:rsidRPr="00110D6C">
        <w:rPr>
          <w:rFonts w:cs="Times New Roman"/>
          <w:color w:val="auto"/>
          <w:szCs w:val="22"/>
          <w:lang w:val="pt-PT"/>
        </w:rPr>
        <w:t>1 </w:t>
      </w:r>
      <w:r w:rsidRPr="00110D6C">
        <w:rPr>
          <w:rFonts w:cs="Times New Roman"/>
          <w:color w:val="auto"/>
          <w:szCs w:val="22"/>
          <w:lang w:val="pt-PT"/>
        </w:rPr>
        <w:t>doente em 92</w:t>
      </w:r>
      <w:r w:rsidR="00B910F9" w:rsidRPr="00110D6C">
        <w:rPr>
          <w:rFonts w:cs="Times New Roman"/>
          <w:color w:val="auto"/>
          <w:szCs w:val="22"/>
          <w:lang w:val="pt-PT"/>
        </w:rPr>
        <w:t>9 </w:t>
      </w:r>
      <w:r w:rsidRPr="00110D6C">
        <w:rPr>
          <w:rFonts w:cs="Times New Roman"/>
          <w:color w:val="auto"/>
          <w:szCs w:val="22"/>
          <w:lang w:val="pt-PT"/>
        </w:rPr>
        <w:t>doente-anos de seguimento) em comparação com 0,2</w:t>
      </w:r>
      <w:r w:rsidR="00B910F9" w:rsidRPr="00110D6C">
        <w:rPr>
          <w:rFonts w:cs="Times New Roman"/>
          <w:color w:val="auto"/>
          <w:szCs w:val="22"/>
          <w:lang w:val="pt-PT"/>
        </w:rPr>
        <w:t>3 </w:t>
      </w:r>
      <w:r w:rsidRPr="00110D6C">
        <w:rPr>
          <w:rFonts w:cs="Times New Roman"/>
          <w:color w:val="auto"/>
          <w:szCs w:val="22"/>
          <w:lang w:val="pt-PT"/>
        </w:rPr>
        <w:t>nos doentes tratados com placebo (</w:t>
      </w:r>
      <w:r w:rsidR="00B910F9" w:rsidRPr="00110D6C">
        <w:rPr>
          <w:rFonts w:cs="Times New Roman"/>
          <w:color w:val="auto"/>
          <w:szCs w:val="22"/>
          <w:lang w:val="pt-PT"/>
        </w:rPr>
        <w:t>1 </w:t>
      </w:r>
      <w:r w:rsidRPr="00110D6C">
        <w:rPr>
          <w:rFonts w:cs="Times New Roman"/>
          <w:color w:val="auto"/>
          <w:szCs w:val="22"/>
          <w:lang w:val="pt-PT"/>
        </w:rPr>
        <w:t>doente em 43</w:t>
      </w:r>
      <w:r w:rsidR="00B910F9" w:rsidRPr="00110D6C">
        <w:rPr>
          <w:rFonts w:cs="Times New Roman"/>
          <w:color w:val="auto"/>
          <w:szCs w:val="22"/>
          <w:lang w:val="pt-PT"/>
        </w:rPr>
        <w:t>4 </w:t>
      </w:r>
      <w:r w:rsidRPr="00110D6C">
        <w:rPr>
          <w:rFonts w:cs="Times New Roman"/>
          <w:color w:val="auto"/>
          <w:szCs w:val="22"/>
          <w:lang w:val="pt-PT"/>
        </w:rPr>
        <w:t>doente-anos de seguimento). A incidência de cancro de pele não-melanoma foi de 0,4</w:t>
      </w:r>
      <w:r w:rsidR="00B910F9" w:rsidRPr="00110D6C">
        <w:rPr>
          <w:rFonts w:cs="Times New Roman"/>
          <w:color w:val="auto"/>
          <w:szCs w:val="22"/>
          <w:lang w:val="pt-PT"/>
        </w:rPr>
        <w:t>3 </w:t>
      </w:r>
      <w:r w:rsidRPr="00110D6C">
        <w:rPr>
          <w:rFonts w:cs="Times New Roman"/>
          <w:color w:val="auto"/>
          <w:szCs w:val="22"/>
          <w:lang w:val="pt-PT"/>
        </w:rPr>
        <w:t>por 10</w:t>
      </w:r>
      <w:r w:rsidR="00B910F9" w:rsidRPr="00110D6C">
        <w:rPr>
          <w:rFonts w:cs="Times New Roman"/>
          <w:color w:val="auto"/>
          <w:szCs w:val="22"/>
          <w:lang w:val="pt-PT"/>
        </w:rPr>
        <w:t>0 </w:t>
      </w:r>
      <w:r w:rsidRPr="00110D6C">
        <w:rPr>
          <w:rFonts w:cs="Times New Roman"/>
          <w:color w:val="auto"/>
          <w:szCs w:val="22"/>
          <w:lang w:val="pt-PT"/>
        </w:rPr>
        <w:t>doente-anos de seguimento nos doentes tratados com ustecinumab (</w:t>
      </w:r>
      <w:r w:rsidR="00B910F9" w:rsidRPr="00110D6C">
        <w:rPr>
          <w:rFonts w:cs="Times New Roman"/>
          <w:color w:val="auto"/>
          <w:szCs w:val="22"/>
          <w:lang w:val="pt-PT"/>
        </w:rPr>
        <w:t>4 </w:t>
      </w:r>
      <w:r w:rsidRPr="00110D6C">
        <w:rPr>
          <w:rFonts w:cs="Times New Roman"/>
          <w:color w:val="auto"/>
          <w:szCs w:val="22"/>
          <w:lang w:val="pt-PT"/>
        </w:rPr>
        <w:t>doentes em 92</w:t>
      </w:r>
      <w:r w:rsidR="00B910F9" w:rsidRPr="00110D6C">
        <w:rPr>
          <w:rFonts w:cs="Times New Roman"/>
          <w:color w:val="auto"/>
          <w:szCs w:val="22"/>
          <w:lang w:val="pt-PT"/>
        </w:rPr>
        <w:t>9 </w:t>
      </w:r>
      <w:r w:rsidRPr="00110D6C">
        <w:rPr>
          <w:rFonts w:cs="Times New Roman"/>
          <w:color w:val="auto"/>
          <w:szCs w:val="22"/>
          <w:lang w:val="pt-PT"/>
        </w:rPr>
        <w:t>doente-anos de seguimento) em comparação com 0,4</w:t>
      </w:r>
      <w:r w:rsidR="00B910F9" w:rsidRPr="00110D6C">
        <w:rPr>
          <w:rFonts w:cs="Times New Roman"/>
          <w:color w:val="auto"/>
          <w:szCs w:val="22"/>
          <w:lang w:val="pt-PT"/>
        </w:rPr>
        <w:t>6 </w:t>
      </w:r>
      <w:r w:rsidRPr="00110D6C">
        <w:rPr>
          <w:rFonts w:cs="Times New Roman"/>
          <w:color w:val="auto"/>
          <w:szCs w:val="22"/>
          <w:lang w:val="pt-PT"/>
        </w:rPr>
        <w:t>nos doentes tratados com placebo (</w:t>
      </w:r>
      <w:r w:rsidR="00B910F9" w:rsidRPr="00110D6C">
        <w:rPr>
          <w:rFonts w:cs="Times New Roman"/>
          <w:color w:val="auto"/>
          <w:szCs w:val="22"/>
          <w:lang w:val="pt-PT"/>
        </w:rPr>
        <w:t>2 </w:t>
      </w:r>
      <w:r w:rsidRPr="00110D6C">
        <w:rPr>
          <w:rFonts w:cs="Times New Roman"/>
          <w:color w:val="auto"/>
          <w:szCs w:val="22"/>
          <w:lang w:val="pt-PT"/>
        </w:rPr>
        <w:t>doentes em 43</w:t>
      </w:r>
      <w:r w:rsidR="00B910F9" w:rsidRPr="00110D6C">
        <w:rPr>
          <w:rFonts w:cs="Times New Roman"/>
          <w:color w:val="auto"/>
          <w:szCs w:val="22"/>
          <w:lang w:val="pt-PT"/>
        </w:rPr>
        <w:t>3 </w:t>
      </w:r>
      <w:r w:rsidRPr="00110D6C">
        <w:rPr>
          <w:rFonts w:cs="Times New Roman"/>
          <w:color w:val="auto"/>
          <w:szCs w:val="22"/>
          <w:lang w:val="pt-PT"/>
        </w:rPr>
        <w:t>doente- anos de seguimento).</w:t>
      </w:r>
    </w:p>
    <w:p w14:paraId="2D1D9719" w14:textId="77777777" w:rsidR="00030085" w:rsidRPr="00110D6C" w:rsidRDefault="00030085" w:rsidP="00A17623">
      <w:pPr>
        <w:widowControl/>
        <w:rPr>
          <w:rFonts w:cs="Times New Roman"/>
          <w:color w:val="auto"/>
          <w:szCs w:val="22"/>
          <w:lang w:val="pt-PT"/>
        </w:rPr>
      </w:pPr>
    </w:p>
    <w:p w14:paraId="633A653C" w14:textId="40912128" w:rsidR="0077031F" w:rsidRPr="00110D6C" w:rsidRDefault="00030085" w:rsidP="00A17623">
      <w:pPr>
        <w:widowControl/>
        <w:rPr>
          <w:rFonts w:cs="Times New Roman"/>
          <w:color w:val="auto"/>
          <w:szCs w:val="22"/>
          <w:lang w:val="pt-PT"/>
        </w:rPr>
      </w:pPr>
      <w:r w:rsidRPr="00110D6C">
        <w:rPr>
          <w:rFonts w:cs="Times New Roman"/>
          <w:color w:val="auto"/>
          <w:szCs w:val="22"/>
          <w:lang w:val="pt-PT"/>
        </w:rPr>
        <w:t>Nas fases controladas e não controladas dos estudos clínicos na psoríase, na artrite psoriática, na doença de Crohn e colite ulcerosa, representando 1</w:t>
      </w:r>
      <w:r w:rsidR="00E82752">
        <w:rPr>
          <w:rFonts w:cs="Times New Roman"/>
          <w:color w:val="auto"/>
          <w:szCs w:val="22"/>
          <w:lang w:val="pt-PT"/>
        </w:rPr>
        <w:t>5 205</w:t>
      </w:r>
      <w:r w:rsidR="00B910F9" w:rsidRPr="00110D6C">
        <w:rPr>
          <w:rFonts w:cs="Times New Roman"/>
          <w:color w:val="auto"/>
          <w:szCs w:val="22"/>
          <w:lang w:val="pt-PT"/>
        </w:rPr>
        <w:t> </w:t>
      </w:r>
      <w:r w:rsidRPr="00110D6C">
        <w:rPr>
          <w:rFonts w:cs="Times New Roman"/>
          <w:color w:val="auto"/>
          <w:szCs w:val="22"/>
          <w:lang w:val="pt-PT"/>
        </w:rPr>
        <w:t xml:space="preserve">doente-anos de exposição </w:t>
      </w:r>
      <w:r w:rsidR="00E82752">
        <w:rPr>
          <w:bCs/>
          <w:szCs w:val="22"/>
        </w:rPr>
        <w:t xml:space="preserve">a ustecinumab </w:t>
      </w:r>
      <w:r w:rsidRPr="00110D6C">
        <w:rPr>
          <w:rFonts w:cs="Times New Roman"/>
          <w:color w:val="auto"/>
          <w:szCs w:val="22"/>
          <w:lang w:val="pt-PT"/>
        </w:rPr>
        <w:t>em 67</w:t>
      </w:r>
      <w:r w:rsidR="00E82752">
        <w:rPr>
          <w:rFonts w:cs="Times New Roman"/>
          <w:color w:val="auto"/>
          <w:szCs w:val="22"/>
          <w:lang w:val="pt-PT"/>
        </w:rPr>
        <w:t>1</w:t>
      </w:r>
      <w:r w:rsidRPr="00110D6C">
        <w:rPr>
          <w:rFonts w:cs="Times New Roman"/>
          <w:color w:val="auto"/>
          <w:szCs w:val="22"/>
          <w:lang w:val="pt-PT"/>
        </w:rPr>
        <w:t>0</w:t>
      </w:r>
      <w:r w:rsidR="00B910F9" w:rsidRPr="00110D6C">
        <w:rPr>
          <w:rFonts w:cs="Times New Roman"/>
          <w:color w:val="auto"/>
          <w:szCs w:val="22"/>
          <w:lang w:val="pt-PT"/>
        </w:rPr>
        <w:t> </w:t>
      </w:r>
      <w:r w:rsidRPr="00110D6C">
        <w:rPr>
          <w:rFonts w:cs="Times New Roman"/>
          <w:color w:val="auto"/>
          <w:szCs w:val="22"/>
          <w:lang w:val="pt-PT"/>
        </w:rPr>
        <w:t>doentes, a mediana de seguimento foi de 1,</w:t>
      </w:r>
      <w:r w:rsidR="00E82752">
        <w:rPr>
          <w:rFonts w:cs="Times New Roman"/>
          <w:color w:val="auto"/>
          <w:szCs w:val="22"/>
          <w:lang w:val="pt-PT"/>
        </w:rPr>
        <w:t>2</w:t>
      </w:r>
      <w:r w:rsidR="00B910F9" w:rsidRPr="00110D6C">
        <w:rPr>
          <w:rFonts w:cs="Times New Roman"/>
          <w:color w:val="auto"/>
          <w:szCs w:val="22"/>
          <w:lang w:val="pt-PT"/>
        </w:rPr>
        <w:t> </w:t>
      </w:r>
      <w:r w:rsidRPr="00110D6C">
        <w:rPr>
          <w:rFonts w:cs="Times New Roman"/>
          <w:color w:val="auto"/>
          <w:szCs w:val="22"/>
          <w:lang w:val="pt-PT"/>
        </w:rPr>
        <w:t>anos; 1,</w:t>
      </w:r>
      <w:r w:rsidR="00E82752">
        <w:rPr>
          <w:rFonts w:cs="Times New Roman"/>
          <w:color w:val="auto"/>
          <w:szCs w:val="22"/>
          <w:lang w:val="pt-PT"/>
        </w:rPr>
        <w:t>7</w:t>
      </w:r>
      <w:r w:rsidR="00B910F9" w:rsidRPr="00110D6C">
        <w:rPr>
          <w:rFonts w:cs="Times New Roman"/>
          <w:color w:val="auto"/>
          <w:szCs w:val="22"/>
          <w:lang w:val="pt-PT"/>
        </w:rPr>
        <w:t> </w:t>
      </w:r>
      <w:r w:rsidRPr="00110D6C">
        <w:rPr>
          <w:rFonts w:cs="Times New Roman"/>
          <w:color w:val="auto"/>
          <w:szCs w:val="22"/>
          <w:lang w:val="pt-PT"/>
        </w:rPr>
        <w:t>anos para estudos na doença psoriática, 0,</w:t>
      </w:r>
      <w:r w:rsidR="00B910F9" w:rsidRPr="00110D6C">
        <w:rPr>
          <w:rFonts w:cs="Times New Roman"/>
          <w:color w:val="auto"/>
          <w:szCs w:val="22"/>
          <w:lang w:val="pt-PT"/>
        </w:rPr>
        <w:t>6 </w:t>
      </w:r>
      <w:r w:rsidRPr="00110D6C">
        <w:rPr>
          <w:rFonts w:cs="Times New Roman"/>
          <w:color w:val="auto"/>
          <w:szCs w:val="22"/>
          <w:lang w:val="pt-PT"/>
        </w:rPr>
        <w:t xml:space="preserve">anos para estudos na doença de Crohn e </w:t>
      </w:r>
      <w:r w:rsidR="00E82752">
        <w:rPr>
          <w:rFonts w:cs="Times New Roman"/>
          <w:color w:val="auto"/>
          <w:szCs w:val="22"/>
          <w:lang w:val="pt-PT"/>
        </w:rPr>
        <w:t>2,3</w:t>
      </w:r>
      <w:r w:rsidR="00B910F9" w:rsidRPr="00110D6C">
        <w:rPr>
          <w:rFonts w:cs="Times New Roman"/>
          <w:color w:val="auto"/>
          <w:szCs w:val="22"/>
          <w:lang w:val="pt-PT"/>
        </w:rPr>
        <w:t> </w:t>
      </w:r>
      <w:r w:rsidRPr="00110D6C">
        <w:rPr>
          <w:rFonts w:cs="Times New Roman"/>
          <w:color w:val="auto"/>
          <w:szCs w:val="22"/>
          <w:lang w:val="pt-PT"/>
        </w:rPr>
        <w:t xml:space="preserve">anos para estudos na colite ulcerosa. Foram relatados casos de doenças malignas excluindo cancro de pele não melanoma em </w:t>
      </w:r>
      <w:r w:rsidR="00E82752">
        <w:rPr>
          <w:rFonts w:cs="Times New Roman"/>
          <w:color w:val="auto"/>
          <w:szCs w:val="22"/>
          <w:lang w:val="pt-PT"/>
        </w:rPr>
        <w:t>7</w:t>
      </w:r>
      <w:r w:rsidRPr="00110D6C">
        <w:rPr>
          <w:rFonts w:cs="Times New Roman"/>
          <w:color w:val="auto"/>
          <w:szCs w:val="22"/>
          <w:lang w:val="pt-PT"/>
        </w:rPr>
        <w:t>6</w:t>
      </w:r>
      <w:r w:rsidR="00B910F9" w:rsidRPr="00110D6C">
        <w:rPr>
          <w:rFonts w:cs="Times New Roman"/>
          <w:color w:val="auto"/>
          <w:szCs w:val="22"/>
          <w:lang w:val="pt-PT"/>
        </w:rPr>
        <w:t> </w:t>
      </w:r>
      <w:r w:rsidRPr="00110D6C">
        <w:rPr>
          <w:rFonts w:cs="Times New Roman"/>
          <w:color w:val="auto"/>
          <w:szCs w:val="22"/>
          <w:lang w:val="pt-PT"/>
        </w:rPr>
        <w:t>doentes em 1</w:t>
      </w:r>
      <w:r w:rsidR="00E82752">
        <w:rPr>
          <w:rFonts w:cs="Times New Roman"/>
          <w:color w:val="auto"/>
          <w:szCs w:val="22"/>
          <w:lang w:val="pt-PT"/>
        </w:rPr>
        <w:t>5 205</w:t>
      </w:r>
      <w:r w:rsidR="00B910F9" w:rsidRPr="00110D6C">
        <w:rPr>
          <w:rFonts w:cs="Times New Roman"/>
          <w:color w:val="auto"/>
          <w:szCs w:val="22"/>
          <w:lang w:val="pt-PT"/>
        </w:rPr>
        <w:t> </w:t>
      </w:r>
      <w:r w:rsidRPr="00110D6C">
        <w:rPr>
          <w:rFonts w:cs="Times New Roman"/>
          <w:color w:val="auto"/>
          <w:szCs w:val="22"/>
          <w:lang w:val="pt-PT"/>
        </w:rPr>
        <w:t>doente-anos de seguimento (incidência de 0,5</w:t>
      </w:r>
      <w:r w:rsidR="00E82752">
        <w:rPr>
          <w:rFonts w:cs="Times New Roman"/>
          <w:color w:val="auto"/>
          <w:szCs w:val="22"/>
          <w:lang w:val="pt-PT"/>
        </w:rPr>
        <w:t>0</w:t>
      </w:r>
      <w:r w:rsidR="00B910F9" w:rsidRPr="00110D6C">
        <w:rPr>
          <w:rFonts w:cs="Times New Roman"/>
          <w:color w:val="auto"/>
          <w:szCs w:val="22"/>
          <w:lang w:val="pt-PT"/>
        </w:rPr>
        <w:t> </w:t>
      </w:r>
      <w:r w:rsidRPr="00110D6C">
        <w:rPr>
          <w:rFonts w:cs="Times New Roman"/>
          <w:color w:val="auto"/>
          <w:szCs w:val="22"/>
          <w:lang w:val="pt-PT"/>
        </w:rPr>
        <w:t>por 10</w:t>
      </w:r>
      <w:r w:rsidR="00B910F9" w:rsidRPr="00110D6C">
        <w:rPr>
          <w:rFonts w:cs="Times New Roman"/>
          <w:color w:val="auto"/>
          <w:szCs w:val="22"/>
          <w:lang w:val="pt-PT"/>
        </w:rPr>
        <w:t>0 </w:t>
      </w:r>
      <w:r w:rsidRPr="00110D6C">
        <w:rPr>
          <w:rFonts w:cs="Times New Roman"/>
          <w:color w:val="auto"/>
          <w:szCs w:val="22"/>
          <w:lang w:val="pt-PT"/>
        </w:rPr>
        <w:t>doente-anos de seguimento para doentes tratados com ustecinumab). A incidência de doenças malignas relatadas em doentes tratados com ustecinumab foi comparável à incidência expectável na população em geral (rácio de incidência padronizado</w:t>
      </w:r>
      <w:r w:rsidR="005B2D5C" w:rsidRPr="00110D6C">
        <w:rPr>
          <w:rFonts w:cs="Times New Roman"/>
          <w:color w:val="auto"/>
          <w:szCs w:val="22"/>
          <w:lang w:val="pt-PT"/>
        </w:rPr>
        <w:t> </w:t>
      </w:r>
      <w:r w:rsidRPr="00110D6C">
        <w:rPr>
          <w:rFonts w:cs="Times New Roman"/>
          <w:color w:val="auto"/>
          <w:szCs w:val="22"/>
          <w:lang w:val="pt-PT"/>
        </w:rPr>
        <w:t>=</w:t>
      </w:r>
      <w:r w:rsidR="005B2D5C" w:rsidRPr="00110D6C">
        <w:rPr>
          <w:rFonts w:cs="Times New Roman"/>
          <w:color w:val="auto"/>
          <w:szCs w:val="22"/>
          <w:lang w:val="pt-PT"/>
        </w:rPr>
        <w:t> </w:t>
      </w:r>
      <w:r w:rsidRPr="00110D6C">
        <w:rPr>
          <w:rFonts w:cs="Times New Roman"/>
          <w:color w:val="auto"/>
          <w:szCs w:val="22"/>
          <w:lang w:val="pt-PT"/>
        </w:rPr>
        <w:t>0,9</w:t>
      </w:r>
      <w:r w:rsidR="00E82752">
        <w:rPr>
          <w:rFonts w:cs="Times New Roman"/>
          <w:color w:val="auto"/>
          <w:szCs w:val="22"/>
          <w:lang w:val="pt-PT"/>
        </w:rPr>
        <w:t>4</w:t>
      </w:r>
      <w:r w:rsidR="00B910F9" w:rsidRPr="00110D6C">
        <w:rPr>
          <w:rFonts w:cs="Times New Roman"/>
          <w:color w:val="auto"/>
          <w:szCs w:val="22"/>
          <w:lang w:val="pt-PT"/>
        </w:rPr>
        <w:t> </w:t>
      </w:r>
      <w:r w:rsidRPr="00110D6C">
        <w:rPr>
          <w:rFonts w:cs="Times New Roman"/>
          <w:color w:val="auto"/>
          <w:szCs w:val="22"/>
          <w:lang w:val="pt-PT"/>
        </w:rPr>
        <w:t>[intervalo de confiança de 95%: 0,7</w:t>
      </w:r>
      <w:r w:rsidR="00E82752">
        <w:rPr>
          <w:rFonts w:cs="Times New Roman"/>
          <w:color w:val="auto"/>
          <w:szCs w:val="22"/>
          <w:lang w:val="pt-PT"/>
        </w:rPr>
        <w:t>3</w:t>
      </w:r>
      <w:r w:rsidRPr="00110D6C">
        <w:rPr>
          <w:rFonts w:cs="Times New Roman"/>
          <w:color w:val="auto"/>
          <w:szCs w:val="22"/>
          <w:lang w:val="pt-PT"/>
        </w:rPr>
        <w:t>, 1,</w:t>
      </w:r>
      <w:r w:rsidR="00E82752">
        <w:rPr>
          <w:rFonts w:cs="Times New Roman"/>
          <w:color w:val="auto"/>
          <w:szCs w:val="22"/>
          <w:lang w:val="pt-PT"/>
        </w:rPr>
        <w:t>18</w:t>
      </w:r>
      <w:r w:rsidRPr="00110D6C">
        <w:rPr>
          <w:rFonts w:cs="Times New Roman"/>
          <w:color w:val="auto"/>
          <w:szCs w:val="22"/>
          <w:lang w:val="pt-PT"/>
        </w:rPr>
        <w:t xml:space="preserve">], ajustada por idade, género e raça). As doenças malignas mais frequentemente observadas, para além do cancro de pele não melanoma, foram os cancros da próstata, </w:t>
      </w:r>
      <w:r w:rsidR="00BF6C5D">
        <w:rPr>
          <w:rFonts w:cs="Times New Roman"/>
          <w:color w:val="auto"/>
          <w:szCs w:val="22"/>
          <w:lang w:val="pt-PT"/>
        </w:rPr>
        <w:t xml:space="preserve">melanoma, </w:t>
      </w:r>
      <w:r w:rsidRPr="00110D6C">
        <w:rPr>
          <w:rFonts w:cs="Times New Roman"/>
          <w:color w:val="auto"/>
          <w:szCs w:val="22"/>
          <w:lang w:val="pt-PT"/>
        </w:rPr>
        <w:t>colo</w:t>
      </w:r>
      <w:r w:rsidR="00110D6C">
        <w:rPr>
          <w:rFonts w:cs="Times New Roman"/>
          <w:color w:val="auto"/>
          <w:szCs w:val="22"/>
          <w:lang w:val="pt-PT"/>
        </w:rPr>
        <w:t>r</w:t>
      </w:r>
      <w:r w:rsidRPr="00110D6C">
        <w:rPr>
          <w:rFonts w:cs="Times New Roman"/>
          <w:color w:val="auto"/>
          <w:szCs w:val="22"/>
          <w:lang w:val="pt-PT"/>
        </w:rPr>
        <w:t>retal e mama. A incidência do cancro de pele não melanoma foi 0,4</w:t>
      </w:r>
      <w:r w:rsidR="00BF6C5D">
        <w:rPr>
          <w:rFonts w:cs="Times New Roman"/>
          <w:color w:val="auto"/>
          <w:szCs w:val="22"/>
          <w:lang w:val="pt-PT"/>
        </w:rPr>
        <w:t>6</w:t>
      </w:r>
      <w:r w:rsidR="00B910F9" w:rsidRPr="00110D6C">
        <w:rPr>
          <w:rFonts w:cs="Times New Roman"/>
          <w:color w:val="auto"/>
          <w:szCs w:val="22"/>
          <w:lang w:val="pt-PT"/>
        </w:rPr>
        <w:t> </w:t>
      </w:r>
      <w:r w:rsidRPr="00110D6C">
        <w:rPr>
          <w:rFonts w:cs="Times New Roman"/>
          <w:color w:val="auto"/>
          <w:szCs w:val="22"/>
          <w:lang w:val="pt-PT"/>
        </w:rPr>
        <w:t>por 10</w:t>
      </w:r>
      <w:r w:rsidR="00B910F9" w:rsidRPr="00110D6C">
        <w:rPr>
          <w:rFonts w:cs="Times New Roman"/>
          <w:color w:val="auto"/>
          <w:szCs w:val="22"/>
          <w:lang w:val="pt-PT"/>
        </w:rPr>
        <w:t>0 </w:t>
      </w:r>
      <w:r w:rsidRPr="00110D6C">
        <w:rPr>
          <w:rFonts w:cs="Times New Roman"/>
          <w:color w:val="auto"/>
          <w:szCs w:val="22"/>
          <w:lang w:val="pt-PT"/>
        </w:rPr>
        <w:t>doente-anos de seguimento para doentes tratados com ustecinumab (</w:t>
      </w:r>
      <w:r w:rsidR="00B910F9" w:rsidRPr="00110D6C">
        <w:rPr>
          <w:rFonts w:cs="Times New Roman"/>
          <w:color w:val="auto"/>
          <w:szCs w:val="22"/>
          <w:lang w:val="pt-PT"/>
        </w:rPr>
        <w:t>6</w:t>
      </w:r>
      <w:r w:rsidR="00BF6C5D">
        <w:rPr>
          <w:rFonts w:cs="Times New Roman"/>
          <w:color w:val="auto"/>
          <w:szCs w:val="22"/>
          <w:lang w:val="pt-PT"/>
        </w:rPr>
        <w:t>9</w:t>
      </w:r>
      <w:r w:rsidR="00B910F9" w:rsidRPr="00110D6C">
        <w:rPr>
          <w:rFonts w:cs="Times New Roman"/>
          <w:color w:val="auto"/>
          <w:szCs w:val="22"/>
          <w:lang w:val="pt-PT"/>
        </w:rPr>
        <w:t> </w:t>
      </w:r>
      <w:r w:rsidRPr="00110D6C">
        <w:rPr>
          <w:rFonts w:cs="Times New Roman"/>
          <w:color w:val="auto"/>
          <w:szCs w:val="22"/>
          <w:lang w:val="pt-PT"/>
        </w:rPr>
        <w:t>doentes em 1</w:t>
      </w:r>
      <w:r w:rsidR="00BF6C5D">
        <w:rPr>
          <w:rFonts w:cs="Times New Roman"/>
          <w:color w:val="auto"/>
          <w:szCs w:val="22"/>
          <w:lang w:val="pt-PT"/>
        </w:rPr>
        <w:t>5 165</w:t>
      </w:r>
      <w:r w:rsidR="00B910F9" w:rsidRPr="00110D6C">
        <w:rPr>
          <w:rFonts w:cs="Times New Roman"/>
          <w:color w:val="auto"/>
          <w:szCs w:val="22"/>
          <w:lang w:val="pt-PT"/>
        </w:rPr>
        <w:t> </w:t>
      </w:r>
      <w:r w:rsidRPr="00110D6C">
        <w:rPr>
          <w:rFonts w:cs="Times New Roman"/>
          <w:color w:val="auto"/>
          <w:szCs w:val="22"/>
          <w:lang w:val="pt-PT"/>
        </w:rPr>
        <w:t>doente-anos de seguimento). A taxa de doentes com carcinoma espinocelular versus carcinoma basocelular (3:1) é comparável à taxa expectável na população em geral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4.4).</w:t>
      </w:r>
    </w:p>
    <w:p w14:paraId="524A8FC1" w14:textId="77777777" w:rsidR="00030085" w:rsidRPr="00110D6C" w:rsidRDefault="00030085" w:rsidP="00A17623">
      <w:pPr>
        <w:widowControl/>
        <w:rPr>
          <w:rFonts w:cs="Times New Roman"/>
          <w:color w:val="auto"/>
          <w:szCs w:val="22"/>
          <w:lang w:val="pt-PT"/>
        </w:rPr>
      </w:pPr>
    </w:p>
    <w:p w14:paraId="1179BA9B"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Reações à perfusão e de hipersensibilidade</w:t>
      </w:r>
    </w:p>
    <w:p w14:paraId="05F87779" w14:textId="767E2E0E" w:rsidR="0077031F" w:rsidRPr="00110D6C" w:rsidRDefault="00030085" w:rsidP="00A17623">
      <w:pPr>
        <w:widowControl/>
        <w:rPr>
          <w:rFonts w:cs="Times New Roman"/>
          <w:color w:val="auto"/>
          <w:szCs w:val="22"/>
          <w:lang w:val="pt-PT"/>
        </w:rPr>
      </w:pPr>
      <w:r w:rsidRPr="00110D6C">
        <w:rPr>
          <w:rFonts w:cs="Times New Roman"/>
          <w:color w:val="auto"/>
          <w:szCs w:val="22"/>
          <w:lang w:val="pt-PT"/>
        </w:rPr>
        <w:t>Em estudos de indução intravenosa na doença de Crohn e colite ulcerosa, não foram reportados acontecimentos de anafilaxia ou outras reações graves relacionadas com a perfusão após a dose única intravenosa. Nestes estudos, 2,42% de 78</w:t>
      </w:r>
      <w:r w:rsidR="00B910F9" w:rsidRPr="00110D6C">
        <w:rPr>
          <w:rFonts w:cs="Times New Roman"/>
          <w:color w:val="auto"/>
          <w:szCs w:val="22"/>
          <w:lang w:val="pt-PT"/>
        </w:rPr>
        <w:t>5 </w:t>
      </w:r>
      <w:r w:rsidRPr="00110D6C">
        <w:rPr>
          <w:rFonts w:cs="Times New Roman"/>
          <w:color w:val="auto"/>
          <w:szCs w:val="22"/>
          <w:lang w:val="pt-PT"/>
        </w:rPr>
        <w:t>doentes tratados com placebo e 1,9% de 79</w:t>
      </w:r>
      <w:r w:rsidR="00B910F9" w:rsidRPr="00110D6C">
        <w:rPr>
          <w:rFonts w:cs="Times New Roman"/>
          <w:color w:val="auto"/>
          <w:szCs w:val="22"/>
          <w:lang w:val="pt-PT"/>
        </w:rPr>
        <w:t>0 </w:t>
      </w:r>
      <w:r w:rsidRPr="00110D6C">
        <w:rPr>
          <w:rFonts w:cs="Times New Roman"/>
          <w:color w:val="auto"/>
          <w:szCs w:val="22"/>
          <w:lang w:val="pt-PT"/>
        </w:rPr>
        <w:t>doentes tratados com a dose recomendada de ustecinumab reportaram acontecimentos adversos que ocorreram durante ou até uma hora após perfusão. No período de pós comercialização foram notificadas reações graves relacionadas com a perfusão, incluindo reações anafiláticas à perfusão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4.4).</w:t>
      </w:r>
    </w:p>
    <w:p w14:paraId="280C020C" w14:textId="77777777" w:rsidR="00030085" w:rsidRPr="00110D6C" w:rsidRDefault="00030085" w:rsidP="00A17623">
      <w:pPr>
        <w:widowControl/>
        <w:rPr>
          <w:rFonts w:cs="Times New Roman"/>
          <w:color w:val="auto"/>
          <w:szCs w:val="22"/>
          <w:lang w:val="pt-PT"/>
        </w:rPr>
      </w:pPr>
    </w:p>
    <w:p w14:paraId="6FB75CD3"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População pediátrica</w:t>
      </w:r>
    </w:p>
    <w:p w14:paraId="6870FC04" w14:textId="77777777" w:rsidR="0077031F" w:rsidRPr="00110D6C" w:rsidRDefault="00030085" w:rsidP="00A17623">
      <w:pPr>
        <w:widowControl/>
        <w:rPr>
          <w:rFonts w:cs="Times New Roman"/>
          <w:color w:val="auto"/>
          <w:szCs w:val="22"/>
          <w:lang w:val="pt-PT"/>
        </w:rPr>
      </w:pPr>
      <w:r w:rsidRPr="00110D6C">
        <w:rPr>
          <w:rFonts w:cs="Times New Roman"/>
          <w:i/>
          <w:iCs/>
          <w:color w:val="auto"/>
          <w:szCs w:val="22"/>
          <w:lang w:val="pt-PT"/>
        </w:rPr>
        <w:t xml:space="preserve">Doentes pediátricos com idade igual ou superior a </w:t>
      </w:r>
      <w:r w:rsidR="00B910F9" w:rsidRPr="00110D6C">
        <w:rPr>
          <w:rFonts w:cs="Times New Roman"/>
          <w:i/>
          <w:iCs/>
          <w:color w:val="auto"/>
          <w:szCs w:val="22"/>
          <w:lang w:val="pt-PT"/>
        </w:rPr>
        <w:t>6 </w:t>
      </w:r>
      <w:r w:rsidRPr="00110D6C">
        <w:rPr>
          <w:rFonts w:cs="Times New Roman"/>
          <w:i/>
          <w:iCs/>
          <w:color w:val="auto"/>
          <w:szCs w:val="22"/>
          <w:lang w:val="pt-PT"/>
        </w:rPr>
        <w:t>anos com psoríase em placas</w:t>
      </w:r>
    </w:p>
    <w:p w14:paraId="51811EE9"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lastRenderedPageBreak/>
        <w:t xml:space="preserve">A segurança de ustecinumab foi estudada em dois estudos de fase </w:t>
      </w:r>
      <w:r w:rsidR="00B910F9" w:rsidRPr="00110D6C">
        <w:rPr>
          <w:rFonts w:cs="Times New Roman"/>
          <w:color w:val="auto"/>
          <w:szCs w:val="22"/>
          <w:lang w:val="pt-PT"/>
        </w:rPr>
        <w:t>3 </w:t>
      </w:r>
      <w:r w:rsidRPr="00110D6C">
        <w:rPr>
          <w:rFonts w:cs="Times New Roman"/>
          <w:color w:val="auto"/>
          <w:szCs w:val="22"/>
          <w:lang w:val="pt-PT"/>
        </w:rPr>
        <w:t>em doentes pediátricos com psoríase em placas moderada a grave. O primeiro estudo envolveu 11</w:t>
      </w:r>
      <w:r w:rsidR="00B910F9" w:rsidRPr="00110D6C">
        <w:rPr>
          <w:rFonts w:cs="Times New Roman"/>
          <w:color w:val="auto"/>
          <w:szCs w:val="22"/>
          <w:lang w:val="pt-PT"/>
        </w:rPr>
        <w:t>0 </w:t>
      </w:r>
      <w:r w:rsidRPr="00110D6C">
        <w:rPr>
          <w:rFonts w:cs="Times New Roman"/>
          <w:color w:val="auto"/>
          <w:szCs w:val="22"/>
          <w:lang w:val="pt-PT"/>
        </w:rPr>
        <w:t>doentes com idade entre os 1</w:t>
      </w:r>
      <w:r w:rsidR="00B910F9" w:rsidRPr="00110D6C">
        <w:rPr>
          <w:rFonts w:cs="Times New Roman"/>
          <w:color w:val="auto"/>
          <w:szCs w:val="22"/>
          <w:lang w:val="pt-PT"/>
        </w:rPr>
        <w:t>2 </w:t>
      </w:r>
      <w:r w:rsidRPr="00110D6C">
        <w:rPr>
          <w:rFonts w:cs="Times New Roman"/>
          <w:color w:val="auto"/>
          <w:szCs w:val="22"/>
          <w:lang w:val="pt-PT"/>
        </w:rPr>
        <w:t>e os 1</w:t>
      </w:r>
      <w:r w:rsidR="00B910F9" w:rsidRPr="00110D6C">
        <w:rPr>
          <w:rFonts w:cs="Times New Roman"/>
          <w:color w:val="auto"/>
          <w:szCs w:val="22"/>
          <w:lang w:val="pt-PT"/>
        </w:rPr>
        <w:t>7 </w:t>
      </w:r>
      <w:r w:rsidRPr="00110D6C">
        <w:rPr>
          <w:rFonts w:cs="Times New Roman"/>
          <w:color w:val="auto"/>
          <w:szCs w:val="22"/>
          <w:lang w:val="pt-PT"/>
        </w:rPr>
        <w:t>anos tratados até 6</w:t>
      </w:r>
      <w:r w:rsidR="00B910F9" w:rsidRPr="00110D6C">
        <w:rPr>
          <w:rFonts w:cs="Times New Roman"/>
          <w:color w:val="auto"/>
          <w:szCs w:val="22"/>
          <w:lang w:val="pt-PT"/>
        </w:rPr>
        <w:t>0 </w:t>
      </w:r>
      <w:r w:rsidRPr="00110D6C">
        <w:rPr>
          <w:rFonts w:cs="Times New Roman"/>
          <w:color w:val="auto"/>
          <w:szCs w:val="22"/>
          <w:lang w:val="pt-PT"/>
        </w:rPr>
        <w:t>semanas e o segundo estudo envolveu 4</w:t>
      </w:r>
      <w:r w:rsidR="00B910F9" w:rsidRPr="00110D6C">
        <w:rPr>
          <w:rFonts w:cs="Times New Roman"/>
          <w:color w:val="auto"/>
          <w:szCs w:val="22"/>
          <w:lang w:val="pt-PT"/>
        </w:rPr>
        <w:t>4 </w:t>
      </w:r>
      <w:r w:rsidRPr="00110D6C">
        <w:rPr>
          <w:rFonts w:cs="Times New Roman"/>
          <w:color w:val="auto"/>
          <w:szCs w:val="22"/>
          <w:lang w:val="pt-PT"/>
        </w:rPr>
        <w:t xml:space="preserve">doentes com idade entre os </w:t>
      </w:r>
      <w:r w:rsidR="00B910F9" w:rsidRPr="00110D6C">
        <w:rPr>
          <w:rFonts w:cs="Times New Roman"/>
          <w:color w:val="auto"/>
          <w:szCs w:val="22"/>
          <w:lang w:val="pt-PT"/>
        </w:rPr>
        <w:t>6 </w:t>
      </w:r>
      <w:r w:rsidRPr="00110D6C">
        <w:rPr>
          <w:rFonts w:cs="Times New Roman"/>
          <w:color w:val="auto"/>
          <w:szCs w:val="22"/>
          <w:lang w:val="pt-PT"/>
        </w:rPr>
        <w:t>e os 1</w:t>
      </w:r>
      <w:r w:rsidR="00B910F9" w:rsidRPr="00110D6C">
        <w:rPr>
          <w:rFonts w:cs="Times New Roman"/>
          <w:color w:val="auto"/>
          <w:szCs w:val="22"/>
          <w:lang w:val="pt-PT"/>
        </w:rPr>
        <w:t>1 </w:t>
      </w:r>
      <w:r w:rsidRPr="00110D6C">
        <w:rPr>
          <w:rFonts w:cs="Times New Roman"/>
          <w:color w:val="auto"/>
          <w:szCs w:val="22"/>
          <w:lang w:val="pt-PT"/>
        </w:rPr>
        <w:t>anos tratados até 5</w:t>
      </w:r>
      <w:r w:rsidR="00B910F9" w:rsidRPr="00110D6C">
        <w:rPr>
          <w:rFonts w:cs="Times New Roman"/>
          <w:color w:val="auto"/>
          <w:szCs w:val="22"/>
          <w:lang w:val="pt-PT"/>
        </w:rPr>
        <w:t>6 </w:t>
      </w:r>
      <w:r w:rsidRPr="00110D6C">
        <w:rPr>
          <w:rFonts w:cs="Times New Roman"/>
          <w:color w:val="auto"/>
          <w:szCs w:val="22"/>
          <w:lang w:val="pt-PT"/>
        </w:rPr>
        <w:t xml:space="preserve">semanas. Em geral, os acontecimentos adversos notificados nestes dois estudos com dados de segurança até </w:t>
      </w:r>
      <w:r w:rsidR="00B910F9" w:rsidRPr="00110D6C">
        <w:rPr>
          <w:rFonts w:cs="Times New Roman"/>
          <w:color w:val="auto"/>
          <w:szCs w:val="22"/>
          <w:lang w:val="pt-PT"/>
        </w:rPr>
        <w:t>1 </w:t>
      </w:r>
      <w:r w:rsidRPr="00110D6C">
        <w:rPr>
          <w:rFonts w:cs="Times New Roman"/>
          <w:color w:val="auto"/>
          <w:szCs w:val="22"/>
          <w:lang w:val="pt-PT"/>
        </w:rPr>
        <w:t>ano foram semelhantes aos observados em estudos anteriores em adultos com psoríase em placas.</w:t>
      </w:r>
    </w:p>
    <w:p w14:paraId="618BBB57" w14:textId="77777777" w:rsidR="00030085" w:rsidRPr="00110D6C" w:rsidRDefault="00030085" w:rsidP="00A17623">
      <w:pPr>
        <w:widowControl/>
        <w:rPr>
          <w:rFonts w:cs="Times New Roman"/>
          <w:color w:val="auto"/>
          <w:szCs w:val="22"/>
          <w:lang w:val="pt-PT"/>
        </w:rPr>
      </w:pPr>
    </w:p>
    <w:p w14:paraId="489EEB9F"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Notificação de suspeitas de reações adversas</w:t>
      </w:r>
    </w:p>
    <w:p w14:paraId="13C205A3" w14:textId="01C43851"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110D6C">
        <w:rPr>
          <w:rFonts w:cs="Times New Roman"/>
          <w:color w:val="auto"/>
          <w:szCs w:val="22"/>
          <w:highlight w:val="lightGray"/>
          <w:lang w:val="pt-PT"/>
        </w:rPr>
        <w:t xml:space="preserve">do sistema nacional de notificação mencionado no </w:t>
      </w:r>
      <w:hyperlink r:id="rId10" w:history="1">
        <w:r w:rsidRPr="00110D6C">
          <w:rPr>
            <w:rStyle w:val="Hyperlink"/>
            <w:rFonts w:cs="Times New Roman"/>
            <w:szCs w:val="22"/>
            <w:highlight w:val="lightGray"/>
            <w:lang w:val="pt-PT"/>
          </w:rPr>
          <w:t>Apêndice</w:t>
        </w:r>
        <w:r w:rsidR="005B2D5C" w:rsidRPr="00110D6C">
          <w:rPr>
            <w:rStyle w:val="Hyperlink"/>
            <w:rFonts w:cs="Times New Roman"/>
            <w:szCs w:val="22"/>
            <w:highlight w:val="lightGray"/>
            <w:lang w:val="pt-PT"/>
          </w:rPr>
          <w:t> </w:t>
        </w:r>
        <w:r w:rsidRPr="00110D6C">
          <w:rPr>
            <w:rStyle w:val="Hyperlink"/>
            <w:rFonts w:cs="Times New Roman"/>
            <w:szCs w:val="22"/>
            <w:highlight w:val="lightGray"/>
            <w:lang w:val="pt-PT"/>
          </w:rPr>
          <w:t>V</w:t>
        </w:r>
      </w:hyperlink>
      <w:r w:rsidRPr="00110D6C">
        <w:rPr>
          <w:rFonts w:cs="Times New Roman"/>
          <w:color w:val="auto"/>
          <w:szCs w:val="22"/>
          <w:highlight w:val="lightGray"/>
          <w:lang w:val="pt-PT"/>
        </w:rPr>
        <w:t>.</w:t>
      </w:r>
    </w:p>
    <w:p w14:paraId="155EEDA6" w14:textId="77777777" w:rsidR="00DC3C01" w:rsidRPr="00110D6C" w:rsidRDefault="00DC3C01" w:rsidP="002057DA">
      <w:pPr>
        <w:widowControl/>
        <w:rPr>
          <w:rFonts w:cs="Times New Roman"/>
          <w:bCs/>
          <w:color w:val="auto"/>
          <w:szCs w:val="22"/>
          <w:lang w:val="pt-PT"/>
        </w:rPr>
      </w:pPr>
      <w:bookmarkStart w:id="12" w:name="bookmark22"/>
    </w:p>
    <w:p w14:paraId="75CFABF4" w14:textId="77777777" w:rsidR="0077031F" w:rsidRPr="00110D6C" w:rsidRDefault="00DC3C01" w:rsidP="00A121D2">
      <w:pPr>
        <w:widowControl/>
        <w:ind w:left="567" w:hanging="567"/>
        <w:rPr>
          <w:rFonts w:cs="Times New Roman"/>
          <w:color w:val="auto"/>
          <w:szCs w:val="22"/>
          <w:lang w:val="pt-PT"/>
        </w:rPr>
      </w:pPr>
      <w:r w:rsidRPr="00110D6C">
        <w:rPr>
          <w:rFonts w:cs="Times New Roman"/>
          <w:b/>
          <w:bCs/>
          <w:color w:val="auto"/>
          <w:szCs w:val="22"/>
          <w:lang w:val="pt-PT"/>
        </w:rPr>
        <w:t>4.9</w:t>
      </w:r>
      <w:r w:rsidRPr="00110D6C">
        <w:rPr>
          <w:rFonts w:cs="Times New Roman"/>
          <w:b/>
          <w:bCs/>
          <w:color w:val="auto"/>
          <w:szCs w:val="22"/>
          <w:lang w:val="pt-PT"/>
        </w:rPr>
        <w:tab/>
      </w:r>
      <w:r w:rsidR="00030085" w:rsidRPr="00110D6C">
        <w:rPr>
          <w:rFonts w:cs="Times New Roman"/>
          <w:b/>
          <w:bCs/>
          <w:color w:val="auto"/>
          <w:szCs w:val="22"/>
          <w:lang w:val="pt-PT"/>
        </w:rPr>
        <w:t>Sobredosagem</w:t>
      </w:r>
      <w:bookmarkEnd w:id="12"/>
    </w:p>
    <w:p w14:paraId="3B04A7C0" w14:textId="77777777" w:rsidR="00030085" w:rsidRPr="00110D6C" w:rsidRDefault="00030085" w:rsidP="00A17623">
      <w:pPr>
        <w:widowControl/>
        <w:rPr>
          <w:rFonts w:cs="Times New Roman"/>
          <w:color w:val="auto"/>
          <w:szCs w:val="22"/>
          <w:lang w:val="pt-PT"/>
        </w:rPr>
      </w:pPr>
    </w:p>
    <w:p w14:paraId="3CA4512F"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Foram administradas doses únicas até </w:t>
      </w:r>
      <w:r w:rsidR="00B910F9" w:rsidRPr="00110D6C">
        <w:rPr>
          <w:rFonts w:cs="Times New Roman"/>
          <w:color w:val="auto"/>
          <w:szCs w:val="22"/>
          <w:lang w:val="pt-PT"/>
        </w:rPr>
        <w:t>6 </w:t>
      </w:r>
      <w:r w:rsidRPr="00110D6C">
        <w:rPr>
          <w:rFonts w:cs="Times New Roman"/>
          <w:color w:val="auto"/>
          <w:szCs w:val="22"/>
          <w:lang w:val="pt-PT"/>
        </w:rPr>
        <w:t>mg/kg, por via intravenosa, em estudos clínicos sem toxicidade limitante de dose. No caso de sobredosagem, recomenda-se a monitorização do doente em relação a quaisquer sinais ou sintomas de reações adversas e a instituição imediata de tratamento sintomático apropriado.</w:t>
      </w:r>
    </w:p>
    <w:p w14:paraId="06CB4927" w14:textId="77777777" w:rsidR="00DC3C01" w:rsidRPr="00110D6C" w:rsidRDefault="00DC3C01" w:rsidP="002057DA">
      <w:pPr>
        <w:widowControl/>
        <w:rPr>
          <w:rFonts w:cs="Times New Roman"/>
          <w:bCs/>
          <w:color w:val="auto"/>
          <w:szCs w:val="22"/>
          <w:lang w:val="pt-PT"/>
        </w:rPr>
      </w:pPr>
    </w:p>
    <w:p w14:paraId="3FC1FED0" w14:textId="77777777" w:rsidR="00DC3C01" w:rsidRPr="00110D6C" w:rsidRDefault="00DC3C01" w:rsidP="002057DA">
      <w:pPr>
        <w:widowControl/>
        <w:rPr>
          <w:rFonts w:cs="Times New Roman"/>
          <w:bCs/>
          <w:color w:val="auto"/>
          <w:szCs w:val="22"/>
          <w:lang w:val="pt-PT"/>
        </w:rPr>
      </w:pPr>
    </w:p>
    <w:p w14:paraId="10593A65"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5.</w:t>
      </w:r>
      <w:r w:rsidRPr="00110D6C">
        <w:rPr>
          <w:rFonts w:cs="Times New Roman"/>
          <w:b/>
          <w:bCs/>
          <w:color w:val="auto"/>
          <w:szCs w:val="22"/>
          <w:lang w:val="pt-PT"/>
        </w:rPr>
        <w:tab/>
      </w:r>
      <w:r w:rsidR="00030085" w:rsidRPr="00110D6C">
        <w:rPr>
          <w:rFonts w:cs="Times New Roman"/>
          <w:b/>
          <w:bCs/>
          <w:color w:val="auto"/>
          <w:szCs w:val="22"/>
          <w:lang w:val="pt-PT"/>
        </w:rPr>
        <w:t>PROPRIEDADES FARMACOLÓGICAS</w:t>
      </w:r>
    </w:p>
    <w:p w14:paraId="4A21FD72" w14:textId="77777777" w:rsidR="00DC3C01" w:rsidRPr="00110D6C" w:rsidRDefault="00DC3C01" w:rsidP="002057DA">
      <w:pPr>
        <w:widowControl/>
        <w:rPr>
          <w:rFonts w:cs="Times New Roman"/>
          <w:bCs/>
          <w:color w:val="auto"/>
          <w:szCs w:val="22"/>
          <w:lang w:val="pt-PT"/>
        </w:rPr>
      </w:pPr>
      <w:bookmarkStart w:id="13" w:name="bookmark24"/>
    </w:p>
    <w:p w14:paraId="1504E691"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5.1</w:t>
      </w:r>
      <w:r w:rsidRPr="00110D6C">
        <w:rPr>
          <w:rFonts w:cs="Times New Roman"/>
          <w:b/>
          <w:bCs/>
          <w:color w:val="auto"/>
          <w:szCs w:val="22"/>
          <w:lang w:val="pt-PT"/>
        </w:rPr>
        <w:tab/>
      </w:r>
      <w:r w:rsidR="00030085" w:rsidRPr="00110D6C">
        <w:rPr>
          <w:rFonts w:cs="Times New Roman"/>
          <w:b/>
          <w:bCs/>
          <w:color w:val="auto"/>
          <w:szCs w:val="22"/>
          <w:lang w:val="pt-PT"/>
        </w:rPr>
        <w:t>Propriedades farmacodinâmicas</w:t>
      </w:r>
      <w:bookmarkEnd w:id="13"/>
    </w:p>
    <w:p w14:paraId="780E0E95" w14:textId="77777777" w:rsidR="00030085" w:rsidRPr="00110D6C" w:rsidRDefault="00030085" w:rsidP="00A17623">
      <w:pPr>
        <w:widowControl/>
        <w:rPr>
          <w:rFonts w:cs="Times New Roman"/>
          <w:color w:val="auto"/>
          <w:szCs w:val="22"/>
          <w:lang w:val="pt-PT"/>
        </w:rPr>
      </w:pPr>
    </w:p>
    <w:p w14:paraId="4E525606"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Grupo farmacoterapêutico: Imunossupressores, inibidores da interleucina, código ATC: L04AC05</w:t>
      </w:r>
    </w:p>
    <w:p w14:paraId="47BB1399" w14:textId="77777777" w:rsidR="00030085" w:rsidRPr="00110D6C" w:rsidRDefault="00030085" w:rsidP="00A17623">
      <w:pPr>
        <w:widowControl/>
        <w:rPr>
          <w:rFonts w:cs="Times New Roman"/>
          <w:color w:val="auto"/>
          <w:szCs w:val="22"/>
          <w:lang w:val="pt-PT"/>
        </w:rPr>
      </w:pPr>
    </w:p>
    <w:p w14:paraId="54B00F24" w14:textId="77777777" w:rsidR="00110D6C" w:rsidRPr="00AD342C" w:rsidRDefault="00110D6C" w:rsidP="00110D6C">
      <w:pPr>
        <w:widowControl/>
        <w:rPr>
          <w:rFonts w:cs="Times New Roman"/>
          <w:color w:val="auto"/>
          <w:szCs w:val="22"/>
          <w:lang w:val="pt-PT"/>
        </w:rPr>
      </w:pPr>
      <w:r>
        <w:rPr>
          <w:rFonts w:cs="Times New Roman"/>
          <w:color w:val="auto"/>
          <w:szCs w:val="22"/>
          <w:lang w:val="pt-PT"/>
        </w:rPr>
        <w:t>Fymskina</w:t>
      </w:r>
      <w:r w:rsidRPr="00AD342C">
        <w:rPr>
          <w:rFonts w:cs="Times New Roman"/>
          <w:color w:val="auto"/>
          <w:szCs w:val="22"/>
          <w:lang w:val="pt-PT"/>
        </w:rPr>
        <w:t xml:space="preserve"> </w:t>
      </w:r>
      <w:r w:rsidRPr="00AD342C">
        <w:rPr>
          <w:lang w:val="pt-PT"/>
        </w:rPr>
        <w:t xml:space="preserve">é um medicamento biológico similar. Está disponível informação pormenorizada no sítio da internet da Agência Europeia de Medicamentos </w:t>
      </w:r>
      <w:hyperlink r:id="rId11" w:history="1">
        <w:r w:rsidRPr="00AD342C">
          <w:rPr>
            <w:rStyle w:val="Hyperlink"/>
            <w:noProof/>
            <w:lang w:val="pt-PT"/>
          </w:rPr>
          <w:t>https://www.ema.europa.eu</w:t>
        </w:r>
      </w:hyperlink>
      <w:r w:rsidRPr="00AD342C">
        <w:rPr>
          <w:color w:val="0000FF"/>
          <w:lang w:val="pt-PT"/>
        </w:rPr>
        <w:t>.</w:t>
      </w:r>
    </w:p>
    <w:p w14:paraId="4737522C" w14:textId="77777777" w:rsidR="00110D6C" w:rsidRDefault="00110D6C" w:rsidP="00A17623">
      <w:pPr>
        <w:widowControl/>
        <w:rPr>
          <w:rFonts w:cs="Times New Roman"/>
          <w:color w:val="auto"/>
          <w:szCs w:val="22"/>
          <w:u w:val="single"/>
          <w:lang w:val="pt-PT"/>
        </w:rPr>
      </w:pPr>
    </w:p>
    <w:p w14:paraId="6EEBB23D" w14:textId="4E3E4DB1"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Mecanismo de ação</w:t>
      </w:r>
    </w:p>
    <w:p w14:paraId="6321D04F" w14:textId="7F00A846" w:rsidR="0077031F" w:rsidRPr="00110D6C" w:rsidRDefault="00030085" w:rsidP="00A17623">
      <w:pPr>
        <w:widowControl/>
        <w:rPr>
          <w:rFonts w:cs="Times New Roman"/>
          <w:color w:val="auto"/>
          <w:szCs w:val="22"/>
          <w:lang w:val="pt-PT"/>
        </w:rPr>
      </w:pPr>
      <w:r w:rsidRPr="00110D6C">
        <w:rPr>
          <w:rFonts w:cs="Times New Roman"/>
          <w:color w:val="auto"/>
          <w:szCs w:val="22"/>
          <w:lang w:val="pt-PT"/>
        </w:rPr>
        <w:t>O ustecinumab é um anticorpo monoclonal IgG1κ totalmente humano que se liga com especificidade à subunidade partilhada da proteína p4</w:t>
      </w:r>
      <w:r w:rsidR="00B910F9" w:rsidRPr="00110D6C">
        <w:rPr>
          <w:rFonts w:cs="Times New Roman"/>
          <w:color w:val="auto"/>
          <w:szCs w:val="22"/>
          <w:lang w:val="pt-PT"/>
        </w:rPr>
        <w:t>0</w:t>
      </w:r>
      <w:r w:rsidR="008B0F32">
        <w:rPr>
          <w:rFonts w:cs="Times New Roman"/>
          <w:color w:val="auto"/>
          <w:szCs w:val="22"/>
          <w:lang w:val="pt-PT"/>
        </w:rPr>
        <w:t xml:space="preserve"> </w:t>
      </w:r>
      <w:r w:rsidRPr="00110D6C">
        <w:rPr>
          <w:rFonts w:cs="Times New Roman"/>
          <w:color w:val="auto"/>
          <w:szCs w:val="22"/>
          <w:lang w:val="pt-PT"/>
        </w:rPr>
        <w:t>das citocinas humanas interleucina (IL)-1</w:t>
      </w:r>
      <w:r w:rsidR="00B910F9" w:rsidRPr="00110D6C">
        <w:rPr>
          <w:rFonts w:cs="Times New Roman"/>
          <w:color w:val="auto"/>
          <w:szCs w:val="22"/>
          <w:lang w:val="pt-PT"/>
        </w:rPr>
        <w:t>2 </w:t>
      </w:r>
      <w:r w:rsidRPr="00110D6C">
        <w:rPr>
          <w:rFonts w:cs="Times New Roman"/>
          <w:color w:val="auto"/>
          <w:szCs w:val="22"/>
          <w:lang w:val="pt-PT"/>
        </w:rPr>
        <w:t>e IL-23. O ustecinumab inibe a bioatividade das IL-1</w:t>
      </w:r>
      <w:r w:rsidR="00B910F9" w:rsidRPr="00110D6C">
        <w:rPr>
          <w:rFonts w:cs="Times New Roman"/>
          <w:color w:val="auto"/>
          <w:szCs w:val="22"/>
          <w:lang w:val="pt-PT"/>
        </w:rPr>
        <w:t>2 </w:t>
      </w:r>
      <w:r w:rsidRPr="00110D6C">
        <w:rPr>
          <w:rFonts w:cs="Times New Roman"/>
          <w:color w:val="auto"/>
          <w:szCs w:val="22"/>
          <w:lang w:val="pt-PT"/>
        </w:rPr>
        <w:t>e IL-2</w:t>
      </w:r>
      <w:r w:rsidR="00B910F9" w:rsidRPr="00110D6C">
        <w:rPr>
          <w:rFonts w:cs="Times New Roman"/>
          <w:color w:val="auto"/>
          <w:szCs w:val="22"/>
          <w:lang w:val="pt-PT"/>
        </w:rPr>
        <w:t>3 </w:t>
      </w:r>
      <w:r w:rsidRPr="00110D6C">
        <w:rPr>
          <w:rFonts w:cs="Times New Roman"/>
          <w:color w:val="auto"/>
          <w:szCs w:val="22"/>
          <w:lang w:val="pt-PT"/>
        </w:rPr>
        <w:t>humanas, ao impedir que a p4</w:t>
      </w:r>
      <w:r w:rsidR="00B910F9" w:rsidRPr="00110D6C">
        <w:rPr>
          <w:rFonts w:cs="Times New Roman"/>
          <w:color w:val="auto"/>
          <w:szCs w:val="22"/>
          <w:lang w:val="pt-PT"/>
        </w:rPr>
        <w:t>0 </w:t>
      </w:r>
      <w:r w:rsidRPr="00110D6C">
        <w:rPr>
          <w:rFonts w:cs="Times New Roman"/>
          <w:color w:val="auto"/>
          <w:szCs w:val="22"/>
          <w:lang w:val="pt-PT"/>
        </w:rPr>
        <w:t>se ligue ao seu recetor proteico IL-12R</w:t>
      </w:r>
      <w:r w:rsidR="005562CC" w:rsidRPr="00110D6C">
        <w:rPr>
          <w:rFonts w:cs="Times New Roman"/>
          <w:color w:val="auto"/>
          <w:szCs w:val="22"/>
          <w:lang w:val="pt-PT"/>
        </w:rPr>
        <w:sym w:font="Symbol" w:char="F062"/>
      </w:r>
      <w:r w:rsidR="00B910F9" w:rsidRPr="00110D6C">
        <w:rPr>
          <w:rFonts w:cs="Times New Roman"/>
          <w:color w:val="auto"/>
          <w:szCs w:val="22"/>
          <w:lang w:val="pt-PT"/>
        </w:rPr>
        <w:t>1 </w:t>
      </w:r>
      <w:r w:rsidRPr="00110D6C">
        <w:rPr>
          <w:rFonts w:cs="Times New Roman"/>
          <w:color w:val="auto"/>
          <w:szCs w:val="22"/>
          <w:lang w:val="pt-PT"/>
        </w:rPr>
        <w:t>expresso na superfície das células imunitárias. O ustecinumab não se liga à IL-1</w:t>
      </w:r>
      <w:r w:rsidR="00B910F9" w:rsidRPr="00110D6C">
        <w:rPr>
          <w:rFonts w:cs="Times New Roman"/>
          <w:color w:val="auto"/>
          <w:szCs w:val="22"/>
          <w:lang w:val="pt-PT"/>
        </w:rPr>
        <w:t>2 </w:t>
      </w:r>
      <w:r w:rsidRPr="00110D6C">
        <w:rPr>
          <w:rFonts w:cs="Times New Roman"/>
          <w:color w:val="auto"/>
          <w:szCs w:val="22"/>
          <w:lang w:val="pt-PT"/>
        </w:rPr>
        <w:t>ou à IL-2</w:t>
      </w:r>
      <w:r w:rsidR="00B910F9" w:rsidRPr="00110D6C">
        <w:rPr>
          <w:rFonts w:cs="Times New Roman"/>
          <w:color w:val="auto"/>
          <w:szCs w:val="22"/>
          <w:lang w:val="pt-PT"/>
        </w:rPr>
        <w:t>3 </w:t>
      </w:r>
      <w:r w:rsidRPr="00110D6C">
        <w:rPr>
          <w:rFonts w:cs="Times New Roman"/>
          <w:color w:val="auto"/>
          <w:szCs w:val="22"/>
          <w:lang w:val="pt-PT"/>
        </w:rPr>
        <w:t>quando estas se encontram já ligadas aos recetores IL-12R</w:t>
      </w:r>
      <w:r w:rsidR="005562CC" w:rsidRPr="00110D6C">
        <w:rPr>
          <w:rFonts w:cs="Times New Roman"/>
          <w:color w:val="auto"/>
          <w:szCs w:val="22"/>
          <w:lang w:val="pt-PT"/>
        </w:rPr>
        <w:sym w:font="Symbol" w:char="F062"/>
      </w:r>
      <w:r w:rsidR="00B910F9" w:rsidRPr="00110D6C">
        <w:rPr>
          <w:rFonts w:cs="Times New Roman"/>
          <w:color w:val="auto"/>
          <w:szCs w:val="22"/>
          <w:lang w:val="pt-PT"/>
        </w:rPr>
        <w:t>1 </w:t>
      </w:r>
      <w:r w:rsidRPr="00110D6C">
        <w:rPr>
          <w:rFonts w:cs="Times New Roman"/>
          <w:color w:val="auto"/>
          <w:szCs w:val="22"/>
          <w:lang w:val="pt-PT"/>
        </w:rPr>
        <w:t>da superfície celular. Assim, não é provável que o ustecinumab contribua para a citotoxicidade mediada por complemento ou por anticorpo das células com recetores da IL-1</w:t>
      </w:r>
      <w:r w:rsidR="00B910F9" w:rsidRPr="00110D6C">
        <w:rPr>
          <w:rFonts w:cs="Times New Roman"/>
          <w:color w:val="auto"/>
          <w:szCs w:val="22"/>
          <w:lang w:val="pt-PT"/>
        </w:rPr>
        <w:t>2 </w:t>
      </w:r>
      <w:r w:rsidRPr="00110D6C">
        <w:rPr>
          <w:rFonts w:cs="Times New Roman"/>
          <w:color w:val="auto"/>
          <w:szCs w:val="22"/>
          <w:lang w:val="pt-PT"/>
        </w:rPr>
        <w:t>e/ou da IL-23. A IL-1</w:t>
      </w:r>
      <w:r w:rsidR="00B910F9" w:rsidRPr="00110D6C">
        <w:rPr>
          <w:rFonts w:cs="Times New Roman"/>
          <w:color w:val="auto"/>
          <w:szCs w:val="22"/>
          <w:lang w:val="pt-PT"/>
        </w:rPr>
        <w:t>2 </w:t>
      </w:r>
      <w:r w:rsidRPr="00110D6C">
        <w:rPr>
          <w:rFonts w:cs="Times New Roman"/>
          <w:color w:val="auto"/>
          <w:szCs w:val="22"/>
          <w:lang w:val="pt-PT"/>
        </w:rPr>
        <w:t>e a IL-2</w:t>
      </w:r>
      <w:r w:rsidR="00B910F9" w:rsidRPr="00110D6C">
        <w:rPr>
          <w:rFonts w:cs="Times New Roman"/>
          <w:color w:val="auto"/>
          <w:szCs w:val="22"/>
          <w:lang w:val="pt-PT"/>
        </w:rPr>
        <w:t>3 </w:t>
      </w:r>
      <w:r w:rsidRPr="00110D6C">
        <w:rPr>
          <w:rFonts w:cs="Times New Roman"/>
          <w:color w:val="auto"/>
          <w:szCs w:val="22"/>
          <w:lang w:val="pt-PT"/>
        </w:rPr>
        <w:t>são citocinas heterodiméricas secretadas por células ativadas por antigénios, tais como macrófagos e células dendríticas, e ambas as citocinas participam em funções imunitárias; a IL-1</w:t>
      </w:r>
      <w:r w:rsidR="00B910F9" w:rsidRPr="00110D6C">
        <w:rPr>
          <w:rFonts w:cs="Times New Roman"/>
          <w:color w:val="auto"/>
          <w:szCs w:val="22"/>
          <w:lang w:val="pt-PT"/>
        </w:rPr>
        <w:t>2 </w:t>
      </w:r>
      <w:r w:rsidRPr="00110D6C">
        <w:rPr>
          <w:rFonts w:cs="Times New Roman"/>
          <w:color w:val="auto"/>
          <w:szCs w:val="22"/>
          <w:lang w:val="pt-PT"/>
        </w:rPr>
        <w:t xml:space="preserve">estimula as células </w:t>
      </w:r>
      <w:r w:rsidRPr="00110D6C">
        <w:rPr>
          <w:rFonts w:cs="Times New Roman"/>
          <w:i/>
          <w:iCs/>
          <w:color w:val="auto"/>
          <w:szCs w:val="22"/>
          <w:lang w:val="pt-PT"/>
        </w:rPr>
        <w:t>natural killer</w:t>
      </w:r>
      <w:r w:rsidRPr="00110D6C">
        <w:rPr>
          <w:rFonts w:cs="Times New Roman"/>
          <w:color w:val="auto"/>
          <w:szCs w:val="22"/>
          <w:lang w:val="pt-PT"/>
        </w:rPr>
        <w:t xml:space="preserve"> (NK) e a diferenciação das células T CD4+ no fenótipo T </w:t>
      </w:r>
      <w:r w:rsidRPr="00110D6C">
        <w:rPr>
          <w:rFonts w:cs="Times New Roman"/>
          <w:i/>
          <w:iCs/>
          <w:color w:val="auto"/>
          <w:szCs w:val="22"/>
          <w:lang w:val="pt-PT"/>
        </w:rPr>
        <w:t>helper</w:t>
      </w:r>
      <w:r w:rsidRPr="00110D6C">
        <w:rPr>
          <w:rFonts w:cs="Times New Roman"/>
          <w:color w:val="auto"/>
          <w:szCs w:val="22"/>
          <w:lang w:val="pt-PT"/>
        </w:rPr>
        <w:t xml:space="preserve"> </w:t>
      </w:r>
      <w:r w:rsidR="00B910F9" w:rsidRPr="00110D6C">
        <w:rPr>
          <w:rFonts w:cs="Times New Roman"/>
          <w:color w:val="auto"/>
          <w:szCs w:val="22"/>
          <w:lang w:val="pt-PT"/>
        </w:rPr>
        <w:t>1 </w:t>
      </w:r>
      <w:r w:rsidRPr="00110D6C">
        <w:rPr>
          <w:rFonts w:cs="Times New Roman"/>
          <w:color w:val="auto"/>
          <w:szCs w:val="22"/>
          <w:lang w:val="pt-PT"/>
        </w:rPr>
        <w:t>(Th1), a IL-2</w:t>
      </w:r>
      <w:r w:rsidR="00B910F9" w:rsidRPr="00110D6C">
        <w:rPr>
          <w:rFonts w:cs="Times New Roman"/>
          <w:color w:val="auto"/>
          <w:szCs w:val="22"/>
          <w:lang w:val="pt-PT"/>
        </w:rPr>
        <w:t>3 </w:t>
      </w:r>
      <w:r w:rsidRPr="00110D6C">
        <w:rPr>
          <w:rFonts w:cs="Times New Roman"/>
          <w:color w:val="auto"/>
          <w:szCs w:val="22"/>
          <w:lang w:val="pt-PT"/>
        </w:rPr>
        <w:t xml:space="preserve">induz a via T </w:t>
      </w:r>
      <w:r w:rsidRPr="00110D6C">
        <w:rPr>
          <w:rFonts w:cs="Times New Roman"/>
          <w:i/>
          <w:iCs/>
          <w:color w:val="auto"/>
          <w:szCs w:val="22"/>
          <w:lang w:val="pt-PT"/>
        </w:rPr>
        <w:t>helper</w:t>
      </w:r>
      <w:r w:rsidRPr="00110D6C">
        <w:rPr>
          <w:rFonts w:cs="Times New Roman"/>
          <w:color w:val="auto"/>
          <w:szCs w:val="22"/>
          <w:lang w:val="pt-PT"/>
        </w:rPr>
        <w:t xml:space="preserve"> 1</w:t>
      </w:r>
      <w:r w:rsidR="00B910F9" w:rsidRPr="00110D6C">
        <w:rPr>
          <w:rFonts w:cs="Times New Roman"/>
          <w:color w:val="auto"/>
          <w:szCs w:val="22"/>
          <w:lang w:val="pt-PT"/>
        </w:rPr>
        <w:t>7 </w:t>
      </w:r>
      <w:r w:rsidRPr="00110D6C">
        <w:rPr>
          <w:rFonts w:cs="Times New Roman"/>
          <w:color w:val="auto"/>
          <w:szCs w:val="22"/>
          <w:lang w:val="pt-PT"/>
        </w:rPr>
        <w:t>(Th17). No entanto, a regulação anómala das interleucinas, IL-1</w:t>
      </w:r>
      <w:r w:rsidR="00B910F9" w:rsidRPr="00110D6C">
        <w:rPr>
          <w:rFonts w:cs="Times New Roman"/>
          <w:color w:val="auto"/>
          <w:szCs w:val="22"/>
          <w:lang w:val="pt-PT"/>
        </w:rPr>
        <w:t>2</w:t>
      </w:r>
      <w:r w:rsidR="00110D6C">
        <w:rPr>
          <w:rFonts w:cs="Times New Roman"/>
          <w:color w:val="auto"/>
          <w:szCs w:val="22"/>
          <w:lang w:val="pt-PT"/>
        </w:rPr>
        <w:t xml:space="preserve"> </w:t>
      </w:r>
      <w:r w:rsidRPr="00110D6C">
        <w:rPr>
          <w:rFonts w:cs="Times New Roman"/>
          <w:color w:val="auto"/>
          <w:szCs w:val="22"/>
          <w:lang w:val="pt-PT"/>
        </w:rPr>
        <w:t>e IL-23, tem sido associada a doenças mediadas pelo sistema imunitário, tais como a psoríase, a artrite psoriática</w:t>
      </w:r>
      <w:r w:rsidR="00627B02">
        <w:rPr>
          <w:rFonts w:cs="Times New Roman"/>
          <w:color w:val="auto"/>
          <w:szCs w:val="22"/>
          <w:lang w:val="pt-PT"/>
        </w:rPr>
        <w:t xml:space="preserve"> e</w:t>
      </w:r>
      <w:r w:rsidRPr="00110D6C">
        <w:rPr>
          <w:rFonts w:cs="Times New Roman"/>
          <w:color w:val="auto"/>
          <w:szCs w:val="22"/>
          <w:lang w:val="pt-PT"/>
        </w:rPr>
        <w:t xml:space="preserve"> a doença de Crohn.</w:t>
      </w:r>
    </w:p>
    <w:p w14:paraId="2341542C" w14:textId="77777777" w:rsidR="00030085" w:rsidRPr="00110D6C" w:rsidRDefault="00030085" w:rsidP="00A17623">
      <w:pPr>
        <w:widowControl/>
        <w:rPr>
          <w:rFonts w:cs="Times New Roman"/>
          <w:color w:val="auto"/>
          <w:szCs w:val="22"/>
          <w:lang w:val="pt-PT"/>
        </w:rPr>
      </w:pPr>
    </w:p>
    <w:p w14:paraId="1C46DDEC" w14:textId="3BDEF36C" w:rsidR="0077031F" w:rsidRPr="00110D6C" w:rsidRDefault="00030085" w:rsidP="00A17623">
      <w:pPr>
        <w:widowControl/>
        <w:rPr>
          <w:rFonts w:cs="Times New Roman"/>
          <w:color w:val="auto"/>
          <w:szCs w:val="22"/>
          <w:lang w:val="pt-PT"/>
        </w:rPr>
      </w:pPr>
      <w:r w:rsidRPr="00110D6C">
        <w:rPr>
          <w:rFonts w:cs="Times New Roman"/>
          <w:color w:val="auto"/>
          <w:szCs w:val="22"/>
          <w:lang w:val="pt-PT"/>
        </w:rPr>
        <w:t>Através da ligação à subunidade partilhada da proteína p4</w:t>
      </w:r>
      <w:r w:rsidR="00B910F9" w:rsidRPr="00110D6C">
        <w:rPr>
          <w:rFonts w:cs="Times New Roman"/>
          <w:color w:val="auto"/>
          <w:szCs w:val="22"/>
          <w:lang w:val="pt-PT"/>
        </w:rPr>
        <w:t>0 </w:t>
      </w:r>
      <w:r w:rsidRPr="00110D6C">
        <w:rPr>
          <w:rFonts w:cs="Times New Roman"/>
          <w:color w:val="auto"/>
          <w:szCs w:val="22"/>
          <w:lang w:val="pt-PT"/>
        </w:rPr>
        <w:t>da IL-1</w:t>
      </w:r>
      <w:r w:rsidR="00B910F9" w:rsidRPr="00110D6C">
        <w:rPr>
          <w:rFonts w:cs="Times New Roman"/>
          <w:color w:val="auto"/>
          <w:szCs w:val="22"/>
          <w:lang w:val="pt-PT"/>
        </w:rPr>
        <w:t>2 </w:t>
      </w:r>
      <w:r w:rsidRPr="00110D6C">
        <w:rPr>
          <w:rFonts w:cs="Times New Roman"/>
          <w:color w:val="auto"/>
          <w:szCs w:val="22"/>
          <w:lang w:val="pt-PT"/>
        </w:rPr>
        <w:t xml:space="preserve">e IL-23, o ustecinumab pode exercer o seu efeito clínico </w:t>
      </w:r>
      <w:r w:rsidR="00CA509F">
        <w:rPr>
          <w:rFonts w:cs="Times New Roman"/>
          <w:color w:val="auto"/>
          <w:szCs w:val="22"/>
          <w:lang w:val="pt-PT"/>
        </w:rPr>
        <w:t xml:space="preserve">sobre </w:t>
      </w:r>
      <w:r w:rsidRPr="00110D6C">
        <w:rPr>
          <w:rFonts w:cs="Times New Roman"/>
          <w:color w:val="auto"/>
          <w:szCs w:val="22"/>
          <w:lang w:val="pt-PT"/>
        </w:rPr>
        <w:t>a psoríase, a artrite psoriática</w:t>
      </w:r>
      <w:r w:rsidR="00627B02">
        <w:rPr>
          <w:rFonts w:cs="Times New Roman"/>
          <w:color w:val="auto"/>
          <w:szCs w:val="22"/>
          <w:lang w:val="pt-PT"/>
        </w:rPr>
        <w:t xml:space="preserve"> e</w:t>
      </w:r>
      <w:r w:rsidRPr="00110D6C">
        <w:rPr>
          <w:rFonts w:cs="Times New Roman"/>
          <w:color w:val="auto"/>
          <w:szCs w:val="22"/>
          <w:lang w:val="pt-PT"/>
        </w:rPr>
        <w:t xml:space="preserve"> a doença de Crohn através da interrupção das vias das citocinas Th</w:t>
      </w:r>
      <w:r w:rsidR="00B910F9" w:rsidRPr="00110D6C">
        <w:rPr>
          <w:rFonts w:cs="Times New Roman"/>
          <w:color w:val="auto"/>
          <w:szCs w:val="22"/>
          <w:lang w:val="pt-PT"/>
        </w:rPr>
        <w:t>1 </w:t>
      </w:r>
      <w:r w:rsidRPr="00110D6C">
        <w:rPr>
          <w:rFonts w:cs="Times New Roman"/>
          <w:color w:val="auto"/>
          <w:szCs w:val="22"/>
          <w:lang w:val="pt-PT"/>
        </w:rPr>
        <w:t>e Th17, ambas essenciais para a patologia destas doenças.</w:t>
      </w:r>
    </w:p>
    <w:p w14:paraId="65BC7A94" w14:textId="77777777" w:rsidR="00030085" w:rsidRPr="00110D6C" w:rsidRDefault="00030085" w:rsidP="00A17623">
      <w:pPr>
        <w:widowControl/>
        <w:rPr>
          <w:rFonts w:cs="Times New Roman"/>
          <w:color w:val="auto"/>
          <w:szCs w:val="22"/>
          <w:lang w:val="pt-PT"/>
        </w:rPr>
      </w:pPr>
    </w:p>
    <w:p w14:paraId="0AB7636D"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Em doentes com doença de Crohn, o tratamento com ustecinumab resultou numa diminuição dos marcadores inflamatórios incluindo a Proteína C Reativa (PCR) e a calprotectina fecal durante a fase de indução, os quais foram mantidos durante a fase de manutenção. A PCR foi avaliada durante a extensão do estudo e as reduções observadas durante a manutenção foram, de forma geral, sustentadas até à semana</w:t>
      </w:r>
      <w:r w:rsidR="005B2D5C" w:rsidRPr="00110D6C">
        <w:rPr>
          <w:rFonts w:cs="Times New Roman"/>
          <w:color w:val="auto"/>
          <w:szCs w:val="22"/>
          <w:lang w:val="pt-PT"/>
        </w:rPr>
        <w:t> </w:t>
      </w:r>
      <w:r w:rsidRPr="00110D6C">
        <w:rPr>
          <w:rFonts w:cs="Times New Roman"/>
          <w:color w:val="auto"/>
          <w:szCs w:val="22"/>
          <w:lang w:val="pt-PT"/>
        </w:rPr>
        <w:t>252.</w:t>
      </w:r>
    </w:p>
    <w:p w14:paraId="18911E31" w14:textId="77777777" w:rsidR="00030085" w:rsidRPr="00110D6C" w:rsidRDefault="00030085" w:rsidP="00A17623">
      <w:pPr>
        <w:widowControl/>
        <w:rPr>
          <w:rFonts w:cs="Times New Roman"/>
          <w:color w:val="auto"/>
          <w:szCs w:val="22"/>
          <w:lang w:val="pt-PT"/>
        </w:rPr>
      </w:pPr>
    </w:p>
    <w:p w14:paraId="124008A8"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Imunização</w:t>
      </w:r>
    </w:p>
    <w:p w14:paraId="3D98DA1E" w14:textId="3B1B22F4" w:rsidR="0077031F" w:rsidRPr="00110D6C" w:rsidRDefault="00030085" w:rsidP="00A17623">
      <w:pPr>
        <w:widowControl/>
        <w:rPr>
          <w:rFonts w:cs="Times New Roman"/>
          <w:color w:val="auto"/>
          <w:szCs w:val="22"/>
          <w:lang w:val="pt-PT"/>
        </w:rPr>
      </w:pPr>
      <w:r w:rsidRPr="00110D6C">
        <w:rPr>
          <w:rFonts w:cs="Times New Roman"/>
          <w:color w:val="auto"/>
          <w:szCs w:val="22"/>
          <w:lang w:val="pt-PT"/>
        </w:rPr>
        <w:lastRenderedPageBreak/>
        <w:t>Durante a extensão a longo prazo do Estudo da Psoríase</w:t>
      </w:r>
      <w:r w:rsidR="00F07000">
        <w:rPr>
          <w:rFonts w:cs="Times New Roman"/>
          <w:color w:val="auto"/>
          <w:szCs w:val="22"/>
          <w:lang w:val="pt-PT"/>
        </w:rPr>
        <w:t> </w:t>
      </w:r>
      <w:r w:rsidR="00B910F9" w:rsidRPr="00110D6C">
        <w:rPr>
          <w:rFonts w:cs="Times New Roman"/>
          <w:color w:val="auto"/>
          <w:szCs w:val="22"/>
          <w:lang w:val="pt-PT"/>
        </w:rPr>
        <w:t>2 </w:t>
      </w:r>
      <w:r w:rsidRPr="00110D6C">
        <w:rPr>
          <w:rFonts w:cs="Times New Roman"/>
          <w:color w:val="auto"/>
          <w:szCs w:val="22"/>
          <w:lang w:val="pt-PT"/>
        </w:rPr>
        <w:t xml:space="preserve">(PHOENIX 2), os doentes adultos tratados com </w:t>
      </w:r>
      <w:r w:rsidR="00110D6C" w:rsidRPr="00110D6C">
        <w:rPr>
          <w:rFonts w:cs="Times New Roman"/>
          <w:color w:val="auto"/>
          <w:szCs w:val="22"/>
          <w:lang w:val="pt-PT"/>
        </w:rPr>
        <w:t>ustecinumab</w:t>
      </w:r>
      <w:r w:rsidRPr="00110D6C">
        <w:rPr>
          <w:rFonts w:cs="Times New Roman"/>
          <w:color w:val="auto"/>
          <w:szCs w:val="22"/>
          <w:lang w:val="pt-PT"/>
        </w:rPr>
        <w:t xml:space="preserve"> por, pelo menos, 3,</w:t>
      </w:r>
      <w:r w:rsidR="00B910F9" w:rsidRPr="00110D6C">
        <w:rPr>
          <w:rFonts w:cs="Times New Roman"/>
          <w:color w:val="auto"/>
          <w:szCs w:val="22"/>
          <w:lang w:val="pt-PT"/>
        </w:rPr>
        <w:t>5 </w:t>
      </w:r>
      <w:r w:rsidRPr="00110D6C">
        <w:rPr>
          <w:rFonts w:cs="Times New Roman"/>
          <w:color w:val="auto"/>
          <w:szCs w:val="22"/>
          <w:lang w:val="pt-PT"/>
        </w:rPr>
        <w:t xml:space="preserve">anos desenvolveram respostas de anticorpos quer ao polissacárido do pneumococos quer à vacina do tétano, semelhantes ao grupo de controlo sujeito a tratamento não sistémico da psoríase. Proporções semelhantes de doentes adultos desenvolveram níveis protetores de anticorpos anti-pneumococos e anti-tétano e os títulos de anticorpos foram similares entre os doentes tratados com </w:t>
      </w:r>
      <w:r w:rsidR="00110D6C" w:rsidRPr="00110D6C">
        <w:rPr>
          <w:rFonts w:cs="Times New Roman"/>
          <w:color w:val="auto"/>
          <w:szCs w:val="22"/>
          <w:lang w:val="pt-PT"/>
        </w:rPr>
        <w:t>ustecinumab</w:t>
      </w:r>
      <w:r w:rsidRPr="00110D6C">
        <w:rPr>
          <w:rFonts w:cs="Times New Roman"/>
          <w:color w:val="auto"/>
          <w:szCs w:val="22"/>
          <w:lang w:val="pt-PT"/>
        </w:rPr>
        <w:t xml:space="preserve"> e doentes controlo.</w:t>
      </w:r>
    </w:p>
    <w:p w14:paraId="2BF47682" w14:textId="77777777" w:rsidR="00030085" w:rsidRPr="00110D6C" w:rsidRDefault="00030085" w:rsidP="00A17623">
      <w:pPr>
        <w:widowControl/>
        <w:rPr>
          <w:rFonts w:cs="Times New Roman"/>
          <w:color w:val="auto"/>
          <w:szCs w:val="22"/>
          <w:lang w:val="pt-PT"/>
        </w:rPr>
      </w:pPr>
    </w:p>
    <w:p w14:paraId="5C732940" w14:textId="77777777" w:rsidR="0077031F" w:rsidRPr="00110D6C" w:rsidRDefault="00030085" w:rsidP="00A121D2">
      <w:pPr>
        <w:keepNext/>
        <w:widowControl/>
        <w:rPr>
          <w:rFonts w:cs="Times New Roman"/>
          <w:color w:val="auto"/>
          <w:szCs w:val="22"/>
          <w:lang w:val="pt-PT"/>
        </w:rPr>
      </w:pPr>
      <w:r w:rsidRPr="00110D6C">
        <w:rPr>
          <w:rFonts w:cs="Times New Roman"/>
          <w:color w:val="auto"/>
          <w:szCs w:val="22"/>
          <w:u w:val="single"/>
          <w:lang w:val="pt-PT"/>
        </w:rPr>
        <w:t>Eficácia clínica</w:t>
      </w:r>
    </w:p>
    <w:p w14:paraId="490255CA" w14:textId="77777777" w:rsidR="00030085" w:rsidRPr="00110D6C" w:rsidRDefault="00030085" w:rsidP="00A121D2">
      <w:pPr>
        <w:keepNext/>
        <w:widowControl/>
        <w:rPr>
          <w:rFonts w:cs="Times New Roman"/>
          <w:color w:val="auto"/>
          <w:szCs w:val="22"/>
          <w:lang w:val="pt-PT"/>
        </w:rPr>
      </w:pPr>
    </w:p>
    <w:p w14:paraId="79A2028B" w14:textId="77777777" w:rsidR="0077031F" w:rsidRPr="00110D6C" w:rsidRDefault="00030085" w:rsidP="00A121D2">
      <w:pPr>
        <w:keepNext/>
        <w:widowControl/>
        <w:rPr>
          <w:rFonts w:cs="Times New Roman"/>
          <w:color w:val="auto"/>
          <w:szCs w:val="22"/>
          <w:lang w:val="pt-PT"/>
        </w:rPr>
      </w:pPr>
      <w:r w:rsidRPr="00110D6C">
        <w:rPr>
          <w:rFonts w:cs="Times New Roman"/>
          <w:color w:val="auto"/>
          <w:szCs w:val="22"/>
          <w:u w:val="single"/>
          <w:lang w:val="pt-PT"/>
        </w:rPr>
        <w:t>Doença de Crohn</w:t>
      </w:r>
    </w:p>
    <w:p w14:paraId="5748785E" w14:textId="77777777" w:rsidR="0077031F" w:rsidRPr="00110D6C" w:rsidRDefault="00030085" w:rsidP="00A121D2">
      <w:pPr>
        <w:keepNext/>
        <w:widowControl/>
        <w:rPr>
          <w:rFonts w:cs="Times New Roman"/>
          <w:color w:val="auto"/>
          <w:szCs w:val="22"/>
          <w:lang w:val="pt-PT"/>
        </w:rPr>
      </w:pPr>
      <w:r w:rsidRPr="00110D6C">
        <w:rPr>
          <w:rFonts w:cs="Times New Roman"/>
          <w:color w:val="auto"/>
          <w:szCs w:val="22"/>
          <w:lang w:val="pt-PT"/>
        </w:rPr>
        <w:t xml:space="preserve">A eficácia e segurança do ustecinumab foram avaliadas em três estudos multicêntricos, aleatorizados, com dupla ocultação, controlados por placebo, realizados em doentes adultos com doença de Crohn ativa moderada a grave (pontuação do </w:t>
      </w:r>
      <w:r w:rsidRPr="00110D6C">
        <w:rPr>
          <w:rFonts w:cs="Times New Roman"/>
          <w:i/>
          <w:iCs/>
          <w:color w:val="auto"/>
          <w:szCs w:val="22"/>
          <w:lang w:val="pt-PT"/>
        </w:rPr>
        <w:t>Crohn’s Disease Activity Index</w:t>
      </w:r>
      <w:r w:rsidRPr="00110D6C">
        <w:rPr>
          <w:rFonts w:cs="Times New Roman"/>
          <w:color w:val="auto"/>
          <w:szCs w:val="22"/>
          <w:lang w:val="pt-PT"/>
        </w:rPr>
        <w:t xml:space="preserve"> [CDAI] de ≥</w:t>
      </w:r>
      <w:r w:rsidR="00F5387C" w:rsidRPr="00110D6C">
        <w:rPr>
          <w:rFonts w:cs="Times New Roman"/>
          <w:color w:val="auto"/>
          <w:szCs w:val="22"/>
          <w:lang w:val="pt-PT"/>
        </w:rPr>
        <w:t> </w:t>
      </w:r>
      <w:r w:rsidRPr="00110D6C">
        <w:rPr>
          <w:rFonts w:cs="Times New Roman"/>
          <w:color w:val="auto"/>
          <w:szCs w:val="22"/>
          <w:lang w:val="pt-PT"/>
        </w:rPr>
        <w:t>22</w:t>
      </w:r>
      <w:r w:rsidR="00B910F9" w:rsidRPr="00110D6C">
        <w:rPr>
          <w:rFonts w:cs="Times New Roman"/>
          <w:color w:val="auto"/>
          <w:szCs w:val="22"/>
          <w:lang w:val="pt-PT"/>
        </w:rPr>
        <w:t>0 </w:t>
      </w:r>
      <w:r w:rsidRPr="00110D6C">
        <w:rPr>
          <w:rFonts w:cs="Times New Roman"/>
          <w:color w:val="auto"/>
          <w:szCs w:val="22"/>
          <w:lang w:val="pt-PT"/>
        </w:rPr>
        <w:t>e ≤</w:t>
      </w:r>
      <w:r w:rsidR="00F5387C" w:rsidRPr="00110D6C">
        <w:rPr>
          <w:rFonts w:cs="Times New Roman"/>
          <w:color w:val="auto"/>
          <w:szCs w:val="22"/>
          <w:lang w:val="pt-PT"/>
        </w:rPr>
        <w:t> </w:t>
      </w:r>
      <w:r w:rsidRPr="00110D6C">
        <w:rPr>
          <w:rFonts w:cs="Times New Roman"/>
          <w:color w:val="auto"/>
          <w:szCs w:val="22"/>
          <w:lang w:val="pt-PT"/>
        </w:rPr>
        <w:t xml:space="preserve">450). O programa de desenvolvimento clínico consistiu em dois estudos de indução intravenosa de </w:t>
      </w:r>
      <w:r w:rsidR="00B910F9" w:rsidRPr="00110D6C">
        <w:rPr>
          <w:rFonts w:cs="Times New Roman"/>
          <w:color w:val="auto"/>
          <w:szCs w:val="22"/>
          <w:lang w:val="pt-PT"/>
        </w:rPr>
        <w:t>8 </w:t>
      </w:r>
      <w:r w:rsidRPr="00110D6C">
        <w:rPr>
          <w:rFonts w:cs="Times New Roman"/>
          <w:color w:val="auto"/>
          <w:szCs w:val="22"/>
          <w:lang w:val="pt-PT"/>
        </w:rPr>
        <w:t>semanas (UNITI-</w:t>
      </w:r>
      <w:r w:rsidR="00B910F9" w:rsidRPr="00110D6C">
        <w:rPr>
          <w:rFonts w:cs="Times New Roman"/>
          <w:color w:val="auto"/>
          <w:szCs w:val="22"/>
          <w:lang w:val="pt-PT"/>
        </w:rPr>
        <w:t>1 </w:t>
      </w:r>
      <w:r w:rsidRPr="00110D6C">
        <w:rPr>
          <w:rFonts w:cs="Times New Roman"/>
          <w:color w:val="auto"/>
          <w:szCs w:val="22"/>
          <w:lang w:val="pt-PT"/>
        </w:rPr>
        <w:t>e UNITI-2), seguidos de um estudo de manutenção de remissão aleatorizado (IM-UNITI) de 4</w:t>
      </w:r>
      <w:r w:rsidR="00B910F9" w:rsidRPr="00110D6C">
        <w:rPr>
          <w:rFonts w:cs="Times New Roman"/>
          <w:color w:val="auto"/>
          <w:szCs w:val="22"/>
          <w:lang w:val="pt-PT"/>
        </w:rPr>
        <w:t>4 </w:t>
      </w:r>
      <w:r w:rsidRPr="00110D6C">
        <w:rPr>
          <w:rFonts w:cs="Times New Roman"/>
          <w:color w:val="auto"/>
          <w:szCs w:val="22"/>
          <w:lang w:val="pt-PT"/>
        </w:rPr>
        <w:t>semanas, por via subcutânea, o que representa 5</w:t>
      </w:r>
      <w:r w:rsidR="00B910F9" w:rsidRPr="00110D6C">
        <w:rPr>
          <w:rFonts w:cs="Times New Roman"/>
          <w:color w:val="auto"/>
          <w:szCs w:val="22"/>
          <w:lang w:val="pt-PT"/>
        </w:rPr>
        <w:t>2 </w:t>
      </w:r>
      <w:r w:rsidRPr="00110D6C">
        <w:rPr>
          <w:rFonts w:cs="Times New Roman"/>
          <w:color w:val="auto"/>
          <w:szCs w:val="22"/>
          <w:lang w:val="pt-PT"/>
        </w:rPr>
        <w:t>semanas de terapêutica.</w:t>
      </w:r>
    </w:p>
    <w:p w14:paraId="123EA151" w14:textId="77777777" w:rsidR="00030085" w:rsidRPr="00110D6C" w:rsidRDefault="00030085" w:rsidP="00A17623">
      <w:pPr>
        <w:widowControl/>
        <w:rPr>
          <w:rFonts w:cs="Times New Roman"/>
          <w:color w:val="auto"/>
          <w:szCs w:val="22"/>
          <w:lang w:val="pt-PT"/>
        </w:rPr>
      </w:pPr>
    </w:p>
    <w:p w14:paraId="07BF5AE0"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Os estudos de indução incluíram 140</w:t>
      </w:r>
      <w:r w:rsidR="00B910F9" w:rsidRPr="00110D6C">
        <w:rPr>
          <w:rFonts w:cs="Times New Roman"/>
          <w:color w:val="auto"/>
          <w:szCs w:val="22"/>
          <w:lang w:val="pt-PT"/>
        </w:rPr>
        <w:t>9</w:t>
      </w:r>
      <w:r w:rsidR="00F5387C" w:rsidRPr="00110D6C">
        <w:rPr>
          <w:rFonts w:cs="Times New Roman"/>
          <w:color w:val="auto"/>
          <w:szCs w:val="22"/>
          <w:lang w:val="pt-PT"/>
        </w:rPr>
        <w:t xml:space="preserve"> </w:t>
      </w:r>
      <w:r w:rsidRPr="00110D6C">
        <w:rPr>
          <w:rFonts w:cs="Times New Roman"/>
          <w:color w:val="auto"/>
          <w:szCs w:val="22"/>
          <w:lang w:val="pt-PT"/>
        </w:rPr>
        <w:t>(UNITI-1, n</w:t>
      </w:r>
      <w:r w:rsidR="00982985" w:rsidRPr="00110D6C">
        <w:rPr>
          <w:rFonts w:cs="Times New Roman"/>
          <w:color w:val="auto"/>
          <w:szCs w:val="22"/>
          <w:lang w:val="pt-PT"/>
        </w:rPr>
        <w:t> </w:t>
      </w:r>
      <w:r w:rsidRPr="00110D6C">
        <w:rPr>
          <w:rFonts w:cs="Times New Roman"/>
          <w:color w:val="auto"/>
          <w:szCs w:val="22"/>
          <w:lang w:val="pt-PT"/>
        </w:rPr>
        <w:t>=</w:t>
      </w:r>
      <w:r w:rsidR="00982985" w:rsidRPr="00110D6C">
        <w:rPr>
          <w:rFonts w:cs="Times New Roman"/>
          <w:color w:val="auto"/>
          <w:szCs w:val="22"/>
          <w:lang w:val="pt-PT"/>
        </w:rPr>
        <w:t> </w:t>
      </w:r>
      <w:r w:rsidRPr="00110D6C">
        <w:rPr>
          <w:rFonts w:cs="Times New Roman"/>
          <w:color w:val="auto"/>
          <w:szCs w:val="22"/>
          <w:lang w:val="pt-PT"/>
        </w:rPr>
        <w:t>769; UNITI-</w:t>
      </w:r>
      <w:r w:rsidR="00B910F9" w:rsidRPr="00110D6C">
        <w:rPr>
          <w:rFonts w:cs="Times New Roman"/>
          <w:color w:val="auto"/>
          <w:szCs w:val="22"/>
          <w:lang w:val="pt-PT"/>
        </w:rPr>
        <w:t>2 </w:t>
      </w:r>
      <w:r w:rsidRPr="00110D6C">
        <w:rPr>
          <w:rFonts w:cs="Times New Roman"/>
          <w:color w:val="auto"/>
          <w:szCs w:val="22"/>
          <w:lang w:val="pt-PT"/>
        </w:rPr>
        <w:t>n</w:t>
      </w:r>
      <w:r w:rsidR="00F5387C" w:rsidRPr="00110D6C">
        <w:rPr>
          <w:rFonts w:cs="Times New Roman"/>
          <w:color w:val="auto"/>
          <w:szCs w:val="22"/>
          <w:lang w:val="pt-PT"/>
        </w:rPr>
        <w:t> </w:t>
      </w:r>
      <w:r w:rsidRPr="00110D6C">
        <w:rPr>
          <w:rFonts w:cs="Times New Roman"/>
          <w:color w:val="auto"/>
          <w:szCs w:val="22"/>
          <w:lang w:val="pt-PT"/>
        </w:rPr>
        <w:t>=</w:t>
      </w:r>
      <w:r w:rsidR="00F5387C" w:rsidRPr="00110D6C">
        <w:rPr>
          <w:rFonts w:cs="Times New Roman"/>
          <w:color w:val="auto"/>
          <w:szCs w:val="22"/>
          <w:lang w:val="pt-PT"/>
        </w:rPr>
        <w:t> </w:t>
      </w:r>
      <w:r w:rsidRPr="00110D6C">
        <w:rPr>
          <w:rFonts w:cs="Times New Roman"/>
          <w:color w:val="auto"/>
          <w:szCs w:val="22"/>
          <w:lang w:val="pt-PT"/>
        </w:rPr>
        <w:t>640) doentes. O parâmetro de avaliação primário para ambos os estudos de indução foi a proporção de indivíduos com resposta clínica (definida como uma diminuição ≥</w:t>
      </w:r>
      <w:r w:rsidR="00F5387C" w:rsidRPr="00110D6C">
        <w:rPr>
          <w:rFonts w:cs="Times New Roman"/>
          <w:color w:val="auto"/>
          <w:szCs w:val="22"/>
          <w:lang w:val="pt-PT"/>
        </w:rPr>
        <w:t> </w:t>
      </w:r>
      <w:r w:rsidRPr="00110D6C">
        <w:rPr>
          <w:rFonts w:cs="Times New Roman"/>
          <w:color w:val="auto"/>
          <w:szCs w:val="22"/>
          <w:lang w:val="pt-PT"/>
        </w:rPr>
        <w:t>10</w:t>
      </w:r>
      <w:r w:rsidR="00B910F9" w:rsidRPr="00110D6C">
        <w:rPr>
          <w:rFonts w:cs="Times New Roman"/>
          <w:color w:val="auto"/>
          <w:szCs w:val="22"/>
          <w:lang w:val="pt-PT"/>
        </w:rPr>
        <w:t>0 </w:t>
      </w:r>
      <w:r w:rsidRPr="00110D6C">
        <w:rPr>
          <w:rFonts w:cs="Times New Roman"/>
          <w:color w:val="auto"/>
          <w:szCs w:val="22"/>
          <w:lang w:val="pt-PT"/>
        </w:rPr>
        <w:t>pontos na pontuação do CDAI) na semana</w:t>
      </w:r>
      <w:r w:rsidR="005B2D5C" w:rsidRPr="00110D6C">
        <w:rPr>
          <w:rFonts w:cs="Times New Roman"/>
          <w:color w:val="auto"/>
          <w:szCs w:val="22"/>
          <w:lang w:val="pt-PT"/>
        </w:rPr>
        <w:t> </w:t>
      </w:r>
      <w:r w:rsidRPr="00110D6C">
        <w:rPr>
          <w:rFonts w:cs="Times New Roman"/>
          <w:color w:val="auto"/>
          <w:szCs w:val="22"/>
          <w:lang w:val="pt-PT"/>
        </w:rPr>
        <w:t>6. Os dados de eficácia foram recolhidos e analisados até à semana</w:t>
      </w:r>
      <w:r w:rsidR="005B2D5C" w:rsidRPr="00110D6C">
        <w:rPr>
          <w:rFonts w:cs="Times New Roman"/>
          <w:color w:val="auto"/>
          <w:szCs w:val="22"/>
          <w:lang w:val="pt-PT"/>
        </w:rPr>
        <w:t> </w:t>
      </w:r>
      <w:r w:rsidR="00B910F9" w:rsidRPr="00110D6C">
        <w:rPr>
          <w:rFonts w:cs="Times New Roman"/>
          <w:color w:val="auto"/>
          <w:szCs w:val="22"/>
          <w:lang w:val="pt-PT"/>
        </w:rPr>
        <w:t>8</w:t>
      </w:r>
      <w:r w:rsidR="005B2D5C" w:rsidRPr="00110D6C">
        <w:rPr>
          <w:rFonts w:cs="Times New Roman"/>
          <w:color w:val="auto"/>
          <w:szCs w:val="22"/>
          <w:lang w:val="pt-PT"/>
        </w:rPr>
        <w:t xml:space="preserve"> </w:t>
      </w:r>
      <w:r w:rsidRPr="00110D6C">
        <w:rPr>
          <w:rFonts w:cs="Times New Roman"/>
          <w:color w:val="auto"/>
          <w:szCs w:val="22"/>
          <w:lang w:val="pt-PT"/>
        </w:rPr>
        <w:t xml:space="preserve">para ambos os estudos. Foram permitidas doses concomitantes de corticosteroides orais, imunomoduladores, aminosalicilatos e antibióticos, e 75% dos doentes continuaram a receber, pelo menos, um desses medicamentos. Em ambos os estudos, os doentes foram aleatorizados para receber uma administração intravenosa única de uma dose recomendada ajustada ao peso de, aproximadamente, </w:t>
      </w:r>
      <w:r w:rsidR="00B910F9" w:rsidRPr="00110D6C">
        <w:rPr>
          <w:rFonts w:cs="Times New Roman"/>
          <w:color w:val="auto"/>
          <w:szCs w:val="22"/>
          <w:lang w:val="pt-PT"/>
        </w:rPr>
        <w:t>6 </w:t>
      </w:r>
      <w:r w:rsidRPr="00110D6C">
        <w:rPr>
          <w:rFonts w:cs="Times New Roman"/>
          <w:color w:val="auto"/>
          <w:szCs w:val="22"/>
          <w:lang w:val="pt-PT"/>
        </w:rPr>
        <w:t>mg/kg (ver Tabela</w:t>
      </w:r>
      <w:r w:rsidR="00982985" w:rsidRPr="00110D6C">
        <w:rPr>
          <w:rFonts w:cs="Times New Roman"/>
          <w:color w:val="auto"/>
          <w:szCs w:val="22"/>
          <w:lang w:val="pt-PT"/>
        </w:rPr>
        <w:t> </w:t>
      </w:r>
      <w:r w:rsidRPr="00110D6C">
        <w:rPr>
          <w:rFonts w:cs="Times New Roman"/>
          <w:color w:val="auto"/>
          <w:szCs w:val="22"/>
          <w:lang w:val="pt-PT"/>
        </w:rPr>
        <w:t>1, secção</w:t>
      </w:r>
      <w:r w:rsidR="00A121D2" w:rsidRPr="00110D6C">
        <w:rPr>
          <w:rFonts w:cs="Times New Roman"/>
          <w:color w:val="auto"/>
          <w:szCs w:val="22"/>
          <w:lang w:val="pt-PT"/>
        </w:rPr>
        <w:t> </w:t>
      </w:r>
      <w:r w:rsidRPr="00110D6C">
        <w:rPr>
          <w:rFonts w:cs="Times New Roman"/>
          <w:color w:val="auto"/>
          <w:szCs w:val="22"/>
          <w:lang w:val="pt-PT"/>
        </w:rPr>
        <w:t>4.2), uma dose fixa de 13</w:t>
      </w:r>
      <w:r w:rsidR="00B910F9" w:rsidRPr="00110D6C">
        <w:rPr>
          <w:rFonts w:cs="Times New Roman"/>
          <w:color w:val="auto"/>
          <w:szCs w:val="22"/>
          <w:lang w:val="pt-PT"/>
        </w:rPr>
        <w:t>0 </w:t>
      </w:r>
      <w:r w:rsidRPr="00110D6C">
        <w:rPr>
          <w:rFonts w:cs="Times New Roman"/>
          <w:color w:val="auto"/>
          <w:szCs w:val="22"/>
          <w:lang w:val="pt-PT"/>
        </w:rPr>
        <w:t>mg de ustecinumab ou placebo na semana</w:t>
      </w:r>
      <w:r w:rsidR="005B2D5C" w:rsidRPr="00110D6C">
        <w:rPr>
          <w:rFonts w:cs="Times New Roman"/>
          <w:color w:val="auto"/>
          <w:szCs w:val="22"/>
          <w:lang w:val="pt-PT"/>
        </w:rPr>
        <w:t> </w:t>
      </w:r>
      <w:r w:rsidRPr="00110D6C">
        <w:rPr>
          <w:rFonts w:cs="Times New Roman"/>
          <w:color w:val="auto"/>
          <w:szCs w:val="22"/>
          <w:lang w:val="pt-PT"/>
        </w:rPr>
        <w:t>0.</w:t>
      </w:r>
    </w:p>
    <w:p w14:paraId="530DEA90" w14:textId="77777777" w:rsidR="00030085" w:rsidRPr="00110D6C" w:rsidRDefault="00030085" w:rsidP="00A17623">
      <w:pPr>
        <w:widowControl/>
        <w:rPr>
          <w:rFonts w:cs="Times New Roman"/>
          <w:color w:val="auto"/>
          <w:szCs w:val="22"/>
          <w:lang w:val="pt-PT"/>
        </w:rPr>
      </w:pPr>
    </w:p>
    <w:p w14:paraId="57EC7013"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Os doentes no estudo UNITI-</w:t>
      </w:r>
      <w:r w:rsidR="00B910F9" w:rsidRPr="00110D6C">
        <w:rPr>
          <w:rFonts w:cs="Times New Roman"/>
          <w:color w:val="auto"/>
          <w:szCs w:val="22"/>
          <w:lang w:val="pt-PT"/>
        </w:rPr>
        <w:t>1 </w:t>
      </w:r>
      <w:r w:rsidRPr="00110D6C">
        <w:rPr>
          <w:rFonts w:cs="Times New Roman"/>
          <w:color w:val="auto"/>
          <w:szCs w:val="22"/>
          <w:lang w:val="pt-PT"/>
        </w:rPr>
        <w:t xml:space="preserve">apresentaram falência ou foram intolerantes à terapêutica prévia anti-TNFα. Aproximadamente 48% dos doentes apresentaram falência a </w:t>
      </w:r>
      <w:r w:rsidR="00B910F9" w:rsidRPr="00110D6C">
        <w:rPr>
          <w:rFonts w:cs="Times New Roman"/>
          <w:color w:val="auto"/>
          <w:szCs w:val="22"/>
          <w:lang w:val="pt-PT"/>
        </w:rPr>
        <w:t>1 </w:t>
      </w:r>
      <w:r w:rsidRPr="00110D6C">
        <w:rPr>
          <w:rFonts w:cs="Times New Roman"/>
          <w:color w:val="auto"/>
          <w:szCs w:val="22"/>
          <w:lang w:val="pt-PT"/>
        </w:rPr>
        <w:t xml:space="preserve">terapêutica prévia anti-TNFα e 52% apresentaram falência a </w:t>
      </w:r>
      <w:r w:rsidR="00B910F9" w:rsidRPr="00110D6C">
        <w:rPr>
          <w:rFonts w:cs="Times New Roman"/>
          <w:color w:val="auto"/>
          <w:szCs w:val="22"/>
          <w:lang w:val="pt-PT"/>
        </w:rPr>
        <w:t>2 </w:t>
      </w:r>
      <w:r w:rsidRPr="00110D6C">
        <w:rPr>
          <w:rFonts w:cs="Times New Roman"/>
          <w:color w:val="auto"/>
          <w:szCs w:val="22"/>
          <w:lang w:val="pt-PT"/>
        </w:rPr>
        <w:t xml:space="preserve">ou </w:t>
      </w:r>
      <w:r w:rsidR="00B910F9" w:rsidRPr="00110D6C">
        <w:rPr>
          <w:rFonts w:cs="Times New Roman"/>
          <w:color w:val="auto"/>
          <w:szCs w:val="22"/>
          <w:lang w:val="pt-PT"/>
        </w:rPr>
        <w:t>3 </w:t>
      </w:r>
      <w:r w:rsidRPr="00110D6C">
        <w:rPr>
          <w:rFonts w:cs="Times New Roman"/>
          <w:color w:val="auto"/>
          <w:szCs w:val="22"/>
          <w:lang w:val="pt-PT"/>
        </w:rPr>
        <w:t>terapêuticas prévias anti-TNF</w:t>
      </w:r>
      <w:r w:rsidR="00A121D2" w:rsidRPr="00110D6C">
        <w:rPr>
          <w:rFonts w:cs="Times New Roman"/>
          <w:color w:val="auto"/>
          <w:szCs w:val="22"/>
          <w:lang w:val="pt-PT"/>
        </w:rPr>
        <w:t>α</w:t>
      </w:r>
      <w:r w:rsidRPr="00110D6C">
        <w:rPr>
          <w:rFonts w:cs="Times New Roman"/>
          <w:color w:val="auto"/>
          <w:szCs w:val="22"/>
          <w:lang w:val="pt-PT"/>
        </w:rPr>
        <w:t>. Neste estudo, 29,1% dos doentes tiveram uma resposta inicial inadequada (não respondedores primários), 69,4% responderam mas perderam a resposta (não respondedores secundários) e 36,4% foram intolerantes a terapêuticas anti-TNFα.</w:t>
      </w:r>
    </w:p>
    <w:p w14:paraId="249479F9" w14:textId="77777777" w:rsidR="00030085" w:rsidRPr="00110D6C" w:rsidRDefault="00030085" w:rsidP="00A17623">
      <w:pPr>
        <w:widowControl/>
        <w:rPr>
          <w:rFonts w:cs="Times New Roman"/>
          <w:color w:val="auto"/>
          <w:szCs w:val="22"/>
          <w:lang w:val="pt-PT"/>
        </w:rPr>
      </w:pPr>
    </w:p>
    <w:p w14:paraId="6F17FC9A"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Os doentes no estudo UNITI-</w:t>
      </w:r>
      <w:r w:rsidR="00B910F9" w:rsidRPr="00110D6C">
        <w:rPr>
          <w:rFonts w:cs="Times New Roman"/>
          <w:color w:val="auto"/>
          <w:szCs w:val="22"/>
          <w:lang w:val="pt-PT"/>
        </w:rPr>
        <w:t>2 </w:t>
      </w:r>
      <w:r w:rsidRPr="00110D6C">
        <w:rPr>
          <w:rFonts w:cs="Times New Roman"/>
          <w:color w:val="auto"/>
          <w:szCs w:val="22"/>
          <w:lang w:val="pt-PT"/>
        </w:rPr>
        <w:t>tinham apresentado falência a, pelo menos, uma terapêutica convencional, incluindo corticosteroides ou imunomoduladores, e não tinham sido submetidos a uma terapêutica anti-TNFα anteriormente (68,6%) ou tinham recebido terapêutica anti-TNFα anteriormente mas não apresentaram falência à mesma (31,4%).</w:t>
      </w:r>
    </w:p>
    <w:p w14:paraId="0642942A" w14:textId="77777777" w:rsidR="00030085" w:rsidRPr="00110D6C" w:rsidRDefault="00030085" w:rsidP="00A17623">
      <w:pPr>
        <w:widowControl/>
        <w:rPr>
          <w:rFonts w:cs="Times New Roman"/>
          <w:color w:val="auto"/>
          <w:szCs w:val="22"/>
          <w:lang w:val="pt-PT"/>
        </w:rPr>
      </w:pPr>
    </w:p>
    <w:p w14:paraId="433AB83E"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Em ambos os estudos UNITI-</w:t>
      </w:r>
      <w:r w:rsidR="00B910F9" w:rsidRPr="00110D6C">
        <w:rPr>
          <w:rFonts w:cs="Times New Roman"/>
          <w:color w:val="auto"/>
          <w:szCs w:val="22"/>
          <w:lang w:val="pt-PT"/>
        </w:rPr>
        <w:t>1 </w:t>
      </w:r>
      <w:r w:rsidRPr="00110D6C">
        <w:rPr>
          <w:rFonts w:cs="Times New Roman"/>
          <w:color w:val="auto"/>
          <w:szCs w:val="22"/>
          <w:lang w:val="pt-PT"/>
        </w:rPr>
        <w:t>e UNITI-2, uma proporção significativamente maior de doentes apresentaram resposta e remissão clínica no grupo tratado com ustecinumab em comparação com o placebo (Tabela</w:t>
      </w:r>
      <w:r w:rsidR="00982985" w:rsidRPr="00110D6C">
        <w:rPr>
          <w:rFonts w:cs="Times New Roman"/>
          <w:color w:val="auto"/>
          <w:szCs w:val="22"/>
          <w:lang w:val="pt-PT"/>
        </w:rPr>
        <w:t> </w:t>
      </w:r>
      <w:r w:rsidRPr="00110D6C">
        <w:rPr>
          <w:rFonts w:cs="Times New Roman"/>
          <w:color w:val="auto"/>
          <w:szCs w:val="22"/>
          <w:lang w:val="pt-PT"/>
        </w:rPr>
        <w:t>3). A resposta e a remissão clínica foram significativas logo na semana</w:t>
      </w:r>
      <w:r w:rsidR="005B2D5C" w:rsidRPr="00110D6C">
        <w:rPr>
          <w:rFonts w:cs="Times New Roman"/>
          <w:color w:val="auto"/>
          <w:szCs w:val="22"/>
          <w:lang w:val="pt-PT"/>
        </w:rPr>
        <w:t> </w:t>
      </w:r>
      <w:r w:rsidR="00B910F9" w:rsidRPr="00110D6C">
        <w:rPr>
          <w:rFonts w:cs="Times New Roman"/>
          <w:color w:val="auto"/>
          <w:szCs w:val="22"/>
          <w:lang w:val="pt-PT"/>
        </w:rPr>
        <w:t>3</w:t>
      </w:r>
      <w:r w:rsidR="005B2D5C" w:rsidRPr="00110D6C">
        <w:rPr>
          <w:rFonts w:cs="Times New Roman"/>
          <w:color w:val="auto"/>
          <w:szCs w:val="22"/>
          <w:lang w:val="pt-PT"/>
        </w:rPr>
        <w:t xml:space="preserve"> </w:t>
      </w:r>
      <w:r w:rsidRPr="00110D6C">
        <w:rPr>
          <w:rFonts w:cs="Times New Roman"/>
          <w:color w:val="auto"/>
          <w:szCs w:val="22"/>
          <w:lang w:val="pt-PT"/>
        </w:rPr>
        <w:t>nos doentes tratados com ustecinumab e continuaram a melhorar até à semana</w:t>
      </w:r>
      <w:r w:rsidR="005B2D5C" w:rsidRPr="00110D6C">
        <w:rPr>
          <w:rFonts w:cs="Times New Roman"/>
          <w:color w:val="auto"/>
          <w:szCs w:val="22"/>
          <w:lang w:val="pt-PT"/>
        </w:rPr>
        <w:t> </w:t>
      </w:r>
      <w:r w:rsidRPr="00110D6C">
        <w:rPr>
          <w:rFonts w:cs="Times New Roman"/>
          <w:color w:val="auto"/>
          <w:szCs w:val="22"/>
          <w:lang w:val="pt-PT"/>
        </w:rPr>
        <w:t>8. Nestes estudos de indução, a eficácia foi mais elevada e melhor sustentada no grupo de dose ajustada ao peso em comparação com o grupo de dose de 13</w:t>
      </w:r>
      <w:r w:rsidR="00B910F9" w:rsidRPr="00110D6C">
        <w:rPr>
          <w:rFonts w:cs="Times New Roman"/>
          <w:color w:val="auto"/>
          <w:szCs w:val="22"/>
          <w:lang w:val="pt-PT"/>
        </w:rPr>
        <w:t>0 </w:t>
      </w:r>
      <w:r w:rsidRPr="00110D6C">
        <w:rPr>
          <w:rFonts w:cs="Times New Roman"/>
          <w:color w:val="auto"/>
          <w:szCs w:val="22"/>
          <w:lang w:val="pt-PT"/>
        </w:rPr>
        <w:t>mg, por conseguinte, a dose ajustada ao peso é a dose de indução intravenosa recomendada.</w:t>
      </w:r>
    </w:p>
    <w:p w14:paraId="3EBB0A13" w14:textId="77777777" w:rsidR="00030085" w:rsidRPr="00110D6C" w:rsidRDefault="00030085" w:rsidP="00A17623">
      <w:pPr>
        <w:widowControl/>
        <w:rPr>
          <w:rFonts w:cs="Times New Roman"/>
          <w:color w:val="auto"/>
          <w:szCs w:val="22"/>
          <w:lang w:val="pt-PT"/>
        </w:rPr>
      </w:pPr>
    </w:p>
    <w:p w14:paraId="287E55CB" w14:textId="77777777" w:rsidR="0077031F" w:rsidRPr="00110D6C" w:rsidRDefault="00030085" w:rsidP="00A17623">
      <w:pPr>
        <w:widowControl/>
        <w:ind w:left="1134" w:hanging="1134"/>
        <w:rPr>
          <w:rFonts w:cs="Times New Roman"/>
          <w:color w:val="auto"/>
          <w:szCs w:val="22"/>
          <w:lang w:val="pt-PT"/>
        </w:rPr>
      </w:pPr>
      <w:r w:rsidRPr="00110D6C">
        <w:rPr>
          <w:rFonts w:cs="Times New Roman"/>
          <w:i/>
          <w:iCs/>
          <w:color w:val="auto"/>
          <w:szCs w:val="22"/>
          <w:lang w:val="pt-PT"/>
        </w:rPr>
        <w:t>Tabela</w:t>
      </w:r>
      <w:r w:rsidR="00982985" w:rsidRPr="00110D6C">
        <w:rPr>
          <w:rFonts w:cs="Times New Roman"/>
          <w:i/>
          <w:iCs/>
          <w:color w:val="auto"/>
          <w:szCs w:val="22"/>
          <w:lang w:val="pt-PT"/>
        </w:rPr>
        <w:t> </w:t>
      </w:r>
      <w:r w:rsidRPr="00110D6C">
        <w:rPr>
          <w:rFonts w:cs="Times New Roman"/>
          <w:i/>
          <w:iCs/>
          <w:color w:val="auto"/>
          <w:szCs w:val="22"/>
          <w:lang w:val="pt-PT"/>
        </w:rPr>
        <w:t>3:</w:t>
      </w:r>
      <w:r w:rsidRPr="00110D6C">
        <w:rPr>
          <w:rFonts w:cs="Times New Roman"/>
          <w:i/>
          <w:iCs/>
          <w:color w:val="auto"/>
          <w:szCs w:val="22"/>
          <w:lang w:val="pt-PT"/>
        </w:rPr>
        <w:tab/>
        <w:t>Indução de Resposta e Remissão Clínica nos Estudos UNITI-</w:t>
      </w:r>
      <w:r w:rsidR="00B910F9" w:rsidRPr="00110D6C">
        <w:rPr>
          <w:rFonts w:cs="Times New Roman"/>
          <w:i/>
          <w:iCs/>
          <w:color w:val="auto"/>
          <w:szCs w:val="22"/>
          <w:lang w:val="pt-PT"/>
        </w:rPr>
        <w:t>1 </w:t>
      </w:r>
      <w:r w:rsidRPr="00110D6C">
        <w:rPr>
          <w:rFonts w:cs="Times New Roman"/>
          <w:i/>
          <w:iCs/>
          <w:color w:val="auto"/>
          <w:szCs w:val="22"/>
          <w:lang w:val="pt-PT"/>
        </w:rPr>
        <w:t>e UNITI-2</w:t>
      </w:r>
    </w:p>
    <w:tbl>
      <w:tblPr>
        <w:tblOverlap w:val="never"/>
        <w:tblW w:w="5000" w:type="pct"/>
        <w:tblLook w:val="04A0" w:firstRow="1" w:lastRow="0" w:firstColumn="1" w:lastColumn="0" w:noHBand="0" w:noVBand="1"/>
      </w:tblPr>
      <w:tblGrid>
        <w:gridCol w:w="3666"/>
        <w:gridCol w:w="1176"/>
        <w:gridCol w:w="1521"/>
        <w:gridCol w:w="1191"/>
        <w:gridCol w:w="1508"/>
      </w:tblGrid>
      <w:tr w:rsidR="00DA496F" w:rsidRPr="00110D6C" w14:paraId="271BB6FC" w14:textId="77777777" w:rsidTr="00DA496F">
        <w:tc>
          <w:tcPr>
            <w:tcW w:w="2023" w:type="pct"/>
            <w:tcBorders>
              <w:top w:val="single" w:sz="4" w:space="0" w:color="auto"/>
              <w:left w:val="single" w:sz="4" w:space="0" w:color="auto"/>
            </w:tcBorders>
            <w:shd w:val="clear" w:color="auto" w:fill="auto"/>
          </w:tcPr>
          <w:p w14:paraId="11AE0CE3" w14:textId="77777777" w:rsidR="00DA496F" w:rsidRPr="00110D6C" w:rsidRDefault="00DA496F" w:rsidP="00A17623">
            <w:pPr>
              <w:widowControl/>
              <w:rPr>
                <w:rFonts w:cs="Times New Roman"/>
                <w:color w:val="auto"/>
                <w:szCs w:val="22"/>
                <w:lang w:val="pt-PT"/>
              </w:rPr>
            </w:pPr>
          </w:p>
        </w:tc>
        <w:tc>
          <w:tcPr>
            <w:tcW w:w="1488" w:type="pct"/>
            <w:gridSpan w:val="2"/>
            <w:tcBorders>
              <w:top w:val="single" w:sz="4" w:space="0" w:color="auto"/>
              <w:left w:val="single" w:sz="4" w:space="0" w:color="auto"/>
            </w:tcBorders>
            <w:shd w:val="clear" w:color="auto" w:fill="auto"/>
            <w:vAlign w:val="bottom"/>
          </w:tcPr>
          <w:p w14:paraId="5D312685" w14:textId="77777777" w:rsidR="00DA496F" w:rsidRPr="00110D6C" w:rsidRDefault="00DA496F" w:rsidP="00A17623">
            <w:pPr>
              <w:widowControl/>
              <w:jc w:val="center"/>
              <w:rPr>
                <w:rFonts w:cs="Times New Roman"/>
                <w:color w:val="auto"/>
                <w:szCs w:val="22"/>
                <w:lang w:val="pt-PT"/>
              </w:rPr>
            </w:pPr>
            <w:r w:rsidRPr="00110D6C">
              <w:rPr>
                <w:rFonts w:cs="Times New Roman"/>
                <w:b/>
                <w:bCs/>
                <w:color w:val="auto"/>
                <w:szCs w:val="22"/>
                <w:lang w:val="pt-PT"/>
              </w:rPr>
              <w:t>UNITI-1</w:t>
            </w:r>
            <w:r w:rsidRPr="00110D6C">
              <w:rPr>
                <w:rFonts w:cs="Times New Roman"/>
                <w:i/>
                <w:iCs/>
                <w:color w:val="auto"/>
                <w:szCs w:val="22"/>
                <w:lang w:val="pt-PT"/>
              </w:rPr>
              <w:t>*</w:t>
            </w:r>
          </w:p>
        </w:tc>
        <w:tc>
          <w:tcPr>
            <w:tcW w:w="1489" w:type="pct"/>
            <w:gridSpan w:val="2"/>
            <w:tcBorders>
              <w:top w:val="single" w:sz="4" w:space="0" w:color="auto"/>
              <w:left w:val="single" w:sz="4" w:space="0" w:color="auto"/>
              <w:right w:val="single" w:sz="4" w:space="0" w:color="auto"/>
            </w:tcBorders>
            <w:shd w:val="clear" w:color="auto" w:fill="auto"/>
            <w:vAlign w:val="bottom"/>
          </w:tcPr>
          <w:p w14:paraId="419FB626" w14:textId="77777777" w:rsidR="00DA496F" w:rsidRPr="00110D6C" w:rsidRDefault="00DA496F" w:rsidP="00DA496F">
            <w:pPr>
              <w:widowControl/>
              <w:jc w:val="center"/>
              <w:rPr>
                <w:rFonts w:cs="Times New Roman"/>
                <w:color w:val="auto"/>
                <w:szCs w:val="22"/>
                <w:lang w:val="pt-PT"/>
              </w:rPr>
            </w:pPr>
            <w:r w:rsidRPr="00110D6C">
              <w:rPr>
                <w:rFonts w:cs="Times New Roman"/>
                <w:b/>
                <w:bCs/>
                <w:color w:val="auto"/>
                <w:szCs w:val="22"/>
                <w:lang w:val="pt-PT"/>
              </w:rPr>
              <w:t>UNITI-2</w:t>
            </w:r>
            <w:r w:rsidRPr="00110D6C">
              <w:rPr>
                <w:rFonts w:cs="Times New Roman"/>
                <w:i/>
                <w:iCs/>
                <w:color w:val="auto"/>
                <w:szCs w:val="22"/>
                <w:lang w:val="pt-PT"/>
              </w:rPr>
              <w:t>**</w:t>
            </w:r>
          </w:p>
        </w:tc>
      </w:tr>
      <w:tr w:rsidR="0077031F" w:rsidRPr="00110D6C" w14:paraId="1C15FEF3" w14:textId="77777777" w:rsidTr="00DA496F">
        <w:tc>
          <w:tcPr>
            <w:tcW w:w="2023" w:type="pct"/>
            <w:tcBorders>
              <w:top w:val="single" w:sz="4" w:space="0" w:color="auto"/>
              <w:left w:val="single" w:sz="4" w:space="0" w:color="auto"/>
            </w:tcBorders>
            <w:shd w:val="clear" w:color="auto" w:fill="auto"/>
          </w:tcPr>
          <w:p w14:paraId="6D479997" w14:textId="77777777" w:rsidR="0077031F" w:rsidRPr="00110D6C" w:rsidRDefault="0077031F" w:rsidP="00A17623">
            <w:pPr>
              <w:widowControl/>
              <w:rPr>
                <w:rFonts w:cs="Times New Roman"/>
                <w:color w:val="auto"/>
                <w:szCs w:val="22"/>
                <w:lang w:val="pt-PT"/>
              </w:rPr>
            </w:pPr>
          </w:p>
        </w:tc>
        <w:tc>
          <w:tcPr>
            <w:tcW w:w="649" w:type="pct"/>
            <w:tcBorders>
              <w:top w:val="single" w:sz="4" w:space="0" w:color="auto"/>
              <w:left w:val="single" w:sz="4" w:space="0" w:color="auto"/>
            </w:tcBorders>
            <w:shd w:val="clear" w:color="auto" w:fill="auto"/>
          </w:tcPr>
          <w:p w14:paraId="6EDC30F6" w14:textId="77777777" w:rsidR="0077031F" w:rsidRPr="00110D6C" w:rsidRDefault="00030085" w:rsidP="00A17623">
            <w:pPr>
              <w:widowControl/>
              <w:jc w:val="center"/>
              <w:rPr>
                <w:rFonts w:cs="Times New Roman"/>
                <w:color w:val="auto"/>
                <w:szCs w:val="22"/>
                <w:lang w:val="pt-PT"/>
              </w:rPr>
            </w:pPr>
            <w:r w:rsidRPr="00110D6C">
              <w:rPr>
                <w:rFonts w:cs="Times New Roman"/>
                <w:b/>
                <w:bCs/>
                <w:color w:val="auto"/>
                <w:szCs w:val="22"/>
                <w:lang w:val="pt-PT"/>
              </w:rPr>
              <w:t>Placebo N</w:t>
            </w:r>
            <w:r w:rsidR="005562CC" w:rsidRPr="00110D6C">
              <w:rPr>
                <w:rFonts w:cs="Times New Roman"/>
                <w:b/>
                <w:bCs/>
                <w:color w:val="auto"/>
                <w:szCs w:val="22"/>
                <w:lang w:val="pt-PT"/>
              </w:rPr>
              <w:t> </w:t>
            </w:r>
            <w:r w:rsidRPr="00110D6C">
              <w:rPr>
                <w:rFonts w:cs="Times New Roman"/>
                <w:b/>
                <w:bCs/>
                <w:color w:val="auto"/>
                <w:szCs w:val="22"/>
                <w:lang w:val="pt-PT"/>
              </w:rPr>
              <w:t>=</w:t>
            </w:r>
            <w:r w:rsidR="005562CC" w:rsidRPr="00110D6C">
              <w:rPr>
                <w:rFonts w:cs="Times New Roman"/>
                <w:b/>
                <w:bCs/>
                <w:color w:val="auto"/>
                <w:szCs w:val="22"/>
                <w:lang w:val="pt-PT"/>
              </w:rPr>
              <w:t> </w:t>
            </w:r>
            <w:r w:rsidRPr="00110D6C">
              <w:rPr>
                <w:rFonts w:cs="Times New Roman"/>
                <w:b/>
                <w:bCs/>
                <w:color w:val="auto"/>
                <w:szCs w:val="22"/>
                <w:lang w:val="pt-PT"/>
              </w:rPr>
              <w:t>247</w:t>
            </w:r>
          </w:p>
        </w:tc>
        <w:tc>
          <w:tcPr>
            <w:tcW w:w="839" w:type="pct"/>
            <w:tcBorders>
              <w:top w:val="single" w:sz="4" w:space="0" w:color="auto"/>
              <w:left w:val="single" w:sz="4" w:space="0" w:color="auto"/>
            </w:tcBorders>
            <w:shd w:val="clear" w:color="auto" w:fill="auto"/>
            <w:vAlign w:val="bottom"/>
          </w:tcPr>
          <w:p w14:paraId="104F37FE" w14:textId="77777777" w:rsidR="0077031F" w:rsidRPr="00110D6C" w:rsidRDefault="00030085" w:rsidP="00A17623">
            <w:pPr>
              <w:widowControl/>
              <w:jc w:val="center"/>
              <w:rPr>
                <w:rFonts w:cs="Times New Roman"/>
                <w:color w:val="auto"/>
                <w:szCs w:val="22"/>
                <w:lang w:val="pt-PT"/>
              </w:rPr>
            </w:pPr>
            <w:r w:rsidRPr="00110D6C">
              <w:rPr>
                <w:rFonts w:cs="Times New Roman"/>
                <w:b/>
                <w:bCs/>
                <w:color w:val="auto"/>
                <w:szCs w:val="22"/>
                <w:lang w:val="pt-PT"/>
              </w:rPr>
              <w:t>Dose recomendada de ustecinumab N</w:t>
            </w:r>
            <w:r w:rsidR="00AD79FE" w:rsidRPr="00110D6C">
              <w:rPr>
                <w:rFonts w:cs="Times New Roman"/>
                <w:b/>
                <w:bCs/>
                <w:color w:val="auto"/>
                <w:szCs w:val="22"/>
                <w:lang w:val="pt-PT"/>
              </w:rPr>
              <w:t> </w:t>
            </w:r>
            <w:r w:rsidRPr="00110D6C">
              <w:rPr>
                <w:rFonts w:cs="Times New Roman"/>
                <w:b/>
                <w:bCs/>
                <w:color w:val="auto"/>
                <w:szCs w:val="22"/>
                <w:lang w:val="pt-PT"/>
              </w:rPr>
              <w:t>=</w:t>
            </w:r>
            <w:r w:rsidR="00AD79FE" w:rsidRPr="00110D6C">
              <w:rPr>
                <w:rFonts w:cs="Times New Roman"/>
                <w:b/>
                <w:bCs/>
                <w:color w:val="auto"/>
                <w:szCs w:val="22"/>
                <w:lang w:val="pt-PT"/>
              </w:rPr>
              <w:t> </w:t>
            </w:r>
            <w:r w:rsidRPr="00110D6C">
              <w:rPr>
                <w:rFonts w:cs="Times New Roman"/>
                <w:b/>
                <w:bCs/>
                <w:color w:val="auto"/>
                <w:szCs w:val="22"/>
                <w:lang w:val="pt-PT"/>
              </w:rPr>
              <w:t>249</w:t>
            </w:r>
          </w:p>
        </w:tc>
        <w:tc>
          <w:tcPr>
            <w:tcW w:w="657" w:type="pct"/>
            <w:tcBorders>
              <w:top w:val="single" w:sz="4" w:space="0" w:color="auto"/>
              <w:left w:val="single" w:sz="4" w:space="0" w:color="auto"/>
            </w:tcBorders>
            <w:shd w:val="clear" w:color="auto" w:fill="auto"/>
          </w:tcPr>
          <w:p w14:paraId="4A23D108" w14:textId="77777777" w:rsidR="0077031F" w:rsidRPr="00110D6C" w:rsidRDefault="00030085" w:rsidP="00A17623">
            <w:pPr>
              <w:widowControl/>
              <w:jc w:val="center"/>
              <w:rPr>
                <w:rFonts w:cs="Times New Roman"/>
                <w:color w:val="auto"/>
                <w:szCs w:val="22"/>
                <w:lang w:val="pt-PT"/>
              </w:rPr>
            </w:pPr>
            <w:r w:rsidRPr="00110D6C">
              <w:rPr>
                <w:rFonts w:cs="Times New Roman"/>
                <w:b/>
                <w:bCs/>
                <w:color w:val="auto"/>
                <w:szCs w:val="22"/>
                <w:lang w:val="pt-PT"/>
              </w:rPr>
              <w:t>Placebo N</w:t>
            </w:r>
            <w:r w:rsidR="005562CC" w:rsidRPr="00110D6C">
              <w:rPr>
                <w:rFonts w:cs="Times New Roman"/>
                <w:b/>
                <w:bCs/>
                <w:color w:val="auto"/>
                <w:szCs w:val="22"/>
                <w:lang w:val="pt-PT"/>
              </w:rPr>
              <w:t> </w:t>
            </w:r>
            <w:r w:rsidRPr="00110D6C">
              <w:rPr>
                <w:rFonts w:cs="Times New Roman"/>
                <w:b/>
                <w:bCs/>
                <w:color w:val="auto"/>
                <w:szCs w:val="22"/>
                <w:lang w:val="pt-PT"/>
              </w:rPr>
              <w:t>=</w:t>
            </w:r>
            <w:r w:rsidR="005562CC" w:rsidRPr="00110D6C">
              <w:rPr>
                <w:rFonts w:cs="Times New Roman"/>
                <w:b/>
                <w:bCs/>
                <w:color w:val="auto"/>
                <w:szCs w:val="22"/>
                <w:lang w:val="pt-PT"/>
              </w:rPr>
              <w:t> </w:t>
            </w:r>
            <w:r w:rsidRPr="00110D6C">
              <w:rPr>
                <w:rFonts w:cs="Times New Roman"/>
                <w:b/>
                <w:bCs/>
                <w:color w:val="auto"/>
                <w:szCs w:val="22"/>
                <w:lang w:val="pt-PT"/>
              </w:rPr>
              <w:t>209</w:t>
            </w:r>
          </w:p>
        </w:tc>
        <w:tc>
          <w:tcPr>
            <w:tcW w:w="832" w:type="pct"/>
            <w:tcBorders>
              <w:top w:val="single" w:sz="4" w:space="0" w:color="auto"/>
              <w:left w:val="single" w:sz="4" w:space="0" w:color="auto"/>
              <w:right w:val="single" w:sz="4" w:space="0" w:color="auto"/>
            </w:tcBorders>
            <w:shd w:val="clear" w:color="auto" w:fill="auto"/>
            <w:vAlign w:val="bottom"/>
          </w:tcPr>
          <w:p w14:paraId="5B16FDDD" w14:textId="77777777" w:rsidR="0077031F" w:rsidRPr="00110D6C" w:rsidRDefault="00030085" w:rsidP="00A17623">
            <w:pPr>
              <w:widowControl/>
              <w:jc w:val="center"/>
              <w:rPr>
                <w:rFonts w:cs="Times New Roman"/>
                <w:color w:val="auto"/>
                <w:szCs w:val="22"/>
                <w:lang w:val="pt-PT"/>
              </w:rPr>
            </w:pPr>
            <w:r w:rsidRPr="00110D6C">
              <w:rPr>
                <w:rFonts w:cs="Times New Roman"/>
                <w:b/>
                <w:bCs/>
                <w:color w:val="auto"/>
                <w:szCs w:val="22"/>
                <w:lang w:val="pt-PT"/>
              </w:rPr>
              <w:t>Dose recomendada de ustecinumab N</w:t>
            </w:r>
            <w:r w:rsidR="005562CC" w:rsidRPr="00110D6C">
              <w:rPr>
                <w:rFonts w:cs="Times New Roman"/>
                <w:b/>
                <w:bCs/>
                <w:color w:val="auto"/>
                <w:szCs w:val="22"/>
                <w:lang w:val="pt-PT"/>
              </w:rPr>
              <w:t> </w:t>
            </w:r>
            <w:r w:rsidRPr="00110D6C">
              <w:rPr>
                <w:rFonts w:cs="Times New Roman"/>
                <w:b/>
                <w:bCs/>
                <w:color w:val="auto"/>
                <w:szCs w:val="22"/>
                <w:lang w:val="pt-PT"/>
              </w:rPr>
              <w:t>=</w:t>
            </w:r>
            <w:r w:rsidR="005562CC" w:rsidRPr="00110D6C">
              <w:rPr>
                <w:rFonts w:cs="Times New Roman"/>
                <w:b/>
                <w:bCs/>
                <w:color w:val="auto"/>
                <w:szCs w:val="22"/>
                <w:lang w:val="pt-PT"/>
              </w:rPr>
              <w:t> </w:t>
            </w:r>
            <w:r w:rsidRPr="00110D6C">
              <w:rPr>
                <w:rFonts w:cs="Times New Roman"/>
                <w:b/>
                <w:bCs/>
                <w:color w:val="auto"/>
                <w:szCs w:val="22"/>
                <w:lang w:val="pt-PT"/>
              </w:rPr>
              <w:t>209</w:t>
            </w:r>
          </w:p>
        </w:tc>
      </w:tr>
      <w:tr w:rsidR="0077031F" w:rsidRPr="00110D6C" w14:paraId="00C2C1D9" w14:textId="77777777" w:rsidTr="00DA496F">
        <w:tc>
          <w:tcPr>
            <w:tcW w:w="2023" w:type="pct"/>
            <w:tcBorders>
              <w:top w:val="single" w:sz="4" w:space="0" w:color="auto"/>
              <w:left w:val="single" w:sz="4" w:space="0" w:color="auto"/>
            </w:tcBorders>
            <w:shd w:val="clear" w:color="auto" w:fill="auto"/>
            <w:vAlign w:val="bottom"/>
          </w:tcPr>
          <w:p w14:paraId="12E266D4" w14:textId="77777777" w:rsidR="0077031F" w:rsidRPr="00110D6C" w:rsidRDefault="00030085" w:rsidP="005B2D5C">
            <w:pPr>
              <w:widowControl/>
              <w:rPr>
                <w:rFonts w:cs="Times New Roman"/>
                <w:color w:val="auto"/>
                <w:szCs w:val="22"/>
                <w:lang w:val="pt-PT"/>
              </w:rPr>
            </w:pPr>
            <w:r w:rsidRPr="00110D6C">
              <w:rPr>
                <w:rFonts w:cs="Times New Roman"/>
                <w:color w:val="auto"/>
                <w:szCs w:val="22"/>
                <w:lang w:val="pt-PT"/>
              </w:rPr>
              <w:t>Remissão clínica, semana</w:t>
            </w:r>
            <w:r w:rsidR="005B2D5C" w:rsidRPr="00110D6C">
              <w:rPr>
                <w:rFonts w:cs="Times New Roman"/>
                <w:color w:val="auto"/>
                <w:szCs w:val="22"/>
                <w:lang w:val="pt-PT"/>
              </w:rPr>
              <w:t> </w:t>
            </w:r>
            <w:r w:rsidRPr="00110D6C">
              <w:rPr>
                <w:rFonts w:cs="Times New Roman"/>
                <w:color w:val="auto"/>
                <w:szCs w:val="22"/>
                <w:lang w:val="pt-PT"/>
              </w:rPr>
              <w:t>8</w:t>
            </w:r>
          </w:p>
        </w:tc>
        <w:tc>
          <w:tcPr>
            <w:tcW w:w="649" w:type="pct"/>
            <w:tcBorders>
              <w:top w:val="single" w:sz="4" w:space="0" w:color="auto"/>
              <w:left w:val="single" w:sz="4" w:space="0" w:color="auto"/>
            </w:tcBorders>
            <w:shd w:val="clear" w:color="auto" w:fill="auto"/>
            <w:vAlign w:val="bottom"/>
          </w:tcPr>
          <w:p w14:paraId="128F8F7C" w14:textId="77777777" w:rsidR="0077031F" w:rsidRPr="00110D6C" w:rsidRDefault="00030085" w:rsidP="005B2D5C">
            <w:pPr>
              <w:widowControl/>
              <w:jc w:val="center"/>
              <w:rPr>
                <w:rFonts w:cs="Times New Roman"/>
                <w:color w:val="auto"/>
                <w:szCs w:val="22"/>
                <w:lang w:val="pt-PT"/>
              </w:rPr>
            </w:pPr>
            <w:r w:rsidRPr="00110D6C">
              <w:rPr>
                <w:rFonts w:cs="Times New Roman"/>
                <w:color w:val="auto"/>
                <w:szCs w:val="22"/>
                <w:lang w:val="pt-PT"/>
              </w:rPr>
              <w:t>1</w:t>
            </w:r>
            <w:r w:rsidR="00B910F9" w:rsidRPr="00110D6C">
              <w:rPr>
                <w:rFonts w:cs="Times New Roman"/>
                <w:color w:val="auto"/>
                <w:szCs w:val="22"/>
                <w:lang w:val="pt-PT"/>
              </w:rPr>
              <w:t>8</w:t>
            </w:r>
            <w:r w:rsidR="005B2D5C" w:rsidRPr="00110D6C">
              <w:rPr>
                <w:rFonts w:cs="Times New Roman"/>
                <w:color w:val="auto"/>
                <w:szCs w:val="22"/>
                <w:lang w:val="pt-PT"/>
              </w:rPr>
              <w:t xml:space="preserve"> </w:t>
            </w:r>
            <w:r w:rsidRPr="00110D6C">
              <w:rPr>
                <w:rFonts w:cs="Times New Roman"/>
                <w:color w:val="auto"/>
                <w:szCs w:val="22"/>
                <w:lang w:val="pt-PT"/>
              </w:rPr>
              <w:t>(7,3%)</w:t>
            </w:r>
          </w:p>
        </w:tc>
        <w:tc>
          <w:tcPr>
            <w:tcW w:w="839" w:type="pct"/>
            <w:tcBorders>
              <w:top w:val="single" w:sz="4" w:space="0" w:color="auto"/>
              <w:left w:val="single" w:sz="4" w:space="0" w:color="auto"/>
            </w:tcBorders>
            <w:shd w:val="clear" w:color="auto" w:fill="auto"/>
            <w:vAlign w:val="bottom"/>
          </w:tcPr>
          <w:p w14:paraId="288051EE" w14:textId="77777777" w:rsidR="0077031F" w:rsidRPr="00110D6C" w:rsidRDefault="00030085" w:rsidP="005B2D5C">
            <w:pPr>
              <w:widowControl/>
              <w:jc w:val="center"/>
              <w:rPr>
                <w:rFonts w:cs="Times New Roman"/>
                <w:color w:val="auto"/>
                <w:szCs w:val="22"/>
                <w:lang w:val="pt-PT"/>
              </w:rPr>
            </w:pPr>
            <w:r w:rsidRPr="00110D6C">
              <w:rPr>
                <w:rFonts w:cs="Times New Roman"/>
                <w:color w:val="auto"/>
                <w:szCs w:val="22"/>
                <w:lang w:val="pt-PT"/>
              </w:rPr>
              <w:t>5</w:t>
            </w:r>
            <w:r w:rsidR="00B910F9" w:rsidRPr="00110D6C">
              <w:rPr>
                <w:rFonts w:cs="Times New Roman"/>
                <w:color w:val="auto"/>
                <w:szCs w:val="22"/>
                <w:lang w:val="pt-PT"/>
              </w:rPr>
              <w:t>2</w:t>
            </w:r>
            <w:r w:rsidR="005B2D5C" w:rsidRPr="00110D6C">
              <w:rPr>
                <w:rFonts w:cs="Times New Roman"/>
                <w:color w:val="auto"/>
                <w:szCs w:val="22"/>
                <w:lang w:val="pt-PT"/>
              </w:rPr>
              <w:t xml:space="preserve"> </w:t>
            </w:r>
            <w:r w:rsidRPr="00110D6C">
              <w:rPr>
                <w:rFonts w:cs="Times New Roman"/>
                <w:color w:val="auto"/>
                <w:szCs w:val="22"/>
                <w:lang w:val="pt-PT"/>
              </w:rPr>
              <w:t>(20,9%)</w:t>
            </w:r>
            <w:r w:rsidRPr="00110D6C">
              <w:rPr>
                <w:rFonts w:cs="Times New Roman"/>
                <w:color w:val="auto"/>
                <w:szCs w:val="22"/>
                <w:vertAlign w:val="superscript"/>
                <w:lang w:val="pt-PT"/>
              </w:rPr>
              <w:t>a</w:t>
            </w:r>
          </w:p>
        </w:tc>
        <w:tc>
          <w:tcPr>
            <w:tcW w:w="657" w:type="pct"/>
            <w:tcBorders>
              <w:top w:val="single" w:sz="4" w:space="0" w:color="auto"/>
              <w:left w:val="single" w:sz="4" w:space="0" w:color="auto"/>
            </w:tcBorders>
            <w:shd w:val="clear" w:color="auto" w:fill="auto"/>
            <w:vAlign w:val="bottom"/>
          </w:tcPr>
          <w:p w14:paraId="5DD3CEAE" w14:textId="77777777" w:rsidR="0077031F" w:rsidRPr="00110D6C" w:rsidRDefault="00030085" w:rsidP="005B2D5C">
            <w:pPr>
              <w:widowControl/>
              <w:jc w:val="center"/>
              <w:rPr>
                <w:rFonts w:cs="Times New Roman"/>
                <w:color w:val="auto"/>
                <w:szCs w:val="22"/>
                <w:lang w:val="pt-PT"/>
              </w:rPr>
            </w:pPr>
            <w:r w:rsidRPr="00110D6C">
              <w:rPr>
                <w:rFonts w:cs="Times New Roman"/>
                <w:color w:val="auto"/>
                <w:szCs w:val="22"/>
                <w:lang w:val="pt-PT"/>
              </w:rPr>
              <w:t>4</w:t>
            </w:r>
            <w:r w:rsidR="00B910F9" w:rsidRPr="00110D6C">
              <w:rPr>
                <w:rFonts w:cs="Times New Roman"/>
                <w:color w:val="auto"/>
                <w:szCs w:val="22"/>
                <w:lang w:val="pt-PT"/>
              </w:rPr>
              <w:t>1</w:t>
            </w:r>
            <w:r w:rsidR="005B2D5C" w:rsidRPr="00110D6C">
              <w:rPr>
                <w:rFonts w:cs="Times New Roman"/>
                <w:color w:val="auto"/>
                <w:szCs w:val="22"/>
                <w:lang w:val="pt-PT"/>
              </w:rPr>
              <w:t xml:space="preserve"> </w:t>
            </w:r>
            <w:r w:rsidRPr="00110D6C">
              <w:rPr>
                <w:rFonts w:cs="Times New Roman"/>
                <w:color w:val="auto"/>
                <w:szCs w:val="22"/>
                <w:lang w:val="pt-PT"/>
              </w:rPr>
              <w:t>(19,6%)</w:t>
            </w:r>
          </w:p>
        </w:tc>
        <w:tc>
          <w:tcPr>
            <w:tcW w:w="832" w:type="pct"/>
            <w:tcBorders>
              <w:top w:val="single" w:sz="4" w:space="0" w:color="auto"/>
              <w:left w:val="single" w:sz="4" w:space="0" w:color="auto"/>
              <w:right w:val="single" w:sz="4" w:space="0" w:color="auto"/>
            </w:tcBorders>
            <w:shd w:val="clear" w:color="auto" w:fill="auto"/>
            <w:vAlign w:val="bottom"/>
          </w:tcPr>
          <w:p w14:paraId="21ACE465" w14:textId="77777777" w:rsidR="0077031F" w:rsidRPr="00110D6C" w:rsidRDefault="00030085" w:rsidP="005B2D5C">
            <w:pPr>
              <w:widowControl/>
              <w:jc w:val="center"/>
              <w:rPr>
                <w:rFonts w:cs="Times New Roman"/>
                <w:color w:val="auto"/>
                <w:szCs w:val="22"/>
                <w:lang w:val="pt-PT"/>
              </w:rPr>
            </w:pPr>
            <w:r w:rsidRPr="00110D6C">
              <w:rPr>
                <w:rFonts w:cs="Times New Roman"/>
                <w:color w:val="auto"/>
                <w:szCs w:val="22"/>
                <w:lang w:val="pt-PT"/>
              </w:rPr>
              <w:t>8</w:t>
            </w:r>
            <w:r w:rsidR="00B910F9" w:rsidRPr="00110D6C">
              <w:rPr>
                <w:rFonts w:cs="Times New Roman"/>
                <w:color w:val="auto"/>
                <w:szCs w:val="22"/>
                <w:lang w:val="pt-PT"/>
              </w:rPr>
              <w:t>4</w:t>
            </w:r>
            <w:r w:rsidR="005B2D5C" w:rsidRPr="00110D6C">
              <w:rPr>
                <w:rFonts w:cs="Times New Roman"/>
                <w:color w:val="auto"/>
                <w:szCs w:val="22"/>
                <w:lang w:val="pt-PT"/>
              </w:rPr>
              <w:t xml:space="preserve"> </w:t>
            </w:r>
            <w:r w:rsidRPr="00110D6C">
              <w:rPr>
                <w:rFonts w:cs="Times New Roman"/>
                <w:color w:val="auto"/>
                <w:szCs w:val="22"/>
                <w:lang w:val="pt-PT"/>
              </w:rPr>
              <w:t>(40,2%)</w:t>
            </w:r>
            <w:r w:rsidRPr="00110D6C">
              <w:rPr>
                <w:rFonts w:cs="Times New Roman"/>
                <w:color w:val="auto"/>
                <w:szCs w:val="22"/>
                <w:vertAlign w:val="superscript"/>
                <w:lang w:val="pt-PT"/>
              </w:rPr>
              <w:t>a</w:t>
            </w:r>
          </w:p>
        </w:tc>
      </w:tr>
      <w:tr w:rsidR="0077031F" w:rsidRPr="00110D6C" w14:paraId="7BA8B646" w14:textId="77777777" w:rsidTr="00DA496F">
        <w:tc>
          <w:tcPr>
            <w:tcW w:w="2023" w:type="pct"/>
            <w:tcBorders>
              <w:top w:val="single" w:sz="4" w:space="0" w:color="auto"/>
              <w:left w:val="single" w:sz="4" w:space="0" w:color="auto"/>
            </w:tcBorders>
            <w:shd w:val="clear" w:color="auto" w:fill="auto"/>
            <w:vAlign w:val="bottom"/>
          </w:tcPr>
          <w:p w14:paraId="4A935C6D" w14:textId="77777777" w:rsidR="0077031F" w:rsidRPr="00110D6C" w:rsidRDefault="00030085" w:rsidP="00A121D2">
            <w:pPr>
              <w:widowControl/>
              <w:rPr>
                <w:rFonts w:cs="Times New Roman"/>
                <w:color w:val="auto"/>
                <w:szCs w:val="22"/>
                <w:lang w:val="pt-PT"/>
              </w:rPr>
            </w:pPr>
            <w:r w:rsidRPr="00110D6C">
              <w:rPr>
                <w:rFonts w:cs="Times New Roman"/>
                <w:color w:val="auto"/>
                <w:szCs w:val="22"/>
                <w:lang w:val="pt-PT"/>
              </w:rPr>
              <w:lastRenderedPageBreak/>
              <w:t>Resposta clínica (10</w:t>
            </w:r>
            <w:r w:rsidR="00B910F9" w:rsidRPr="00110D6C">
              <w:rPr>
                <w:rFonts w:cs="Times New Roman"/>
                <w:color w:val="auto"/>
                <w:szCs w:val="22"/>
                <w:lang w:val="pt-PT"/>
              </w:rPr>
              <w:t>0 </w:t>
            </w:r>
            <w:r w:rsidRPr="00110D6C">
              <w:rPr>
                <w:rFonts w:cs="Times New Roman"/>
                <w:color w:val="auto"/>
                <w:szCs w:val="22"/>
                <w:lang w:val="pt-PT"/>
              </w:rPr>
              <w:t>pontos), semana</w:t>
            </w:r>
            <w:r w:rsidR="00A121D2" w:rsidRPr="00110D6C">
              <w:rPr>
                <w:rFonts w:cs="Times New Roman"/>
                <w:color w:val="auto"/>
                <w:szCs w:val="22"/>
                <w:lang w:val="pt-PT"/>
              </w:rPr>
              <w:t> </w:t>
            </w:r>
            <w:r w:rsidRPr="00110D6C">
              <w:rPr>
                <w:rFonts w:cs="Times New Roman"/>
                <w:color w:val="auto"/>
                <w:szCs w:val="22"/>
                <w:lang w:val="pt-PT"/>
              </w:rPr>
              <w:t>6</w:t>
            </w:r>
          </w:p>
        </w:tc>
        <w:tc>
          <w:tcPr>
            <w:tcW w:w="649" w:type="pct"/>
            <w:tcBorders>
              <w:top w:val="single" w:sz="4" w:space="0" w:color="auto"/>
              <w:left w:val="single" w:sz="4" w:space="0" w:color="auto"/>
            </w:tcBorders>
            <w:shd w:val="clear" w:color="auto" w:fill="auto"/>
            <w:vAlign w:val="bottom"/>
          </w:tcPr>
          <w:p w14:paraId="124D9D17" w14:textId="77777777" w:rsidR="0077031F" w:rsidRPr="00110D6C" w:rsidRDefault="00030085" w:rsidP="005B2D5C">
            <w:pPr>
              <w:widowControl/>
              <w:jc w:val="center"/>
              <w:rPr>
                <w:rFonts w:cs="Times New Roman"/>
                <w:color w:val="auto"/>
                <w:szCs w:val="22"/>
                <w:lang w:val="pt-PT"/>
              </w:rPr>
            </w:pPr>
            <w:r w:rsidRPr="00110D6C">
              <w:rPr>
                <w:rFonts w:cs="Times New Roman"/>
                <w:color w:val="auto"/>
                <w:szCs w:val="22"/>
                <w:lang w:val="pt-PT"/>
              </w:rPr>
              <w:t>5</w:t>
            </w:r>
            <w:r w:rsidR="00B910F9" w:rsidRPr="00110D6C">
              <w:rPr>
                <w:rFonts w:cs="Times New Roman"/>
                <w:color w:val="auto"/>
                <w:szCs w:val="22"/>
                <w:lang w:val="pt-PT"/>
              </w:rPr>
              <w:t>3</w:t>
            </w:r>
            <w:r w:rsidR="005B2D5C" w:rsidRPr="00110D6C">
              <w:rPr>
                <w:rFonts w:cs="Times New Roman"/>
                <w:color w:val="auto"/>
                <w:szCs w:val="22"/>
                <w:lang w:val="pt-PT"/>
              </w:rPr>
              <w:t xml:space="preserve"> </w:t>
            </w:r>
            <w:r w:rsidRPr="00110D6C">
              <w:rPr>
                <w:rFonts w:cs="Times New Roman"/>
                <w:color w:val="auto"/>
                <w:szCs w:val="22"/>
                <w:lang w:val="pt-PT"/>
              </w:rPr>
              <w:t>(21,5%)</w:t>
            </w:r>
          </w:p>
        </w:tc>
        <w:tc>
          <w:tcPr>
            <w:tcW w:w="839" w:type="pct"/>
            <w:tcBorders>
              <w:top w:val="single" w:sz="4" w:space="0" w:color="auto"/>
              <w:left w:val="single" w:sz="4" w:space="0" w:color="auto"/>
            </w:tcBorders>
            <w:shd w:val="clear" w:color="auto" w:fill="auto"/>
            <w:vAlign w:val="bottom"/>
          </w:tcPr>
          <w:p w14:paraId="469031FA" w14:textId="77777777" w:rsidR="0077031F" w:rsidRPr="00110D6C" w:rsidRDefault="00030085" w:rsidP="005B2D5C">
            <w:pPr>
              <w:widowControl/>
              <w:jc w:val="center"/>
              <w:rPr>
                <w:rFonts w:cs="Times New Roman"/>
                <w:color w:val="auto"/>
                <w:szCs w:val="22"/>
                <w:lang w:val="pt-PT"/>
              </w:rPr>
            </w:pPr>
            <w:r w:rsidRPr="00110D6C">
              <w:rPr>
                <w:rFonts w:cs="Times New Roman"/>
                <w:color w:val="auto"/>
                <w:szCs w:val="22"/>
                <w:lang w:val="pt-PT"/>
              </w:rPr>
              <w:t>8</w:t>
            </w:r>
            <w:r w:rsidR="00B910F9" w:rsidRPr="00110D6C">
              <w:rPr>
                <w:rFonts w:cs="Times New Roman"/>
                <w:color w:val="auto"/>
                <w:szCs w:val="22"/>
                <w:lang w:val="pt-PT"/>
              </w:rPr>
              <w:t>4</w:t>
            </w:r>
            <w:r w:rsidR="005B2D5C" w:rsidRPr="00110D6C">
              <w:rPr>
                <w:rFonts w:cs="Times New Roman"/>
                <w:color w:val="auto"/>
                <w:szCs w:val="22"/>
                <w:lang w:val="pt-PT"/>
              </w:rPr>
              <w:t xml:space="preserve"> </w:t>
            </w:r>
            <w:r w:rsidRPr="00110D6C">
              <w:rPr>
                <w:rFonts w:cs="Times New Roman"/>
                <w:color w:val="auto"/>
                <w:szCs w:val="22"/>
                <w:lang w:val="pt-PT"/>
              </w:rPr>
              <w:t>(33,7%)</w:t>
            </w:r>
            <w:r w:rsidRPr="00110D6C">
              <w:rPr>
                <w:rFonts w:cs="Times New Roman"/>
                <w:color w:val="auto"/>
                <w:szCs w:val="22"/>
                <w:vertAlign w:val="superscript"/>
                <w:lang w:val="pt-PT"/>
              </w:rPr>
              <w:t>b</w:t>
            </w:r>
          </w:p>
        </w:tc>
        <w:tc>
          <w:tcPr>
            <w:tcW w:w="657" w:type="pct"/>
            <w:tcBorders>
              <w:top w:val="single" w:sz="4" w:space="0" w:color="auto"/>
              <w:left w:val="single" w:sz="4" w:space="0" w:color="auto"/>
            </w:tcBorders>
            <w:shd w:val="clear" w:color="auto" w:fill="auto"/>
            <w:vAlign w:val="bottom"/>
          </w:tcPr>
          <w:p w14:paraId="24DA2D9F" w14:textId="77777777" w:rsidR="0077031F" w:rsidRPr="00110D6C" w:rsidRDefault="00030085" w:rsidP="005B2D5C">
            <w:pPr>
              <w:widowControl/>
              <w:jc w:val="center"/>
              <w:rPr>
                <w:rFonts w:cs="Times New Roman"/>
                <w:color w:val="auto"/>
                <w:szCs w:val="22"/>
                <w:lang w:val="pt-PT"/>
              </w:rPr>
            </w:pPr>
            <w:r w:rsidRPr="00110D6C">
              <w:rPr>
                <w:rFonts w:cs="Times New Roman"/>
                <w:color w:val="auto"/>
                <w:szCs w:val="22"/>
                <w:lang w:val="pt-PT"/>
              </w:rPr>
              <w:t>6</w:t>
            </w:r>
            <w:r w:rsidR="00B910F9" w:rsidRPr="00110D6C">
              <w:rPr>
                <w:rFonts w:cs="Times New Roman"/>
                <w:color w:val="auto"/>
                <w:szCs w:val="22"/>
                <w:lang w:val="pt-PT"/>
              </w:rPr>
              <w:t>0</w:t>
            </w:r>
            <w:r w:rsidR="005B2D5C" w:rsidRPr="00110D6C">
              <w:rPr>
                <w:rFonts w:cs="Times New Roman"/>
                <w:color w:val="auto"/>
                <w:szCs w:val="22"/>
                <w:lang w:val="pt-PT"/>
              </w:rPr>
              <w:t xml:space="preserve"> </w:t>
            </w:r>
            <w:r w:rsidRPr="00110D6C">
              <w:rPr>
                <w:rFonts w:cs="Times New Roman"/>
                <w:color w:val="auto"/>
                <w:szCs w:val="22"/>
                <w:lang w:val="pt-PT"/>
              </w:rPr>
              <w:t>(28,7%)</w:t>
            </w:r>
          </w:p>
        </w:tc>
        <w:tc>
          <w:tcPr>
            <w:tcW w:w="832" w:type="pct"/>
            <w:tcBorders>
              <w:top w:val="single" w:sz="4" w:space="0" w:color="auto"/>
              <w:left w:val="single" w:sz="4" w:space="0" w:color="auto"/>
              <w:right w:val="single" w:sz="4" w:space="0" w:color="auto"/>
            </w:tcBorders>
            <w:shd w:val="clear" w:color="auto" w:fill="auto"/>
            <w:vAlign w:val="bottom"/>
          </w:tcPr>
          <w:p w14:paraId="6114F285" w14:textId="77777777" w:rsidR="0077031F" w:rsidRPr="00110D6C" w:rsidRDefault="00030085" w:rsidP="005B2D5C">
            <w:pPr>
              <w:widowControl/>
              <w:jc w:val="center"/>
              <w:rPr>
                <w:rFonts w:cs="Times New Roman"/>
                <w:color w:val="auto"/>
                <w:szCs w:val="22"/>
                <w:lang w:val="pt-PT"/>
              </w:rPr>
            </w:pPr>
            <w:r w:rsidRPr="00110D6C">
              <w:rPr>
                <w:rFonts w:cs="Times New Roman"/>
                <w:color w:val="auto"/>
                <w:szCs w:val="22"/>
                <w:lang w:val="pt-PT"/>
              </w:rPr>
              <w:t>11</w:t>
            </w:r>
            <w:r w:rsidR="00B910F9" w:rsidRPr="00110D6C">
              <w:rPr>
                <w:rFonts w:cs="Times New Roman"/>
                <w:color w:val="auto"/>
                <w:szCs w:val="22"/>
                <w:lang w:val="pt-PT"/>
              </w:rPr>
              <w:t>6</w:t>
            </w:r>
            <w:r w:rsidR="005B2D5C" w:rsidRPr="00110D6C">
              <w:rPr>
                <w:rFonts w:cs="Times New Roman"/>
                <w:color w:val="auto"/>
                <w:szCs w:val="22"/>
                <w:lang w:val="pt-PT"/>
              </w:rPr>
              <w:t xml:space="preserve"> </w:t>
            </w:r>
            <w:r w:rsidRPr="00110D6C">
              <w:rPr>
                <w:rFonts w:cs="Times New Roman"/>
                <w:color w:val="auto"/>
                <w:szCs w:val="22"/>
                <w:lang w:val="pt-PT"/>
              </w:rPr>
              <w:t>(55,5%)</w:t>
            </w:r>
            <w:r w:rsidRPr="00110D6C">
              <w:rPr>
                <w:rFonts w:cs="Times New Roman"/>
                <w:color w:val="auto"/>
                <w:szCs w:val="22"/>
                <w:vertAlign w:val="superscript"/>
                <w:lang w:val="pt-PT"/>
              </w:rPr>
              <w:t>a</w:t>
            </w:r>
          </w:p>
        </w:tc>
      </w:tr>
      <w:tr w:rsidR="0077031F" w:rsidRPr="00110D6C" w14:paraId="36EDEDE3" w14:textId="77777777" w:rsidTr="00DA496F">
        <w:tc>
          <w:tcPr>
            <w:tcW w:w="2023" w:type="pct"/>
            <w:tcBorders>
              <w:top w:val="single" w:sz="4" w:space="0" w:color="auto"/>
              <w:left w:val="single" w:sz="4" w:space="0" w:color="auto"/>
            </w:tcBorders>
            <w:shd w:val="clear" w:color="auto" w:fill="auto"/>
            <w:vAlign w:val="bottom"/>
          </w:tcPr>
          <w:p w14:paraId="12659318" w14:textId="77777777" w:rsidR="0077031F" w:rsidRPr="00110D6C" w:rsidRDefault="00030085" w:rsidP="00A121D2">
            <w:pPr>
              <w:widowControl/>
              <w:rPr>
                <w:rFonts w:cs="Times New Roman"/>
                <w:color w:val="auto"/>
                <w:szCs w:val="22"/>
                <w:lang w:val="pt-PT"/>
              </w:rPr>
            </w:pPr>
            <w:r w:rsidRPr="00110D6C">
              <w:rPr>
                <w:rFonts w:cs="Times New Roman"/>
                <w:color w:val="auto"/>
                <w:szCs w:val="22"/>
                <w:lang w:val="pt-PT"/>
              </w:rPr>
              <w:t>Resposta clínica (10</w:t>
            </w:r>
            <w:r w:rsidR="00B910F9" w:rsidRPr="00110D6C">
              <w:rPr>
                <w:rFonts w:cs="Times New Roman"/>
                <w:color w:val="auto"/>
                <w:szCs w:val="22"/>
                <w:lang w:val="pt-PT"/>
              </w:rPr>
              <w:t>0 </w:t>
            </w:r>
            <w:r w:rsidRPr="00110D6C">
              <w:rPr>
                <w:rFonts w:cs="Times New Roman"/>
                <w:color w:val="auto"/>
                <w:szCs w:val="22"/>
                <w:lang w:val="pt-PT"/>
              </w:rPr>
              <w:t>pontos), semana</w:t>
            </w:r>
            <w:r w:rsidR="00A121D2" w:rsidRPr="00110D6C">
              <w:rPr>
                <w:rFonts w:cs="Times New Roman"/>
                <w:color w:val="auto"/>
                <w:szCs w:val="22"/>
                <w:lang w:val="pt-PT"/>
              </w:rPr>
              <w:t> </w:t>
            </w:r>
            <w:r w:rsidRPr="00110D6C">
              <w:rPr>
                <w:rFonts w:cs="Times New Roman"/>
                <w:color w:val="auto"/>
                <w:szCs w:val="22"/>
                <w:lang w:val="pt-PT"/>
              </w:rPr>
              <w:t>8</w:t>
            </w:r>
          </w:p>
        </w:tc>
        <w:tc>
          <w:tcPr>
            <w:tcW w:w="649" w:type="pct"/>
            <w:tcBorders>
              <w:top w:val="single" w:sz="4" w:space="0" w:color="auto"/>
              <w:left w:val="single" w:sz="4" w:space="0" w:color="auto"/>
            </w:tcBorders>
            <w:shd w:val="clear" w:color="auto" w:fill="auto"/>
            <w:vAlign w:val="bottom"/>
          </w:tcPr>
          <w:p w14:paraId="5DC8B657" w14:textId="77777777" w:rsidR="0077031F" w:rsidRPr="00110D6C" w:rsidRDefault="00030085" w:rsidP="005B2D5C">
            <w:pPr>
              <w:widowControl/>
              <w:jc w:val="center"/>
              <w:rPr>
                <w:rFonts w:cs="Times New Roman"/>
                <w:color w:val="auto"/>
                <w:szCs w:val="22"/>
                <w:lang w:val="pt-PT"/>
              </w:rPr>
            </w:pPr>
            <w:r w:rsidRPr="00110D6C">
              <w:rPr>
                <w:rFonts w:cs="Times New Roman"/>
                <w:color w:val="auto"/>
                <w:szCs w:val="22"/>
                <w:lang w:val="pt-PT"/>
              </w:rPr>
              <w:t>5</w:t>
            </w:r>
            <w:r w:rsidR="00B910F9" w:rsidRPr="00110D6C">
              <w:rPr>
                <w:rFonts w:cs="Times New Roman"/>
                <w:color w:val="auto"/>
                <w:szCs w:val="22"/>
                <w:lang w:val="pt-PT"/>
              </w:rPr>
              <w:t>0</w:t>
            </w:r>
            <w:r w:rsidR="005B2D5C" w:rsidRPr="00110D6C">
              <w:rPr>
                <w:rFonts w:cs="Times New Roman"/>
                <w:color w:val="auto"/>
                <w:szCs w:val="22"/>
                <w:lang w:val="pt-PT"/>
              </w:rPr>
              <w:t xml:space="preserve"> </w:t>
            </w:r>
            <w:r w:rsidRPr="00110D6C">
              <w:rPr>
                <w:rFonts w:cs="Times New Roman"/>
                <w:color w:val="auto"/>
                <w:szCs w:val="22"/>
                <w:lang w:val="pt-PT"/>
              </w:rPr>
              <w:t>(20,2%)</w:t>
            </w:r>
          </w:p>
        </w:tc>
        <w:tc>
          <w:tcPr>
            <w:tcW w:w="839" w:type="pct"/>
            <w:tcBorders>
              <w:top w:val="single" w:sz="4" w:space="0" w:color="auto"/>
              <w:left w:val="single" w:sz="4" w:space="0" w:color="auto"/>
            </w:tcBorders>
            <w:shd w:val="clear" w:color="auto" w:fill="auto"/>
            <w:vAlign w:val="bottom"/>
          </w:tcPr>
          <w:p w14:paraId="78081167" w14:textId="77777777" w:rsidR="0077031F" w:rsidRPr="00110D6C" w:rsidRDefault="00030085" w:rsidP="005B2D5C">
            <w:pPr>
              <w:widowControl/>
              <w:jc w:val="center"/>
              <w:rPr>
                <w:rFonts w:cs="Times New Roman"/>
                <w:color w:val="auto"/>
                <w:szCs w:val="22"/>
                <w:lang w:val="pt-PT"/>
              </w:rPr>
            </w:pPr>
            <w:r w:rsidRPr="00110D6C">
              <w:rPr>
                <w:rFonts w:cs="Times New Roman"/>
                <w:color w:val="auto"/>
                <w:szCs w:val="22"/>
                <w:lang w:val="pt-PT"/>
              </w:rPr>
              <w:t>9</w:t>
            </w:r>
            <w:r w:rsidR="00B910F9" w:rsidRPr="00110D6C">
              <w:rPr>
                <w:rFonts w:cs="Times New Roman"/>
                <w:color w:val="auto"/>
                <w:szCs w:val="22"/>
                <w:lang w:val="pt-PT"/>
              </w:rPr>
              <w:t>4</w:t>
            </w:r>
            <w:r w:rsidR="005B2D5C" w:rsidRPr="00110D6C">
              <w:rPr>
                <w:rFonts w:cs="Times New Roman"/>
                <w:color w:val="auto"/>
                <w:szCs w:val="22"/>
                <w:lang w:val="pt-PT"/>
              </w:rPr>
              <w:t xml:space="preserve"> </w:t>
            </w:r>
            <w:r w:rsidRPr="00110D6C">
              <w:rPr>
                <w:rFonts w:cs="Times New Roman"/>
                <w:color w:val="auto"/>
                <w:szCs w:val="22"/>
                <w:lang w:val="pt-PT"/>
              </w:rPr>
              <w:t>(37,8%)</w:t>
            </w:r>
            <w:r w:rsidRPr="00110D6C">
              <w:rPr>
                <w:rFonts w:cs="Times New Roman"/>
                <w:color w:val="auto"/>
                <w:szCs w:val="22"/>
                <w:vertAlign w:val="superscript"/>
                <w:lang w:val="pt-PT"/>
              </w:rPr>
              <w:t>a</w:t>
            </w:r>
          </w:p>
        </w:tc>
        <w:tc>
          <w:tcPr>
            <w:tcW w:w="657" w:type="pct"/>
            <w:tcBorders>
              <w:top w:val="single" w:sz="4" w:space="0" w:color="auto"/>
              <w:left w:val="single" w:sz="4" w:space="0" w:color="auto"/>
            </w:tcBorders>
            <w:shd w:val="clear" w:color="auto" w:fill="auto"/>
            <w:vAlign w:val="bottom"/>
          </w:tcPr>
          <w:p w14:paraId="6890888A" w14:textId="77777777" w:rsidR="0077031F" w:rsidRPr="00110D6C" w:rsidRDefault="00030085" w:rsidP="005B2D5C">
            <w:pPr>
              <w:widowControl/>
              <w:jc w:val="center"/>
              <w:rPr>
                <w:rFonts w:cs="Times New Roman"/>
                <w:color w:val="auto"/>
                <w:szCs w:val="22"/>
                <w:lang w:val="pt-PT"/>
              </w:rPr>
            </w:pPr>
            <w:r w:rsidRPr="00110D6C">
              <w:rPr>
                <w:rFonts w:cs="Times New Roman"/>
                <w:color w:val="auto"/>
                <w:szCs w:val="22"/>
                <w:lang w:val="pt-PT"/>
              </w:rPr>
              <w:t>6</w:t>
            </w:r>
            <w:r w:rsidR="00B910F9" w:rsidRPr="00110D6C">
              <w:rPr>
                <w:rFonts w:cs="Times New Roman"/>
                <w:color w:val="auto"/>
                <w:szCs w:val="22"/>
                <w:lang w:val="pt-PT"/>
              </w:rPr>
              <w:t>7</w:t>
            </w:r>
            <w:r w:rsidR="005B2D5C" w:rsidRPr="00110D6C">
              <w:rPr>
                <w:rFonts w:cs="Times New Roman"/>
                <w:color w:val="auto"/>
                <w:szCs w:val="22"/>
                <w:lang w:val="pt-PT"/>
              </w:rPr>
              <w:t xml:space="preserve"> </w:t>
            </w:r>
            <w:r w:rsidRPr="00110D6C">
              <w:rPr>
                <w:rFonts w:cs="Times New Roman"/>
                <w:color w:val="auto"/>
                <w:szCs w:val="22"/>
                <w:lang w:val="pt-PT"/>
              </w:rPr>
              <w:t>(32,1%)</w:t>
            </w:r>
          </w:p>
        </w:tc>
        <w:tc>
          <w:tcPr>
            <w:tcW w:w="832" w:type="pct"/>
            <w:tcBorders>
              <w:top w:val="single" w:sz="4" w:space="0" w:color="auto"/>
              <w:left w:val="single" w:sz="4" w:space="0" w:color="auto"/>
              <w:right w:val="single" w:sz="4" w:space="0" w:color="auto"/>
            </w:tcBorders>
            <w:shd w:val="clear" w:color="auto" w:fill="auto"/>
            <w:vAlign w:val="bottom"/>
          </w:tcPr>
          <w:p w14:paraId="0BD2F42C" w14:textId="77777777" w:rsidR="0077031F" w:rsidRPr="00110D6C" w:rsidRDefault="00030085" w:rsidP="005B2D5C">
            <w:pPr>
              <w:widowControl/>
              <w:jc w:val="center"/>
              <w:rPr>
                <w:rFonts w:cs="Times New Roman"/>
                <w:color w:val="auto"/>
                <w:szCs w:val="22"/>
                <w:lang w:val="pt-PT"/>
              </w:rPr>
            </w:pPr>
            <w:r w:rsidRPr="00110D6C">
              <w:rPr>
                <w:rFonts w:cs="Times New Roman"/>
                <w:color w:val="auto"/>
                <w:szCs w:val="22"/>
                <w:lang w:val="pt-PT"/>
              </w:rPr>
              <w:t>12</w:t>
            </w:r>
            <w:r w:rsidR="00B910F9" w:rsidRPr="00110D6C">
              <w:rPr>
                <w:rFonts w:cs="Times New Roman"/>
                <w:color w:val="auto"/>
                <w:szCs w:val="22"/>
                <w:lang w:val="pt-PT"/>
              </w:rPr>
              <w:t>1</w:t>
            </w:r>
            <w:r w:rsidR="005B2D5C" w:rsidRPr="00110D6C">
              <w:rPr>
                <w:rFonts w:cs="Times New Roman"/>
                <w:color w:val="auto"/>
                <w:szCs w:val="22"/>
                <w:lang w:val="pt-PT"/>
              </w:rPr>
              <w:t xml:space="preserve"> </w:t>
            </w:r>
            <w:r w:rsidRPr="00110D6C">
              <w:rPr>
                <w:rFonts w:cs="Times New Roman"/>
                <w:color w:val="auto"/>
                <w:szCs w:val="22"/>
                <w:lang w:val="pt-PT"/>
              </w:rPr>
              <w:t>(57,9%)</w:t>
            </w:r>
            <w:r w:rsidRPr="00110D6C">
              <w:rPr>
                <w:rFonts w:cs="Times New Roman"/>
                <w:color w:val="auto"/>
                <w:szCs w:val="22"/>
                <w:vertAlign w:val="superscript"/>
                <w:lang w:val="pt-PT"/>
              </w:rPr>
              <w:t>a</w:t>
            </w:r>
          </w:p>
        </w:tc>
      </w:tr>
      <w:tr w:rsidR="0077031F" w:rsidRPr="00110D6C" w14:paraId="333F4745" w14:textId="77777777" w:rsidTr="00DA496F">
        <w:tc>
          <w:tcPr>
            <w:tcW w:w="2023" w:type="pct"/>
            <w:tcBorders>
              <w:top w:val="single" w:sz="4" w:space="0" w:color="auto"/>
              <w:left w:val="single" w:sz="4" w:space="0" w:color="auto"/>
            </w:tcBorders>
            <w:shd w:val="clear" w:color="auto" w:fill="auto"/>
            <w:vAlign w:val="bottom"/>
          </w:tcPr>
          <w:p w14:paraId="60CBF641" w14:textId="77777777" w:rsidR="0077031F" w:rsidRPr="00110D6C" w:rsidRDefault="00030085" w:rsidP="00A121D2">
            <w:pPr>
              <w:widowControl/>
              <w:rPr>
                <w:rFonts w:cs="Times New Roman"/>
                <w:color w:val="auto"/>
                <w:szCs w:val="22"/>
                <w:lang w:val="pt-PT"/>
              </w:rPr>
            </w:pPr>
            <w:r w:rsidRPr="00110D6C">
              <w:rPr>
                <w:rFonts w:cs="Times New Roman"/>
                <w:color w:val="auto"/>
                <w:szCs w:val="22"/>
                <w:lang w:val="pt-PT"/>
              </w:rPr>
              <w:t>Resposta com 7</w:t>
            </w:r>
            <w:r w:rsidR="00B910F9" w:rsidRPr="00110D6C">
              <w:rPr>
                <w:rFonts w:cs="Times New Roman"/>
                <w:color w:val="auto"/>
                <w:szCs w:val="22"/>
                <w:lang w:val="pt-PT"/>
              </w:rPr>
              <w:t>0 </w:t>
            </w:r>
            <w:r w:rsidRPr="00110D6C">
              <w:rPr>
                <w:rFonts w:cs="Times New Roman"/>
                <w:color w:val="auto"/>
                <w:szCs w:val="22"/>
                <w:lang w:val="pt-PT"/>
              </w:rPr>
              <w:t>pontos, semana</w:t>
            </w:r>
            <w:r w:rsidR="00A121D2" w:rsidRPr="00110D6C">
              <w:rPr>
                <w:lang w:val="pt-PT"/>
              </w:rPr>
              <w:t> </w:t>
            </w:r>
            <w:r w:rsidRPr="00110D6C">
              <w:rPr>
                <w:rFonts w:cs="Times New Roman"/>
                <w:color w:val="auto"/>
                <w:szCs w:val="22"/>
                <w:lang w:val="pt-PT"/>
              </w:rPr>
              <w:t>3</w:t>
            </w:r>
          </w:p>
        </w:tc>
        <w:tc>
          <w:tcPr>
            <w:tcW w:w="649" w:type="pct"/>
            <w:tcBorders>
              <w:top w:val="single" w:sz="4" w:space="0" w:color="auto"/>
              <w:left w:val="single" w:sz="4" w:space="0" w:color="auto"/>
            </w:tcBorders>
            <w:shd w:val="clear" w:color="auto" w:fill="auto"/>
            <w:vAlign w:val="bottom"/>
          </w:tcPr>
          <w:p w14:paraId="0BB2FED2" w14:textId="77777777" w:rsidR="0077031F" w:rsidRPr="00110D6C" w:rsidRDefault="00030085" w:rsidP="005B2D5C">
            <w:pPr>
              <w:widowControl/>
              <w:jc w:val="center"/>
              <w:rPr>
                <w:rFonts w:cs="Times New Roman"/>
                <w:color w:val="auto"/>
                <w:szCs w:val="22"/>
                <w:lang w:val="pt-PT"/>
              </w:rPr>
            </w:pPr>
            <w:r w:rsidRPr="00110D6C">
              <w:rPr>
                <w:rFonts w:cs="Times New Roman"/>
                <w:color w:val="auto"/>
                <w:szCs w:val="22"/>
                <w:lang w:val="pt-PT"/>
              </w:rPr>
              <w:t>6</w:t>
            </w:r>
            <w:r w:rsidR="00B910F9" w:rsidRPr="00110D6C">
              <w:rPr>
                <w:rFonts w:cs="Times New Roman"/>
                <w:color w:val="auto"/>
                <w:szCs w:val="22"/>
                <w:lang w:val="pt-PT"/>
              </w:rPr>
              <w:t>7</w:t>
            </w:r>
            <w:r w:rsidR="005B2D5C" w:rsidRPr="00110D6C">
              <w:rPr>
                <w:rFonts w:cs="Times New Roman"/>
                <w:color w:val="auto"/>
                <w:szCs w:val="22"/>
                <w:lang w:val="pt-PT"/>
              </w:rPr>
              <w:t xml:space="preserve"> </w:t>
            </w:r>
            <w:r w:rsidRPr="00110D6C">
              <w:rPr>
                <w:rFonts w:cs="Times New Roman"/>
                <w:color w:val="auto"/>
                <w:szCs w:val="22"/>
                <w:lang w:val="pt-PT"/>
              </w:rPr>
              <w:t>(27,1%)</w:t>
            </w:r>
          </w:p>
        </w:tc>
        <w:tc>
          <w:tcPr>
            <w:tcW w:w="839" w:type="pct"/>
            <w:tcBorders>
              <w:top w:val="single" w:sz="4" w:space="0" w:color="auto"/>
              <w:left w:val="single" w:sz="4" w:space="0" w:color="auto"/>
            </w:tcBorders>
            <w:shd w:val="clear" w:color="auto" w:fill="auto"/>
            <w:vAlign w:val="bottom"/>
          </w:tcPr>
          <w:p w14:paraId="6CE684A5" w14:textId="77777777" w:rsidR="0077031F" w:rsidRPr="00110D6C" w:rsidRDefault="00030085" w:rsidP="005B2D5C">
            <w:pPr>
              <w:widowControl/>
              <w:jc w:val="center"/>
              <w:rPr>
                <w:rFonts w:cs="Times New Roman"/>
                <w:color w:val="auto"/>
                <w:szCs w:val="22"/>
                <w:lang w:val="pt-PT"/>
              </w:rPr>
            </w:pPr>
            <w:r w:rsidRPr="00110D6C">
              <w:rPr>
                <w:rFonts w:cs="Times New Roman"/>
                <w:color w:val="auto"/>
                <w:szCs w:val="22"/>
                <w:lang w:val="pt-PT"/>
              </w:rPr>
              <w:t>10</w:t>
            </w:r>
            <w:r w:rsidR="00B910F9" w:rsidRPr="00110D6C">
              <w:rPr>
                <w:rFonts w:cs="Times New Roman"/>
                <w:color w:val="auto"/>
                <w:szCs w:val="22"/>
                <w:lang w:val="pt-PT"/>
              </w:rPr>
              <w:t>1</w:t>
            </w:r>
            <w:r w:rsidR="005B2D5C" w:rsidRPr="00110D6C">
              <w:rPr>
                <w:rFonts w:cs="Times New Roman"/>
                <w:color w:val="auto"/>
                <w:szCs w:val="22"/>
                <w:lang w:val="pt-PT"/>
              </w:rPr>
              <w:t xml:space="preserve"> </w:t>
            </w:r>
            <w:r w:rsidRPr="00110D6C">
              <w:rPr>
                <w:rFonts w:cs="Times New Roman"/>
                <w:color w:val="auto"/>
                <w:szCs w:val="22"/>
                <w:lang w:val="pt-PT"/>
              </w:rPr>
              <w:t>(40,6%)</w:t>
            </w:r>
            <w:r w:rsidRPr="00110D6C">
              <w:rPr>
                <w:rFonts w:cs="Times New Roman"/>
                <w:color w:val="auto"/>
                <w:szCs w:val="22"/>
                <w:vertAlign w:val="superscript"/>
                <w:lang w:val="pt-PT"/>
              </w:rPr>
              <w:t>b</w:t>
            </w:r>
          </w:p>
        </w:tc>
        <w:tc>
          <w:tcPr>
            <w:tcW w:w="657" w:type="pct"/>
            <w:tcBorders>
              <w:top w:val="single" w:sz="4" w:space="0" w:color="auto"/>
              <w:left w:val="single" w:sz="4" w:space="0" w:color="auto"/>
            </w:tcBorders>
            <w:shd w:val="clear" w:color="auto" w:fill="auto"/>
            <w:vAlign w:val="bottom"/>
          </w:tcPr>
          <w:p w14:paraId="627B9D48" w14:textId="77777777" w:rsidR="0077031F" w:rsidRPr="00110D6C" w:rsidRDefault="00030085" w:rsidP="005B2D5C">
            <w:pPr>
              <w:widowControl/>
              <w:jc w:val="center"/>
              <w:rPr>
                <w:rFonts w:cs="Times New Roman"/>
                <w:color w:val="auto"/>
                <w:szCs w:val="22"/>
                <w:lang w:val="pt-PT"/>
              </w:rPr>
            </w:pPr>
            <w:r w:rsidRPr="00110D6C">
              <w:rPr>
                <w:rFonts w:cs="Times New Roman"/>
                <w:color w:val="auto"/>
                <w:szCs w:val="22"/>
                <w:lang w:val="pt-PT"/>
              </w:rPr>
              <w:t>6</w:t>
            </w:r>
            <w:r w:rsidR="00B910F9" w:rsidRPr="00110D6C">
              <w:rPr>
                <w:rFonts w:cs="Times New Roman"/>
                <w:color w:val="auto"/>
                <w:szCs w:val="22"/>
                <w:lang w:val="pt-PT"/>
              </w:rPr>
              <w:t>6</w:t>
            </w:r>
            <w:r w:rsidR="005B2D5C" w:rsidRPr="00110D6C">
              <w:rPr>
                <w:rFonts w:cs="Times New Roman"/>
                <w:color w:val="auto"/>
                <w:szCs w:val="22"/>
                <w:lang w:val="pt-PT"/>
              </w:rPr>
              <w:t xml:space="preserve"> </w:t>
            </w:r>
            <w:r w:rsidRPr="00110D6C">
              <w:rPr>
                <w:rFonts w:cs="Times New Roman"/>
                <w:color w:val="auto"/>
                <w:szCs w:val="22"/>
                <w:lang w:val="pt-PT"/>
              </w:rPr>
              <w:t>(31,6%)</w:t>
            </w:r>
          </w:p>
        </w:tc>
        <w:tc>
          <w:tcPr>
            <w:tcW w:w="832" w:type="pct"/>
            <w:tcBorders>
              <w:top w:val="single" w:sz="4" w:space="0" w:color="auto"/>
              <w:left w:val="single" w:sz="4" w:space="0" w:color="auto"/>
              <w:right w:val="single" w:sz="4" w:space="0" w:color="auto"/>
            </w:tcBorders>
            <w:shd w:val="clear" w:color="auto" w:fill="auto"/>
            <w:vAlign w:val="bottom"/>
          </w:tcPr>
          <w:p w14:paraId="3B4DD05D" w14:textId="77777777" w:rsidR="0077031F" w:rsidRPr="00110D6C" w:rsidRDefault="00030085" w:rsidP="005B2D5C">
            <w:pPr>
              <w:widowControl/>
              <w:jc w:val="center"/>
              <w:rPr>
                <w:rFonts w:cs="Times New Roman"/>
                <w:color w:val="auto"/>
                <w:szCs w:val="22"/>
                <w:lang w:val="pt-PT"/>
              </w:rPr>
            </w:pPr>
            <w:r w:rsidRPr="00110D6C">
              <w:rPr>
                <w:rFonts w:cs="Times New Roman"/>
                <w:color w:val="auto"/>
                <w:szCs w:val="22"/>
                <w:lang w:val="pt-PT"/>
              </w:rPr>
              <w:t>10</w:t>
            </w:r>
            <w:r w:rsidR="00B910F9" w:rsidRPr="00110D6C">
              <w:rPr>
                <w:rFonts w:cs="Times New Roman"/>
                <w:color w:val="auto"/>
                <w:szCs w:val="22"/>
                <w:lang w:val="pt-PT"/>
              </w:rPr>
              <w:t>6</w:t>
            </w:r>
            <w:r w:rsidR="005B2D5C" w:rsidRPr="00110D6C">
              <w:rPr>
                <w:rFonts w:cs="Times New Roman"/>
                <w:color w:val="auto"/>
                <w:szCs w:val="22"/>
                <w:lang w:val="pt-PT"/>
              </w:rPr>
              <w:t xml:space="preserve"> </w:t>
            </w:r>
            <w:r w:rsidRPr="00110D6C">
              <w:rPr>
                <w:rFonts w:cs="Times New Roman"/>
                <w:color w:val="auto"/>
                <w:szCs w:val="22"/>
                <w:lang w:val="pt-PT"/>
              </w:rPr>
              <w:t>(50,7%)</w:t>
            </w:r>
            <w:r w:rsidRPr="00110D6C">
              <w:rPr>
                <w:rFonts w:cs="Times New Roman"/>
                <w:color w:val="auto"/>
                <w:szCs w:val="22"/>
                <w:vertAlign w:val="superscript"/>
                <w:lang w:val="pt-PT"/>
              </w:rPr>
              <w:t>a</w:t>
            </w:r>
          </w:p>
        </w:tc>
      </w:tr>
      <w:tr w:rsidR="0077031F" w:rsidRPr="00110D6C" w14:paraId="6B18E307" w14:textId="77777777" w:rsidTr="00DA496F">
        <w:tc>
          <w:tcPr>
            <w:tcW w:w="2023" w:type="pct"/>
            <w:tcBorders>
              <w:top w:val="single" w:sz="4" w:space="0" w:color="auto"/>
              <w:left w:val="single" w:sz="4" w:space="0" w:color="auto"/>
              <w:bottom w:val="single" w:sz="4" w:space="0" w:color="auto"/>
            </w:tcBorders>
            <w:shd w:val="clear" w:color="auto" w:fill="auto"/>
            <w:vAlign w:val="bottom"/>
          </w:tcPr>
          <w:p w14:paraId="1D9DE07C" w14:textId="77777777" w:rsidR="0077031F" w:rsidRPr="00110D6C" w:rsidRDefault="00030085" w:rsidP="00A121D2">
            <w:pPr>
              <w:widowControl/>
              <w:rPr>
                <w:rFonts w:cs="Times New Roman"/>
                <w:color w:val="auto"/>
                <w:szCs w:val="22"/>
                <w:lang w:val="pt-PT"/>
              </w:rPr>
            </w:pPr>
            <w:r w:rsidRPr="00110D6C">
              <w:rPr>
                <w:rFonts w:cs="Times New Roman"/>
                <w:color w:val="auto"/>
                <w:szCs w:val="22"/>
                <w:lang w:val="pt-PT"/>
              </w:rPr>
              <w:t>Resposta com 7</w:t>
            </w:r>
            <w:r w:rsidR="00B910F9" w:rsidRPr="00110D6C">
              <w:rPr>
                <w:rFonts w:cs="Times New Roman"/>
                <w:color w:val="auto"/>
                <w:szCs w:val="22"/>
                <w:lang w:val="pt-PT"/>
              </w:rPr>
              <w:t>0 </w:t>
            </w:r>
            <w:r w:rsidRPr="00110D6C">
              <w:rPr>
                <w:rFonts w:cs="Times New Roman"/>
                <w:color w:val="auto"/>
                <w:szCs w:val="22"/>
                <w:lang w:val="pt-PT"/>
              </w:rPr>
              <w:t>pontos, semana</w:t>
            </w:r>
            <w:r w:rsidR="00A121D2" w:rsidRPr="00110D6C">
              <w:rPr>
                <w:rFonts w:cs="Times New Roman"/>
                <w:color w:val="auto"/>
                <w:szCs w:val="22"/>
                <w:lang w:val="pt-PT"/>
              </w:rPr>
              <w:t> </w:t>
            </w:r>
            <w:r w:rsidRPr="00110D6C">
              <w:rPr>
                <w:rFonts w:cs="Times New Roman"/>
                <w:color w:val="auto"/>
                <w:szCs w:val="22"/>
                <w:lang w:val="pt-PT"/>
              </w:rPr>
              <w:t>6</w:t>
            </w:r>
          </w:p>
        </w:tc>
        <w:tc>
          <w:tcPr>
            <w:tcW w:w="649" w:type="pct"/>
            <w:tcBorders>
              <w:top w:val="single" w:sz="4" w:space="0" w:color="auto"/>
              <w:left w:val="single" w:sz="4" w:space="0" w:color="auto"/>
              <w:bottom w:val="single" w:sz="4" w:space="0" w:color="auto"/>
            </w:tcBorders>
            <w:shd w:val="clear" w:color="auto" w:fill="auto"/>
            <w:vAlign w:val="bottom"/>
          </w:tcPr>
          <w:p w14:paraId="4CB9B449" w14:textId="77777777" w:rsidR="0077031F" w:rsidRPr="00110D6C" w:rsidRDefault="00030085" w:rsidP="005B2D5C">
            <w:pPr>
              <w:widowControl/>
              <w:jc w:val="center"/>
              <w:rPr>
                <w:rFonts w:cs="Times New Roman"/>
                <w:color w:val="auto"/>
                <w:szCs w:val="22"/>
                <w:lang w:val="pt-PT"/>
              </w:rPr>
            </w:pPr>
            <w:r w:rsidRPr="00110D6C">
              <w:rPr>
                <w:rFonts w:cs="Times New Roman"/>
                <w:color w:val="auto"/>
                <w:szCs w:val="22"/>
                <w:lang w:val="pt-PT"/>
              </w:rPr>
              <w:t>7</w:t>
            </w:r>
            <w:r w:rsidR="00B910F9" w:rsidRPr="00110D6C">
              <w:rPr>
                <w:rFonts w:cs="Times New Roman"/>
                <w:color w:val="auto"/>
                <w:szCs w:val="22"/>
                <w:lang w:val="pt-PT"/>
              </w:rPr>
              <w:t>5</w:t>
            </w:r>
            <w:r w:rsidR="005B2D5C" w:rsidRPr="00110D6C">
              <w:rPr>
                <w:rFonts w:cs="Times New Roman"/>
                <w:color w:val="auto"/>
                <w:szCs w:val="22"/>
                <w:lang w:val="pt-PT"/>
              </w:rPr>
              <w:t xml:space="preserve"> </w:t>
            </w:r>
            <w:r w:rsidRPr="00110D6C">
              <w:rPr>
                <w:rFonts w:cs="Times New Roman"/>
                <w:color w:val="auto"/>
                <w:szCs w:val="22"/>
                <w:lang w:val="pt-PT"/>
              </w:rPr>
              <w:t>(30,4%)</w:t>
            </w:r>
          </w:p>
        </w:tc>
        <w:tc>
          <w:tcPr>
            <w:tcW w:w="839" w:type="pct"/>
            <w:tcBorders>
              <w:top w:val="single" w:sz="4" w:space="0" w:color="auto"/>
              <w:left w:val="single" w:sz="4" w:space="0" w:color="auto"/>
              <w:bottom w:val="single" w:sz="4" w:space="0" w:color="auto"/>
            </w:tcBorders>
            <w:shd w:val="clear" w:color="auto" w:fill="auto"/>
            <w:vAlign w:val="bottom"/>
          </w:tcPr>
          <w:p w14:paraId="0B463A0D" w14:textId="77777777" w:rsidR="0077031F" w:rsidRPr="00110D6C" w:rsidRDefault="00030085" w:rsidP="005B2D5C">
            <w:pPr>
              <w:widowControl/>
              <w:jc w:val="center"/>
              <w:rPr>
                <w:rFonts w:cs="Times New Roman"/>
                <w:color w:val="auto"/>
                <w:szCs w:val="22"/>
                <w:lang w:val="pt-PT"/>
              </w:rPr>
            </w:pPr>
            <w:r w:rsidRPr="00110D6C">
              <w:rPr>
                <w:rFonts w:cs="Times New Roman"/>
                <w:color w:val="auto"/>
                <w:szCs w:val="22"/>
                <w:lang w:val="pt-PT"/>
              </w:rPr>
              <w:t>10</w:t>
            </w:r>
            <w:r w:rsidR="00B910F9" w:rsidRPr="00110D6C">
              <w:rPr>
                <w:rFonts w:cs="Times New Roman"/>
                <w:color w:val="auto"/>
                <w:szCs w:val="22"/>
                <w:lang w:val="pt-PT"/>
              </w:rPr>
              <w:t>9</w:t>
            </w:r>
            <w:r w:rsidR="005B2D5C" w:rsidRPr="00110D6C">
              <w:rPr>
                <w:rFonts w:cs="Times New Roman"/>
                <w:color w:val="auto"/>
                <w:szCs w:val="22"/>
                <w:lang w:val="pt-PT"/>
              </w:rPr>
              <w:t xml:space="preserve"> </w:t>
            </w:r>
            <w:r w:rsidRPr="00110D6C">
              <w:rPr>
                <w:rFonts w:cs="Times New Roman"/>
                <w:color w:val="auto"/>
                <w:szCs w:val="22"/>
                <w:lang w:val="pt-PT"/>
              </w:rPr>
              <w:t>(43,8%)</w:t>
            </w:r>
            <w:r w:rsidRPr="00110D6C">
              <w:rPr>
                <w:rFonts w:cs="Times New Roman"/>
                <w:color w:val="auto"/>
                <w:szCs w:val="22"/>
                <w:vertAlign w:val="superscript"/>
                <w:lang w:val="pt-PT"/>
              </w:rPr>
              <w:t>b</w:t>
            </w:r>
          </w:p>
        </w:tc>
        <w:tc>
          <w:tcPr>
            <w:tcW w:w="657" w:type="pct"/>
            <w:tcBorders>
              <w:top w:val="single" w:sz="4" w:space="0" w:color="auto"/>
              <w:left w:val="single" w:sz="4" w:space="0" w:color="auto"/>
              <w:bottom w:val="single" w:sz="4" w:space="0" w:color="auto"/>
            </w:tcBorders>
            <w:shd w:val="clear" w:color="auto" w:fill="auto"/>
            <w:vAlign w:val="bottom"/>
          </w:tcPr>
          <w:p w14:paraId="202DBCEC" w14:textId="77777777" w:rsidR="0077031F" w:rsidRPr="00110D6C" w:rsidRDefault="00030085" w:rsidP="005B2D5C">
            <w:pPr>
              <w:widowControl/>
              <w:jc w:val="center"/>
              <w:rPr>
                <w:rFonts w:cs="Times New Roman"/>
                <w:color w:val="auto"/>
                <w:szCs w:val="22"/>
                <w:lang w:val="pt-PT"/>
              </w:rPr>
            </w:pPr>
            <w:r w:rsidRPr="00110D6C">
              <w:rPr>
                <w:rFonts w:cs="Times New Roman"/>
                <w:color w:val="auto"/>
                <w:szCs w:val="22"/>
                <w:lang w:val="pt-PT"/>
              </w:rPr>
              <w:t>8</w:t>
            </w:r>
            <w:r w:rsidR="00B910F9" w:rsidRPr="00110D6C">
              <w:rPr>
                <w:rFonts w:cs="Times New Roman"/>
                <w:color w:val="auto"/>
                <w:szCs w:val="22"/>
                <w:lang w:val="pt-PT"/>
              </w:rPr>
              <w:t>1</w:t>
            </w:r>
            <w:r w:rsidR="005B2D5C" w:rsidRPr="00110D6C">
              <w:rPr>
                <w:rFonts w:cs="Times New Roman"/>
                <w:color w:val="auto"/>
                <w:szCs w:val="22"/>
                <w:lang w:val="pt-PT"/>
              </w:rPr>
              <w:t xml:space="preserve"> </w:t>
            </w:r>
            <w:r w:rsidRPr="00110D6C">
              <w:rPr>
                <w:rFonts w:cs="Times New Roman"/>
                <w:color w:val="auto"/>
                <w:szCs w:val="22"/>
                <w:lang w:val="pt-PT"/>
              </w:rPr>
              <w:t>(38,8%)</w:t>
            </w:r>
          </w:p>
        </w:tc>
        <w:tc>
          <w:tcPr>
            <w:tcW w:w="832" w:type="pct"/>
            <w:tcBorders>
              <w:top w:val="single" w:sz="4" w:space="0" w:color="auto"/>
              <w:left w:val="single" w:sz="4" w:space="0" w:color="auto"/>
              <w:bottom w:val="single" w:sz="4" w:space="0" w:color="auto"/>
              <w:right w:val="single" w:sz="4" w:space="0" w:color="auto"/>
            </w:tcBorders>
            <w:shd w:val="clear" w:color="auto" w:fill="auto"/>
            <w:vAlign w:val="bottom"/>
          </w:tcPr>
          <w:p w14:paraId="15B5660E" w14:textId="77777777" w:rsidR="0077031F" w:rsidRPr="00110D6C" w:rsidRDefault="00030085" w:rsidP="005B2D5C">
            <w:pPr>
              <w:widowControl/>
              <w:jc w:val="center"/>
              <w:rPr>
                <w:rFonts w:cs="Times New Roman"/>
                <w:color w:val="auto"/>
                <w:szCs w:val="22"/>
                <w:lang w:val="pt-PT"/>
              </w:rPr>
            </w:pPr>
            <w:r w:rsidRPr="00110D6C">
              <w:rPr>
                <w:rFonts w:cs="Times New Roman"/>
                <w:color w:val="auto"/>
                <w:szCs w:val="22"/>
                <w:lang w:val="pt-PT"/>
              </w:rPr>
              <w:t>13</w:t>
            </w:r>
            <w:r w:rsidR="00B910F9" w:rsidRPr="00110D6C">
              <w:rPr>
                <w:rFonts w:cs="Times New Roman"/>
                <w:color w:val="auto"/>
                <w:szCs w:val="22"/>
                <w:lang w:val="pt-PT"/>
              </w:rPr>
              <w:t>5</w:t>
            </w:r>
            <w:r w:rsidR="005B2D5C" w:rsidRPr="00110D6C">
              <w:rPr>
                <w:rFonts w:cs="Times New Roman"/>
                <w:color w:val="auto"/>
                <w:szCs w:val="22"/>
                <w:lang w:val="pt-PT"/>
              </w:rPr>
              <w:t xml:space="preserve"> </w:t>
            </w:r>
            <w:r w:rsidRPr="00110D6C">
              <w:rPr>
                <w:rFonts w:cs="Times New Roman"/>
                <w:color w:val="auto"/>
                <w:szCs w:val="22"/>
                <w:lang w:val="pt-PT"/>
              </w:rPr>
              <w:t>(64,6%)</w:t>
            </w:r>
            <w:r w:rsidRPr="00110D6C">
              <w:rPr>
                <w:rFonts w:cs="Times New Roman"/>
                <w:color w:val="auto"/>
                <w:szCs w:val="22"/>
                <w:vertAlign w:val="superscript"/>
                <w:lang w:val="pt-PT"/>
              </w:rPr>
              <w:t>a</w:t>
            </w:r>
          </w:p>
        </w:tc>
      </w:tr>
    </w:tbl>
    <w:p w14:paraId="34CA695F" w14:textId="77777777" w:rsidR="0077031F" w:rsidRPr="00110D6C" w:rsidRDefault="00030085" w:rsidP="00A17623">
      <w:pPr>
        <w:widowControl/>
        <w:rPr>
          <w:rFonts w:cs="Times New Roman"/>
          <w:color w:val="auto"/>
          <w:sz w:val="20"/>
          <w:szCs w:val="20"/>
          <w:lang w:val="pt-PT"/>
        </w:rPr>
      </w:pPr>
      <w:r w:rsidRPr="00110D6C">
        <w:rPr>
          <w:rFonts w:cs="Times New Roman"/>
          <w:color w:val="auto"/>
          <w:sz w:val="20"/>
          <w:szCs w:val="20"/>
          <w:lang w:val="pt-PT"/>
        </w:rPr>
        <w:t>A remissão clínica é definida como uma pontuação do CDAI &lt;</w:t>
      </w:r>
      <w:r w:rsidR="00F5387C" w:rsidRPr="00110D6C">
        <w:rPr>
          <w:rFonts w:cs="Times New Roman"/>
          <w:color w:val="auto"/>
          <w:sz w:val="20"/>
          <w:szCs w:val="20"/>
          <w:lang w:val="pt-PT"/>
        </w:rPr>
        <w:t> </w:t>
      </w:r>
      <w:r w:rsidRPr="00110D6C">
        <w:rPr>
          <w:rFonts w:cs="Times New Roman"/>
          <w:color w:val="auto"/>
          <w:sz w:val="20"/>
          <w:szCs w:val="20"/>
          <w:lang w:val="pt-PT"/>
        </w:rPr>
        <w:t>150; A resposta clínica é definida como uma diminuição na pontuação do CDAI de, pelo menos, 10</w:t>
      </w:r>
      <w:r w:rsidR="00B910F9" w:rsidRPr="00110D6C">
        <w:rPr>
          <w:rFonts w:cs="Times New Roman"/>
          <w:color w:val="auto"/>
          <w:sz w:val="20"/>
          <w:szCs w:val="20"/>
          <w:lang w:val="pt-PT"/>
        </w:rPr>
        <w:t>0 </w:t>
      </w:r>
      <w:r w:rsidRPr="00110D6C">
        <w:rPr>
          <w:rFonts w:cs="Times New Roman"/>
          <w:color w:val="auto"/>
          <w:sz w:val="20"/>
          <w:szCs w:val="20"/>
          <w:lang w:val="pt-PT"/>
        </w:rPr>
        <w:t>pontos ou estar em remissão clínica.</w:t>
      </w:r>
    </w:p>
    <w:p w14:paraId="543935A8" w14:textId="77777777" w:rsidR="0077031F" w:rsidRPr="00110D6C" w:rsidRDefault="00030085" w:rsidP="00A17623">
      <w:pPr>
        <w:widowControl/>
        <w:rPr>
          <w:rFonts w:cs="Times New Roman"/>
          <w:color w:val="auto"/>
          <w:sz w:val="20"/>
          <w:szCs w:val="20"/>
          <w:lang w:val="pt-PT"/>
        </w:rPr>
      </w:pPr>
      <w:r w:rsidRPr="00110D6C">
        <w:rPr>
          <w:rFonts w:cs="Times New Roman"/>
          <w:color w:val="auto"/>
          <w:sz w:val="20"/>
          <w:szCs w:val="20"/>
          <w:lang w:val="pt-PT"/>
        </w:rPr>
        <w:t>Resposta com 7</w:t>
      </w:r>
      <w:r w:rsidR="00B910F9" w:rsidRPr="00110D6C">
        <w:rPr>
          <w:rFonts w:cs="Times New Roman"/>
          <w:color w:val="auto"/>
          <w:sz w:val="20"/>
          <w:szCs w:val="20"/>
          <w:lang w:val="pt-PT"/>
        </w:rPr>
        <w:t>0 </w:t>
      </w:r>
      <w:r w:rsidRPr="00110D6C">
        <w:rPr>
          <w:rFonts w:cs="Times New Roman"/>
          <w:color w:val="auto"/>
          <w:sz w:val="20"/>
          <w:szCs w:val="20"/>
          <w:lang w:val="pt-PT"/>
        </w:rPr>
        <w:t>pontos é definida como diminuição na pontuação do CDAI de pelo menos 7</w:t>
      </w:r>
      <w:r w:rsidR="00B910F9" w:rsidRPr="00110D6C">
        <w:rPr>
          <w:rFonts w:cs="Times New Roman"/>
          <w:color w:val="auto"/>
          <w:sz w:val="20"/>
          <w:szCs w:val="20"/>
          <w:lang w:val="pt-PT"/>
        </w:rPr>
        <w:t>0 </w:t>
      </w:r>
      <w:r w:rsidRPr="00110D6C">
        <w:rPr>
          <w:rFonts w:cs="Times New Roman"/>
          <w:color w:val="auto"/>
          <w:sz w:val="20"/>
          <w:szCs w:val="20"/>
          <w:lang w:val="pt-PT"/>
        </w:rPr>
        <w:t>pontos</w:t>
      </w:r>
    </w:p>
    <w:p w14:paraId="31CC4732" w14:textId="77777777" w:rsidR="0077031F" w:rsidRPr="00110D6C" w:rsidRDefault="00030085" w:rsidP="00A17623">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w:t>
      </w:r>
      <w:r w:rsidRPr="00110D6C">
        <w:rPr>
          <w:rFonts w:cs="Times New Roman"/>
          <w:color w:val="auto"/>
          <w:sz w:val="20"/>
          <w:szCs w:val="20"/>
          <w:lang w:val="pt-PT"/>
        </w:rPr>
        <w:tab/>
        <w:t>Falências a anti-TNFα</w:t>
      </w:r>
    </w:p>
    <w:p w14:paraId="04D428DA" w14:textId="77777777" w:rsidR="00F5387C" w:rsidRPr="00110D6C" w:rsidRDefault="00030085" w:rsidP="00A17623">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w:t>
      </w:r>
      <w:r w:rsidRPr="00110D6C">
        <w:rPr>
          <w:rFonts w:cs="Times New Roman"/>
          <w:color w:val="auto"/>
          <w:sz w:val="20"/>
          <w:szCs w:val="20"/>
          <w:lang w:val="pt-PT"/>
        </w:rPr>
        <w:tab/>
        <w:t>Falências a terapêutica convencional</w:t>
      </w:r>
    </w:p>
    <w:p w14:paraId="5A2FE4F2" w14:textId="77777777" w:rsidR="0077031F" w:rsidRPr="00110D6C" w:rsidRDefault="00030085" w:rsidP="00A17623">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a</w:t>
      </w:r>
      <w:r w:rsidRPr="00110D6C">
        <w:rPr>
          <w:rFonts w:cs="Times New Roman"/>
          <w:color w:val="auto"/>
          <w:sz w:val="20"/>
          <w:szCs w:val="20"/>
          <w:lang w:val="pt-PT"/>
        </w:rPr>
        <w:tab/>
        <w:t>p</w:t>
      </w:r>
      <w:r w:rsidR="00F5387C" w:rsidRPr="00110D6C">
        <w:rPr>
          <w:rFonts w:cs="Times New Roman"/>
          <w:color w:val="auto"/>
          <w:sz w:val="20"/>
          <w:szCs w:val="20"/>
          <w:lang w:val="pt-PT"/>
        </w:rPr>
        <w:t> </w:t>
      </w:r>
      <w:r w:rsidRPr="00110D6C">
        <w:rPr>
          <w:rFonts w:cs="Times New Roman"/>
          <w:color w:val="auto"/>
          <w:sz w:val="20"/>
          <w:szCs w:val="20"/>
          <w:lang w:val="pt-PT"/>
        </w:rPr>
        <w:t>&lt;</w:t>
      </w:r>
      <w:r w:rsidR="00F5387C" w:rsidRPr="00110D6C">
        <w:rPr>
          <w:rFonts w:cs="Times New Roman"/>
          <w:color w:val="auto"/>
          <w:sz w:val="20"/>
          <w:szCs w:val="20"/>
          <w:lang w:val="pt-PT"/>
        </w:rPr>
        <w:t> </w:t>
      </w:r>
      <w:r w:rsidRPr="00110D6C">
        <w:rPr>
          <w:rFonts w:cs="Times New Roman"/>
          <w:color w:val="auto"/>
          <w:sz w:val="20"/>
          <w:szCs w:val="20"/>
          <w:lang w:val="pt-PT"/>
        </w:rPr>
        <w:t>0,001</w:t>
      </w:r>
    </w:p>
    <w:p w14:paraId="7A6F0921" w14:textId="77777777" w:rsidR="0077031F" w:rsidRPr="00110D6C" w:rsidRDefault="00030085" w:rsidP="00A17623">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b</w:t>
      </w:r>
      <w:r w:rsidRPr="00110D6C">
        <w:rPr>
          <w:rFonts w:cs="Times New Roman"/>
          <w:color w:val="auto"/>
          <w:sz w:val="20"/>
          <w:szCs w:val="20"/>
          <w:lang w:val="pt-PT"/>
        </w:rPr>
        <w:tab/>
        <w:t>p</w:t>
      </w:r>
      <w:r w:rsidR="00F5387C" w:rsidRPr="00110D6C">
        <w:rPr>
          <w:rFonts w:cs="Times New Roman"/>
          <w:color w:val="auto"/>
          <w:sz w:val="20"/>
          <w:szCs w:val="20"/>
          <w:lang w:val="pt-PT"/>
        </w:rPr>
        <w:t> </w:t>
      </w:r>
      <w:r w:rsidRPr="00110D6C">
        <w:rPr>
          <w:rFonts w:cs="Times New Roman"/>
          <w:color w:val="auto"/>
          <w:sz w:val="20"/>
          <w:szCs w:val="20"/>
          <w:lang w:val="pt-PT"/>
        </w:rPr>
        <w:t>&lt;</w:t>
      </w:r>
      <w:r w:rsidR="00F5387C" w:rsidRPr="00110D6C">
        <w:rPr>
          <w:rFonts w:cs="Times New Roman"/>
          <w:color w:val="auto"/>
          <w:sz w:val="20"/>
          <w:szCs w:val="20"/>
          <w:lang w:val="pt-PT"/>
        </w:rPr>
        <w:t> </w:t>
      </w:r>
      <w:r w:rsidRPr="00110D6C">
        <w:rPr>
          <w:rFonts w:cs="Times New Roman"/>
          <w:color w:val="auto"/>
          <w:sz w:val="20"/>
          <w:szCs w:val="20"/>
          <w:lang w:val="pt-PT"/>
        </w:rPr>
        <w:t>0,01</w:t>
      </w:r>
    </w:p>
    <w:p w14:paraId="10BE2270" w14:textId="77777777" w:rsidR="00030085" w:rsidRPr="00110D6C" w:rsidRDefault="00030085" w:rsidP="00A17623">
      <w:pPr>
        <w:widowControl/>
        <w:rPr>
          <w:rFonts w:cs="Times New Roman"/>
          <w:color w:val="auto"/>
          <w:szCs w:val="22"/>
          <w:lang w:val="pt-PT"/>
        </w:rPr>
      </w:pPr>
    </w:p>
    <w:p w14:paraId="693BE872" w14:textId="75A3AA09" w:rsidR="0077031F" w:rsidRPr="00110D6C" w:rsidRDefault="00030085" w:rsidP="00A17623">
      <w:pPr>
        <w:widowControl/>
        <w:rPr>
          <w:rFonts w:cs="Times New Roman"/>
          <w:color w:val="auto"/>
          <w:szCs w:val="22"/>
          <w:lang w:val="pt-PT"/>
        </w:rPr>
      </w:pPr>
      <w:r w:rsidRPr="00110D6C">
        <w:rPr>
          <w:rFonts w:cs="Times New Roman"/>
          <w:color w:val="auto"/>
          <w:szCs w:val="22"/>
          <w:lang w:val="pt-PT"/>
        </w:rPr>
        <w:t>O estudo de manutenção (IM-UNITI) avaliou 38</w:t>
      </w:r>
      <w:r w:rsidR="00B910F9" w:rsidRPr="00110D6C">
        <w:rPr>
          <w:rFonts w:cs="Times New Roman"/>
          <w:color w:val="auto"/>
          <w:szCs w:val="22"/>
          <w:lang w:val="pt-PT"/>
        </w:rPr>
        <w:t>8 </w:t>
      </w:r>
      <w:r w:rsidRPr="00110D6C">
        <w:rPr>
          <w:rFonts w:cs="Times New Roman"/>
          <w:color w:val="auto"/>
          <w:szCs w:val="22"/>
          <w:lang w:val="pt-PT"/>
        </w:rPr>
        <w:t>doentes que alcançaram uma resposta clínica de 10</w:t>
      </w:r>
      <w:r w:rsidR="00B910F9" w:rsidRPr="00110D6C">
        <w:rPr>
          <w:rFonts w:cs="Times New Roman"/>
          <w:color w:val="auto"/>
          <w:szCs w:val="22"/>
          <w:lang w:val="pt-PT"/>
        </w:rPr>
        <w:t>0 </w:t>
      </w:r>
      <w:r w:rsidRPr="00110D6C">
        <w:rPr>
          <w:rFonts w:cs="Times New Roman"/>
          <w:color w:val="auto"/>
          <w:szCs w:val="22"/>
          <w:lang w:val="pt-PT"/>
        </w:rPr>
        <w:t>pontos na semana</w:t>
      </w:r>
      <w:r w:rsidR="005B2D5C" w:rsidRPr="00110D6C">
        <w:rPr>
          <w:rFonts w:cs="Times New Roman"/>
          <w:color w:val="auto"/>
          <w:szCs w:val="22"/>
          <w:lang w:val="pt-PT"/>
        </w:rPr>
        <w:t> </w:t>
      </w:r>
      <w:r w:rsidR="00B910F9" w:rsidRPr="00110D6C">
        <w:rPr>
          <w:rFonts w:cs="Times New Roman"/>
          <w:color w:val="auto"/>
          <w:szCs w:val="22"/>
          <w:lang w:val="pt-PT"/>
        </w:rPr>
        <w:t>8</w:t>
      </w:r>
      <w:r w:rsidR="005B2D5C" w:rsidRPr="00110D6C">
        <w:rPr>
          <w:rFonts w:cs="Times New Roman"/>
          <w:color w:val="auto"/>
          <w:szCs w:val="22"/>
          <w:lang w:val="pt-PT"/>
        </w:rPr>
        <w:t xml:space="preserve"> </w:t>
      </w:r>
      <w:r w:rsidRPr="00110D6C">
        <w:rPr>
          <w:rFonts w:cs="Times New Roman"/>
          <w:color w:val="auto"/>
          <w:szCs w:val="22"/>
          <w:lang w:val="pt-PT"/>
        </w:rPr>
        <w:t>de indução com ustecinumab nos estudos UNITI-</w:t>
      </w:r>
      <w:r w:rsidR="00B910F9" w:rsidRPr="00110D6C">
        <w:rPr>
          <w:rFonts w:cs="Times New Roman"/>
          <w:color w:val="auto"/>
          <w:szCs w:val="22"/>
          <w:lang w:val="pt-PT"/>
        </w:rPr>
        <w:t>1 </w:t>
      </w:r>
      <w:r w:rsidRPr="00110D6C">
        <w:rPr>
          <w:rFonts w:cs="Times New Roman"/>
          <w:color w:val="auto"/>
          <w:szCs w:val="22"/>
          <w:lang w:val="pt-PT"/>
        </w:rPr>
        <w:t>e UNITI-2. Os doentes foram aleatorizados para receber um regime subcutâneo de manutenção de 9</w:t>
      </w:r>
      <w:r w:rsidR="00B910F9" w:rsidRPr="00110D6C">
        <w:rPr>
          <w:rFonts w:cs="Times New Roman"/>
          <w:color w:val="auto"/>
          <w:szCs w:val="22"/>
          <w:lang w:val="pt-PT"/>
        </w:rPr>
        <w:t>0 </w:t>
      </w:r>
      <w:r w:rsidRPr="00110D6C">
        <w:rPr>
          <w:rFonts w:cs="Times New Roman"/>
          <w:color w:val="auto"/>
          <w:szCs w:val="22"/>
          <w:lang w:val="pt-PT"/>
        </w:rPr>
        <w:t xml:space="preserve">mg de ustecinumab em intervalos de </w:t>
      </w:r>
      <w:r w:rsidR="00B910F9" w:rsidRPr="00110D6C">
        <w:rPr>
          <w:rFonts w:cs="Times New Roman"/>
          <w:color w:val="auto"/>
          <w:szCs w:val="22"/>
          <w:lang w:val="pt-PT"/>
        </w:rPr>
        <w:t>8 </w:t>
      </w:r>
      <w:r w:rsidRPr="00110D6C">
        <w:rPr>
          <w:rFonts w:cs="Times New Roman"/>
          <w:color w:val="auto"/>
          <w:szCs w:val="22"/>
          <w:lang w:val="pt-PT"/>
        </w:rPr>
        <w:t>semanas, 9</w:t>
      </w:r>
      <w:r w:rsidR="00B910F9" w:rsidRPr="00110D6C">
        <w:rPr>
          <w:rFonts w:cs="Times New Roman"/>
          <w:color w:val="auto"/>
          <w:szCs w:val="22"/>
          <w:lang w:val="pt-PT"/>
        </w:rPr>
        <w:t>0 </w:t>
      </w:r>
      <w:r w:rsidRPr="00110D6C">
        <w:rPr>
          <w:rFonts w:cs="Times New Roman"/>
          <w:color w:val="auto"/>
          <w:szCs w:val="22"/>
          <w:lang w:val="pt-PT"/>
        </w:rPr>
        <w:t>mg de ustecinumab em intervalos de 1</w:t>
      </w:r>
      <w:r w:rsidR="00B910F9" w:rsidRPr="00110D6C">
        <w:rPr>
          <w:rFonts w:cs="Times New Roman"/>
          <w:color w:val="auto"/>
          <w:szCs w:val="22"/>
          <w:lang w:val="pt-PT"/>
        </w:rPr>
        <w:t>2 </w:t>
      </w:r>
      <w:r w:rsidRPr="00110D6C">
        <w:rPr>
          <w:rFonts w:cs="Times New Roman"/>
          <w:color w:val="auto"/>
          <w:szCs w:val="22"/>
          <w:lang w:val="pt-PT"/>
        </w:rPr>
        <w:t>semanas ou placebo durante 4</w:t>
      </w:r>
      <w:r w:rsidR="00B910F9" w:rsidRPr="00110D6C">
        <w:rPr>
          <w:rFonts w:cs="Times New Roman"/>
          <w:color w:val="auto"/>
          <w:szCs w:val="22"/>
          <w:lang w:val="pt-PT"/>
        </w:rPr>
        <w:t>4 </w:t>
      </w:r>
      <w:r w:rsidRPr="00110D6C">
        <w:rPr>
          <w:rFonts w:cs="Times New Roman"/>
          <w:color w:val="auto"/>
          <w:szCs w:val="22"/>
          <w:lang w:val="pt-PT"/>
        </w:rPr>
        <w:t>semanas (para a posologia de manutenção recomendada,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w:t>
      </w:r>
      <w:r w:rsidR="00B910F9" w:rsidRPr="00110D6C">
        <w:rPr>
          <w:rFonts w:cs="Times New Roman"/>
          <w:color w:val="auto"/>
          <w:szCs w:val="22"/>
          <w:lang w:val="pt-PT"/>
        </w:rPr>
        <w:t>2 </w:t>
      </w:r>
      <w:r w:rsidRPr="00110D6C">
        <w:rPr>
          <w:rFonts w:cs="Times New Roman"/>
          <w:color w:val="auto"/>
          <w:szCs w:val="22"/>
          <w:lang w:val="pt-PT"/>
        </w:rPr>
        <w:t xml:space="preserve">do RCM de </w:t>
      </w:r>
      <w:r w:rsidR="00D05FE6" w:rsidRPr="00110D6C">
        <w:rPr>
          <w:rFonts w:cs="Times New Roman"/>
          <w:color w:val="auto"/>
          <w:szCs w:val="22"/>
          <w:lang w:val="pt-PT"/>
        </w:rPr>
        <w:t>F</w:t>
      </w:r>
      <w:r w:rsidR="002B7F8B" w:rsidRPr="00110D6C">
        <w:rPr>
          <w:rFonts w:cs="Times New Roman"/>
          <w:color w:val="auto"/>
          <w:szCs w:val="22"/>
          <w:lang w:val="pt-PT"/>
        </w:rPr>
        <w:t>ymskina</w:t>
      </w:r>
      <w:r w:rsidRPr="00110D6C">
        <w:rPr>
          <w:rFonts w:cs="Times New Roman"/>
          <w:color w:val="auto"/>
          <w:szCs w:val="22"/>
          <w:lang w:val="pt-PT"/>
        </w:rPr>
        <w:t xml:space="preserve"> Solução injetável em seringa pré-cheia).</w:t>
      </w:r>
    </w:p>
    <w:p w14:paraId="3A513B60" w14:textId="77777777" w:rsidR="00030085" w:rsidRPr="00110D6C" w:rsidRDefault="00030085" w:rsidP="00A17623">
      <w:pPr>
        <w:widowControl/>
        <w:rPr>
          <w:rFonts w:cs="Times New Roman"/>
          <w:color w:val="auto"/>
          <w:szCs w:val="22"/>
          <w:lang w:val="pt-PT"/>
        </w:rPr>
      </w:pPr>
    </w:p>
    <w:p w14:paraId="595FA32C"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Proporções significativamente maiores de doentes mantiveram a remissão e a resposta clínica nos grupos tratados com ustecinumab em comparação com o grupo com placebo na semana</w:t>
      </w:r>
      <w:r w:rsidR="005B2D5C" w:rsidRPr="00110D6C">
        <w:rPr>
          <w:rFonts w:cs="Times New Roman"/>
          <w:color w:val="auto"/>
          <w:szCs w:val="22"/>
          <w:lang w:val="pt-PT"/>
        </w:rPr>
        <w:t> </w:t>
      </w:r>
      <w:r w:rsidRPr="00110D6C">
        <w:rPr>
          <w:rFonts w:cs="Times New Roman"/>
          <w:color w:val="auto"/>
          <w:szCs w:val="22"/>
          <w:lang w:val="pt-PT"/>
        </w:rPr>
        <w:t>4</w:t>
      </w:r>
      <w:r w:rsidR="00B910F9" w:rsidRPr="00110D6C">
        <w:rPr>
          <w:rFonts w:cs="Times New Roman"/>
          <w:color w:val="auto"/>
          <w:szCs w:val="22"/>
          <w:lang w:val="pt-PT"/>
        </w:rPr>
        <w:t>4</w:t>
      </w:r>
      <w:r w:rsidRPr="00110D6C">
        <w:rPr>
          <w:rFonts w:cs="Times New Roman"/>
          <w:color w:val="auto"/>
          <w:szCs w:val="22"/>
          <w:lang w:val="pt-PT"/>
        </w:rPr>
        <w:t xml:space="preserve"> (ver Tabela 4).</w:t>
      </w:r>
    </w:p>
    <w:p w14:paraId="487F7451" w14:textId="77777777" w:rsidR="002B7F8B" w:rsidRPr="00110D6C" w:rsidRDefault="002B7F8B" w:rsidP="00A17623">
      <w:pPr>
        <w:widowControl/>
        <w:rPr>
          <w:rFonts w:cs="Times New Roman"/>
          <w:color w:val="auto"/>
          <w:szCs w:val="22"/>
          <w:lang w:val="pt-PT"/>
        </w:rPr>
      </w:pPr>
    </w:p>
    <w:p w14:paraId="38E65306" w14:textId="77777777" w:rsidR="0077031F" w:rsidRPr="00110D6C" w:rsidRDefault="00030085" w:rsidP="00A17623">
      <w:pPr>
        <w:widowControl/>
        <w:ind w:left="1134" w:hanging="1134"/>
        <w:rPr>
          <w:rFonts w:cs="Times New Roman"/>
          <w:color w:val="auto"/>
          <w:szCs w:val="22"/>
          <w:lang w:val="pt-PT"/>
        </w:rPr>
      </w:pPr>
      <w:r w:rsidRPr="00110D6C">
        <w:rPr>
          <w:rFonts w:cs="Times New Roman"/>
          <w:i/>
          <w:iCs/>
          <w:color w:val="auto"/>
          <w:szCs w:val="22"/>
          <w:lang w:val="pt-PT"/>
        </w:rPr>
        <w:t>Tabela</w:t>
      </w:r>
      <w:r w:rsidR="00982985" w:rsidRPr="00110D6C">
        <w:rPr>
          <w:rFonts w:cs="Times New Roman"/>
          <w:i/>
          <w:iCs/>
          <w:color w:val="auto"/>
          <w:szCs w:val="22"/>
          <w:lang w:val="pt-PT"/>
        </w:rPr>
        <w:t> </w:t>
      </w:r>
      <w:r w:rsidRPr="00110D6C">
        <w:rPr>
          <w:rFonts w:cs="Times New Roman"/>
          <w:i/>
          <w:iCs/>
          <w:color w:val="auto"/>
          <w:szCs w:val="22"/>
          <w:lang w:val="pt-PT"/>
        </w:rPr>
        <w:t>4:</w:t>
      </w:r>
      <w:r w:rsidRPr="00110D6C">
        <w:rPr>
          <w:rFonts w:cs="Times New Roman"/>
          <w:i/>
          <w:iCs/>
          <w:color w:val="auto"/>
          <w:szCs w:val="22"/>
          <w:lang w:val="pt-PT"/>
        </w:rPr>
        <w:tab/>
        <w:t>Manutenção da Resposta e da Remissão Clínica no estudo IM-UNITI (semana</w:t>
      </w:r>
      <w:r w:rsidR="005B2D5C" w:rsidRPr="00110D6C">
        <w:rPr>
          <w:rFonts w:cs="Times New Roman"/>
          <w:i/>
          <w:iCs/>
          <w:color w:val="auto"/>
          <w:szCs w:val="22"/>
          <w:lang w:val="pt-PT"/>
        </w:rPr>
        <w:t> </w:t>
      </w:r>
      <w:r w:rsidRPr="00110D6C">
        <w:rPr>
          <w:rFonts w:cs="Times New Roman"/>
          <w:i/>
          <w:iCs/>
          <w:color w:val="auto"/>
          <w:szCs w:val="22"/>
          <w:lang w:val="pt-PT"/>
        </w:rPr>
        <w:t>44; 5</w:t>
      </w:r>
      <w:r w:rsidR="00B910F9" w:rsidRPr="00110D6C">
        <w:rPr>
          <w:rFonts w:cs="Times New Roman"/>
          <w:i/>
          <w:iCs/>
          <w:color w:val="auto"/>
          <w:szCs w:val="22"/>
          <w:lang w:val="pt-PT"/>
        </w:rPr>
        <w:t>2 </w:t>
      </w:r>
      <w:r w:rsidRPr="00110D6C">
        <w:rPr>
          <w:rFonts w:cs="Times New Roman"/>
          <w:i/>
          <w:iCs/>
          <w:color w:val="auto"/>
          <w:szCs w:val="22"/>
          <w:lang w:val="pt-PT"/>
        </w:rPr>
        <w:t>semanas a partir do início da dose de indução)</w:t>
      </w:r>
    </w:p>
    <w:tbl>
      <w:tblPr>
        <w:tblOverlap w:val="never"/>
        <w:tblW w:w="5000" w:type="pct"/>
        <w:tblLook w:val="04A0" w:firstRow="1" w:lastRow="0" w:firstColumn="1" w:lastColumn="0" w:noHBand="0" w:noVBand="1"/>
      </w:tblPr>
      <w:tblGrid>
        <w:gridCol w:w="4517"/>
        <w:gridCol w:w="1394"/>
        <w:gridCol w:w="1571"/>
        <w:gridCol w:w="1580"/>
      </w:tblGrid>
      <w:tr w:rsidR="0077031F" w:rsidRPr="00110D6C" w14:paraId="37D5F308" w14:textId="77777777" w:rsidTr="00030085">
        <w:tc>
          <w:tcPr>
            <w:tcW w:w="2492" w:type="pct"/>
            <w:tcBorders>
              <w:top w:val="single" w:sz="4" w:space="0" w:color="auto"/>
              <w:left w:val="single" w:sz="4" w:space="0" w:color="auto"/>
            </w:tcBorders>
            <w:shd w:val="clear" w:color="auto" w:fill="auto"/>
          </w:tcPr>
          <w:p w14:paraId="770BD70E" w14:textId="77777777" w:rsidR="0077031F" w:rsidRPr="00110D6C" w:rsidRDefault="0077031F" w:rsidP="00A17623">
            <w:pPr>
              <w:widowControl/>
              <w:rPr>
                <w:rFonts w:cs="Times New Roman"/>
                <w:color w:val="auto"/>
                <w:szCs w:val="22"/>
                <w:lang w:val="pt-PT"/>
              </w:rPr>
            </w:pPr>
          </w:p>
        </w:tc>
        <w:tc>
          <w:tcPr>
            <w:tcW w:w="769" w:type="pct"/>
            <w:tcBorders>
              <w:top w:val="single" w:sz="4" w:space="0" w:color="auto"/>
              <w:left w:val="single" w:sz="4" w:space="0" w:color="auto"/>
            </w:tcBorders>
            <w:shd w:val="clear" w:color="auto" w:fill="auto"/>
          </w:tcPr>
          <w:p w14:paraId="1C46380A" w14:textId="77777777" w:rsidR="0077031F" w:rsidRPr="00110D6C" w:rsidRDefault="00030085" w:rsidP="00A17623">
            <w:pPr>
              <w:widowControl/>
              <w:jc w:val="center"/>
              <w:rPr>
                <w:rFonts w:cs="Times New Roman"/>
                <w:color w:val="auto"/>
                <w:szCs w:val="22"/>
                <w:lang w:val="pt-PT"/>
              </w:rPr>
            </w:pPr>
            <w:r w:rsidRPr="00110D6C">
              <w:rPr>
                <w:rFonts w:cs="Times New Roman"/>
                <w:b/>
                <w:bCs/>
                <w:color w:val="auto"/>
                <w:szCs w:val="22"/>
                <w:lang w:val="pt-PT"/>
              </w:rPr>
              <w:t>Placebo*</w:t>
            </w:r>
          </w:p>
          <w:p w14:paraId="4CE0862A" w14:textId="77777777" w:rsidR="00030085" w:rsidRPr="00110D6C" w:rsidRDefault="00030085" w:rsidP="00A17623">
            <w:pPr>
              <w:widowControl/>
              <w:jc w:val="center"/>
              <w:rPr>
                <w:rFonts w:cs="Times New Roman"/>
                <w:bCs/>
                <w:color w:val="auto"/>
                <w:szCs w:val="22"/>
                <w:lang w:val="pt-PT"/>
              </w:rPr>
            </w:pPr>
          </w:p>
          <w:p w14:paraId="5C87CB61" w14:textId="77777777" w:rsidR="00030085" w:rsidRPr="00110D6C" w:rsidRDefault="00030085" w:rsidP="00A17623">
            <w:pPr>
              <w:widowControl/>
              <w:jc w:val="center"/>
              <w:rPr>
                <w:rFonts w:cs="Times New Roman"/>
                <w:bCs/>
                <w:color w:val="auto"/>
                <w:szCs w:val="22"/>
                <w:lang w:val="pt-PT"/>
              </w:rPr>
            </w:pPr>
          </w:p>
          <w:p w14:paraId="60922513" w14:textId="77777777" w:rsidR="00030085" w:rsidRPr="00110D6C" w:rsidRDefault="00030085" w:rsidP="00A17623">
            <w:pPr>
              <w:widowControl/>
              <w:jc w:val="center"/>
              <w:rPr>
                <w:rFonts w:cs="Times New Roman"/>
                <w:bCs/>
                <w:color w:val="auto"/>
                <w:szCs w:val="22"/>
                <w:lang w:val="pt-PT"/>
              </w:rPr>
            </w:pPr>
          </w:p>
          <w:p w14:paraId="61A525C3" w14:textId="77777777" w:rsidR="00A121D2" w:rsidRPr="00110D6C" w:rsidRDefault="00A121D2" w:rsidP="00A17623">
            <w:pPr>
              <w:widowControl/>
              <w:jc w:val="center"/>
              <w:rPr>
                <w:rFonts w:cs="Times New Roman"/>
                <w:bCs/>
                <w:color w:val="auto"/>
                <w:szCs w:val="22"/>
                <w:lang w:val="pt-PT"/>
              </w:rPr>
            </w:pPr>
          </w:p>
          <w:p w14:paraId="17A69E35" w14:textId="77777777" w:rsidR="0077031F" w:rsidRPr="00110D6C" w:rsidRDefault="00030085" w:rsidP="00A17623">
            <w:pPr>
              <w:widowControl/>
              <w:jc w:val="center"/>
              <w:rPr>
                <w:rFonts w:cs="Times New Roman"/>
                <w:b/>
                <w:color w:val="auto"/>
                <w:szCs w:val="22"/>
                <w:lang w:val="pt-PT"/>
              </w:rPr>
            </w:pPr>
            <w:r w:rsidRPr="00110D6C">
              <w:rPr>
                <w:rFonts w:cs="Times New Roman"/>
                <w:b/>
                <w:bCs/>
                <w:color w:val="auto"/>
                <w:szCs w:val="22"/>
                <w:lang w:val="pt-PT"/>
              </w:rPr>
              <w:t>N</w:t>
            </w:r>
            <w:r w:rsidR="005562CC" w:rsidRPr="00110D6C">
              <w:rPr>
                <w:rFonts w:cs="Times New Roman"/>
                <w:b/>
                <w:bCs/>
                <w:color w:val="auto"/>
                <w:szCs w:val="22"/>
                <w:lang w:val="pt-PT"/>
              </w:rPr>
              <w:t> </w:t>
            </w:r>
            <w:r w:rsidRPr="00110D6C">
              <w:rPr>
                <w:rFonts w:cs="Times New Roman"/>
                <w:b/>
                <w:color w:val="auto"/>
                <w:szCs w:val="22"/>
                <w:lang w:val="pt-PT"/>
              </w:rPr>
              <w:t>=</w:t>
            </w:r>
            <w:r w:rsidR="005562CC" w:rsidRPr="00110D6C">
              <w:rPr>
                <w:rFonts w:cs="Times New Roman"/>
                <w:b/>
                <w:color w:val="auto"/>
                <w:szCs w:val="22"/>
                <w:lang w:val="pt-PT"/>
              </w:rPr>
              <w:t> </w:t>
            </w:r>
            <w:r w:rsidRPr="00110D6C">
              <w:rPr>
                <w:rFonts w:cs="Times New Roman"/>
                <w:b/>
                <w:bCs/>
                <w:color w:val="auto"/>
                <w:szCs w:val="22"/>
                <w:lang w:val="pt-PT"/>
              </w:rPr>
              <w:t>131</w:t>
            </w:r>
            <w:r w:rsidRPr="00110D6C">
              <w:rPr>
                <w:rFonts w:cs="Times New Roman"/>
                <w:b/>
                <w:bCs/>
                <w:color w:val="auto"/>
                <w:szCs w:val="22"/>
                <w:vertAlign w:val="superscript"/>
                <w:lang w:val="pt-PT"/>
              </w:rPr>
              <w:t>†</w:t>
            </w:r>
          </w:p>
        </w:tc>
        <w:tc>
          <w:tcPr>
            <w:tcW w:w="867" w:type="pct"/>
            <w:tcBorders>
              <w:top w:val="single" w:sz="4" w:space="0" w:color="auto"/>
              <w:left w:val="single" w:sz="4" w:space="0" w:color="auto"/>
            </w:tcBorders>
            <w:shd w:val="clear" w:color="auto" w:fill="auto"/>
          </w:tcPr>
          <w:p w14:paraId="6E100E19" w14:textId="77777777" w:rsidR="0077031F" w:rsidRPr="00110D6C" w:rsidRDefault="00030085" w:rsidP="00A17623">
            <w:pPr>
              <w:widowControl/>
              <w:jc w:val="center"/>
              <w:rPr>
                <w:rFonts w:cs="Times New Roman"/>
                <w:b/>
                <w:bCs/>
                <w:color w:val="auto"/>
                <w:szCs w:val="22"/>
                <w:lang w:val="pt-PT"/>
              </w:rPr>
            </w:pPr>
            <w:r w:rsidRPr="00110D6C">
              <w:rPr>
                <w:rFonts w:cs="Times New Roman"/>
                <w:b/>
                <w:bCs/>
                <w:color w:val="auto"/>
                <w:szCs w:val="22"/>
                <w:lang w:val="pt-PT"/>
              </w:rPr>
              <w:t>9</w:t>
            </w:r>
            <w:r w:rsidR="00B910F9" w:rsidRPr="00110D6C">
              <w:rPr>
                <w:rFonts w:cs="Times New Roman"/>
                <w:b/>
                <w:bCs/>
                <w:color w:val="auto"/>
                <w:szCs w:val="22"/>
                <w:lang w:val="pt-PT"/>
              </w:rPr>
              <w:t>0 </w:t>
            </w:r>
            <w:r w:rsidRPr="00110D6C">
              <w:rPr>
                <w:rFonts w:cs="Times New Roman"/>
                <w:b/>
                <w:bCs/>
                <w:color w:val="auto"/>
                <w:szCs w:val="22"/>
                <w:lang w:val="pt-PT"/>
              </w:rPr>
              <w:t xml:space="preserve">mg de ustecinumab em intervalos de </w:t>
            </w:r>
            <w:r w:rsidR="00B910F9" w:rsidRPr="00110D6C">
              <w:rPr>
                <w:rFonts w:cs="Times New Roman"/>
                <w:b/>
                <w:bCs/>
                <w:color w:val="auto"/>
                <w:szCs w:val="22"/>
                <w:lang w:val="pt-PT"/>
              </w:rPr>
              <w:t>8 </w:t>
            </w:r>
            <w:r w:rsidRPr="00110D6C">
              <w:rPr>
                <w:rFonts w:cs="Times New Roman"/>
                <w:b/>
                <w:bCs/>
                <w:color w:val="auto"/>
                <w:szCs w:val="22"/>
                <w:lang w:val="pt-PT"/>
              </w:rPr>
              <w:t>semanas</w:t>
            </w:r>
          </w:p>
          <w:p w14:paraId="78F9D3C8" w14:textId="77777777" w:rsidR="00A121D2" w:rsidRPr="00110D6C" w:rsidRDefault="00A121D2" w:rsidP="00A17623">
            <w:pPr>
              <w:widowControl/>
              <w:jc w:val="center"/>
              <w:rPr>
                <w:rFonts w:cs="Times New Roman"/>
                <w:color w:val="auto"/>
                <w:szCs w:val="22"/>
                <w:lang w:val="pt-PT"/>
              </w:rPr>
            </w:pPr>
          </w:p>
          <w:p w14:paraId="233EA5DB" w14:textId="77777777" w:rsidR="0077031F" w:rsidRPr="00110D6C" w:rsidRDefault="00030085" w:rsidP="005562CC">
            <w:pPr>
              <w:widowControl/>
              <w:jc w:val="center"/>
              <w:rPr>
                <w:rFonts w:cs="Times New Roman"/>
                <w:b/>
                <w:color w:val="auto"/>
                <w:szCs w:val="22"/>
                <w:lang w:val="pt-PT"/>
              </w:rPr>
            </w:pPr>
            <w:r w:rsidRPr="00110D6C">
              <w:rPr>
                <w:rFonts w:cs="Times New Roman"/>
                <w:b/>
                <w:bCs/>
                <w:color w:val="auto"/>
                <w:szCs w:val="22"/>
                <w:lang w:val="pt-PT"/>
              </w:rPr>
              <w:t>N</w:t>
            </w:r>
            <w:r w:rsidR="005562CC" w:rsidRPr="00110D6C">
              <w:rPr>
                <w:rFonts w:cs="Times New Roman"/>
                <w:b/>
                <w:bCs/>
                <w:color w:val="auto"/>
                <w:szCs w:val="22"/>
                <w:lang w:val="pt-PT"/>
              </w:rPr>
              <w:t> </w:t>
            </w:r>
            <w:r w:rsidRPr="00110D6C">
              <w:rPr>
                <w:rFonts w:cs="Times New Roman"/>
                <w:b/>
                <w:color w:val="auto"/>
                <w:szCs w:val="22"/>
                <w:lang w:val="pt-PT"/>
              </w:rPr>
              <w:t>=</w:t>
            </w:r>
            <w:r w:rsidR="005562CC" w:rsidRPr="00110D6C">
              <w:rPr>
                <w:rFonts w:cs="Times New Roman"/>
                <w:b/>
                <w:color w:val="auto"/>
                <w:szCs w:val="22"/>
                <w:lang w:val="pt-PT"/>
              </w:rPr>
              <w:t> </w:t>
            </w:r>
            <w:r w:rsidRPr="00110D6C">
              <w:rPr>
                <w:rFonts w:cs="Times New Roman"/>
                <w:b/>
                <w:bCs/>
                <w:color w:val="auto"/>
                <w:szCs w:val="22"/>
                <w:lang w:val="pt-PT"/>
              </w:rPr>
              <w:t>128</w:t>
            </w:r>
            <w:r w:rsidRPr="00110D6C">
              <w:rPr>
                <w:rFonts w:cs="Times New Roman"/>
                <w:b/>
                <w:bCs/>
                <w:color w:val="auto"/>
                <w:szCs w:val="22"/>
                <w:vertAlign w:val="superscript"/>
                <w:lang w:val="pt-PT"/>
              </w:rPr>
              <w:t>†</w:t>
            </w:r>
          </w:p>
        </w:tc>
        <w:tc>
          <w:tcPr>
            <w:tcW w:w="872" w:type="pct"/>
            <w:tcBorders>
              <w:top w:val="single" w:sz="4" w:space="0" w:color="auto"/>
              <w:left w:val="single" w:sz="4" w:space="0" w:color="auto"/>
              <w:right w:val="single" w:sz="4" w:space="0" w:color="auto"/>
            </w:tcBorders>
            <w:shd w:val="clear" w:color="auto" w:fill="auto"/>
          </w:tcPr>
          <w:p w14:paraId="356D8253" w14:textId="77777777" w:rsidR="0077031F" w:rsidRPr="00110D6C" w:rsidRDefault="00030085" w:rsidP="00A17623">
            <w:pPr>
              <w:widowControl/>
              <w:jc w:val="center"/>
              <w:rPr>
                <w:rFonts w:cs="Times New Roman"/>
                <w:b/>
                <w:bCs/>
                <w:color w:val="auto"/>
                <w:szCs w:val="22"/>
                <w:lang w:val="pt-PT"/>
              </w:rPr>
            </w:pPr>
            <w:r w:rsidRPr="00110D6C">
              <w:rPr>
                <w:rFonts w:cs="Times New Roman"/>
                <w:b/>
                <w:bCs/>
                <w:color w:val="auto"/>
                <w:szCs w:val="22"/>
                <w:lang w:val="pt-PT"/>
              </w:rPr>
              <w:t>9</w:t>
            </w:r>
            <w:r w:rsidR="00B910F9" w:rsidRPr="00110D6C">
              <w:rPr>
                <w:rFonts w:cs="Times New Roman"/>
                <w:b/>
                <w:bCs/>
                <w:color w:val="auto"/>
                <w:szCs w:val="22"/>
                <w:lang w:val="pt-PT"/>
              </w:rPr>
              <w:t>0 </w:t>
            </w:r>
            <w:r w:rsidRPr="00110D6C">
              <w:rPr>
                <w:rFonts w:cs="Times New Roman"/>
                <w:b/>
                <w:bCs/>
                <w:color w:val="auto"/>
                <w:szCs w:val="22"/>
                <w:lang w:val="pt-PT"/>
              </w:rPr>
              <w:t>mg de ustecinumab em intervalos de 1</w:t>
            </w:r>
            <w:r w:rsidR="00B910F9" w:rsidRPr="00110D6C">
              <w:rPr>
                <w:rFonts w:cs="Times New Roman"/>
                <w:b/>
                <w:bCs/>
                <w:color w:val="auto"/>
                <w:szCs w:val="22"/>
                <w:lang w:val="pt-PT"/>
              </w:rPr>
              <w:t>2 </w:t>
            </w:r>
            <w:r w:rsidRPr="00110D6C">
              <w:rPr>
                <w:rFonts w:cs="Times New Roman"/>
                <w:b/>
                <w:bCs/>
                <w:color w:val="auto"/>
                <w:szCs w:val="22"/>
                <w:lang w:val="pt-PT"/>
              </w:rPr>
              <w:t>semanas</w:t>
            </w:r>
          </w:p>
          <w:p w14:paraId="452D73BB" w14:textId="77777777" w:rsidR="00A121D2" w:rsidRPr="00110D6C" w:rsidRDefault="00A121D2" w:rsidP="00A17623">
            <w:pPr>
              <w:widowControl/>
              <w:jc w:val="center"/>
              <w:rPr>
                <w:rFonts w:cs="Times New Roman"/>
                <w:color w:val="auto"/>
                <w:szCs w:val="22"/>
                <w:lang w:val="pt-PT"/>
              </w:rPr>
            </w:pPr>
          </w:p>
          <w:p w14:paraId="7BBDB501" w14:textId="77777777" w:rsidR="0077031F" w:rsidRPr="00110D6C" w:rsidRDefault="00030085" w:rsidP="005562CC">
            <w:pPr>
              <w:widowControl/>
              <w:jc w:val="center"/>
              <w:rPr>
                <w:rFonts w:cs="Times New Roman"/>
                <w:color w:val="auto"/>
                <w:szCs w:val="22"/>
                <w:lang w:val="pt-PT"/>
              </w:rPr>
            </w:pPr>
            <w:r w:rsidRPr="00110D6C">
              <w:rPr>
                <w:rFonts w:cs="Times New Roman"/>
                <w:b/>
                <w:bCs/>
                <w:color w:val="auto"/>
                <w:szCs w:val="22"/>
                <w:lang w:val="pt-PT"/>
              </w:rPr>
              <w:t>N</w:t>
            </w:r>
            <w:r w:rsidR="005562CC" w:rsidRPr="00110D6C">
              <w:rPr>
                <w:rFonts w:cs="Times New Roman"/>
                <w:b/>
                <w:bCs/>
                <w:color w:val="auto"/>
                <w:szCs w:val="22"/>
                <w:lang w:val="pt-PT"/>
              </w:rPr>
              <w:t> </w:t>
            </w:r>
            <w:r w:rsidRPr="00110D6C">
              <w:rPr>
                <w:rFonts w:cs="Times New Roman"/>
                <w:b/>
                <w:bCs/>
                <w:color w:val="auto"/>
                <w:szCs w:val="22"/>
                <w:lang w:val="pt-PT"/>
              </w:rPr>
              <w:t>=</w:t>
            </w:r>
            <w:r w:rsidR="005562CC" w:rsidRPr="00110D6C">
              <w:rPr>
                <w:rFonts w:cs="Times New Roman"/>
                <w:b/>
                <w:bCs/>
                <w:color w:val="auto"/>
                <w:szCs w:val="22"/>
                <w:lang w:val="pt-PT"/>
              </w:rPr>
              <w:t> </w:t>
            </w:r>
            <w:r w:rsidRPr="00110D6C">
              <w:rPr>
                <w:rFonts w:cs="Times New Roman"/>
                <w:b/>
                <w:bCs/>
                <w:color w:val="auto"/>
                <w:szCs w:val="22"/>
                <w:lang w:val="pt-PT"/>
              </w:rPr>
              <w:t>129</w:t>
            </w:r>
            <w:r w:rsidRPr="00110D6C">
              <w:rPr>
                <w:rFonts w:cs="Times New Roman"/>
                <w:b/>
                <w:bCs/>
                <w:color w:val="auto"/>
                <w:szCs w:val="22"/>
                <w:vertAlign w:val="superscript"/>
                <w:lang w:val="pt-PT"/>
              </w:rPr>
              <w:t>†</w:t>
            </w:r>
          </w:p>
        </w:tc>
      </w:tr>
      <w:tr w:rsidR="0077031F" w:rsidRPr="00110D6C" w14:paraId="1F1DCEEE" w14:textId="77777777" w:rsidTr="00030085">
        <w:tc>
          <w:tcPr>
            <w:tcW w:w="2492" w:type="pct"/>
            <w:tcBorders>
              <w:top w:val="single" w:sz="4" w:space="0" w:color="auto"/>
              <w:left w:val="single" w:sz="4" w:space="0" w:color="auto"/>
            </w:tcBorders>
            <w:shd w:val="clear" w:color="auto" w:fill="auto"/>
          </w:tcPr>
          <w:p w14:paraId="25D94390"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Remissão clínica</w:t>
            </w:r>
          </w:p>
        </w:tc>
        <w:tc>
          <w:tcPr>
            <w:tcW w:w="769" w:type="pct"/>
            <w:tcBorders>
              <w:top w:val="single" w:sz="4" w:space="0" w:color="auto"/>
              <w:left w:val="single" w:sz="4" w:space="0" w:color="auto"/>
            </w:tcBorders>
            <w:shd w:val="clear" w:color="auto" w:fill="auto"/>
          </w:tcPr>
          <w:p w14:paraId="1B01B3FF" w14:textId="77777777" w:rsidR="0077031F" w:rsidRPr="00110D6C" w:rsidRDefault="00030085" w:rsidP="00A17623">
            <w:pPr>
              <w:widowControl/>
              <w:jc w:val="center"/>
              <w:rPr>
                <w:rFonts w:cs="Times New Roman"/>
                <w:color w:val="auto"/>
                <w:szCs w:val="22"/>
                <w:lang w:val="pt-PT"/>
              </w:rPr>
            </w:pPr>
            <w:r w:rsidRPr="00110D6C">
              <w:rPr>
                <w:rFonts w:cs="Times New Roman"/>
                <w:color w:val="auto"/>
                <w:szCs w:val="22"/>
                <w:lang w:val="pt-PT"/>
              </w:rPr>
              <w:t>36%</w:t>
            </w:r>
          </w:p>
        </w:tc>
        <w:tc>
          <w:tcPr>
            <w:tcW w:w="867" w:type="pct"/>
            <w:tcBorders>
              <w:top w:val="single" w:sz="4" w:space="0" w:color="auto"/>
              <w:left w:val="single" w:sz="4" w:space="0" w:color="auto"/>
            </w:tcBorders>
            <w:shd w:val="clear" w:color="auto" w:fill="auto"/>
          </w:tcPr>
          <w:p w14:paraId="2B62F875" w14:textId="77777777" w:rsidR="0077031F" w:rsidRPr="00110D6C" w:rsidRDefault="00030085" w:rsidP="00A17623">
            <w:pPr>
              <w:widowControl/>
              <w:jc w:val="center"/>
              <w:rPr>
                <w:rFonts w:cs="Times New Roman"/>
                <w:color w:val="auto"/>
                <w:szCs w:val="22"/>
                <w:lang w:val="pt-PT"/>
              </w:rPr>
            </w:pPr>
            <w:r w:rsidRPr="00110D6C">
              <w:rPr>
                <w:rFonts w:cs="Times New Roman"/>
                <w:color w:val="auto"/>
                <w:szCs w:val="22"/>
                <w:lang w:val="pt-PT"/>
              </w:rPr>
              <w:t>53%</w:t>
            </w:r>
            <w:r w:rsidRPr="00110D6C">
              <w:rPr>
                <w:rFonts w:cs="Times New Roman"/>
                <w:color w:val="auto"/>
                <w:szCs w:val="22"/>
                <w:vertAlign w:val="superscript"/>
                <w:lang w:val="pt-PT"/>
              </w:rPr>
              <w:t>a</w:t>
            </w:r>
          </w:p>
        </w:tc>
        <w:tc>
          <w:tcPr>
            <w:tcW w:w="872" w:type="pct"/>
            <w:tcBorders>
              <w:top w:val="single" w:sz="4" w:space="0" w:color="auto"/>
              <w:left w:val="single" w:sz="4" w:space="0" w:color="auto"/>
              <w:right w:val="single" w:sz="4" w:space="0" w:color="auto"/>
            </w:tcBorders>
            <w:shd w:val="clear" w:color="auto" w:fill="auto"/>
          </w:tcPr>
          <w:p w14:paraId="0EE26A89" w14:textId="77777777" w:rsidR="0077031F" w:rsidRPr="00110D6C" w:rsidRDefault="00030085" w:rsidP="00A17623">
            <w:pPr>
              <w:widowControl/>
              <w:jc w:val="center"/>
              <w:rPr>
                <w:rFonts w:cs="Times New Roman"/>
                <w:color w:val="auto"/>
                <w:szCs w:val="22"/>
                <w:lang w:val="pt-PT"/>
              </w:rPr>
            </w:pPr>
            <w:r w:rsidRPr="00110D6C">
              <w:rPr>
                <w:rFonts w:cs="Times New Roman"/>
                <w:color w:val="auto"/>
                <w:szCs w:val="22"/>
                <w:lang w:val="pt-PT"/>
              </w:rPr>
              <w:t>49%</w:t>
            </w:r>
            <w:r w:rsidRPr="00110D6C">
              <w:rPr>
                <w:rFonts w:cs="Times New Roman"/>
                <w:color w:val="auto"/>
                <w:szCs w:val="22"/>
                <w:vertAlign w:val="superscript"/>
                <w:lang w:val="pt-PT"/>
              </w:rPr>
              <w:t>b</w:t>
            </w:r>
          </w:p>
        </w:tc>
      </w:tr>
      <w:tr w:rsidR="0077031F" w:rsidRPr="00110D6C" w14:paraId="60F61A3F" w14:textId="77777777" w:rsidTr="00030085">
        <w:tc>
          <w:tcPr>
            <w:tcW w:w="2492" w:type="pct"/>
            <w:tcBorders>
              <w:top w:val="single" w:sz="4" w:space="0" w:color="auto"/>
              <w:left w:val="single" w:sz="4" w:space="0" w:color="auto"/>
            </w:tcBorders>
            <w:shd w:val="clear" w:color="auto" w:fill="auto"/>
          </w:tcPr>
          <w:p w14:paraId="55984D09"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Resposta clínica</w:t>
            </w:r>
          </w:p>
        </w:tc>
        <w:tc>
          <w:tcPr>
            <w:tcW w:w="769" w:type="pct"/>
            <w:tcBorders>
              <w:top w:val="single" w:sz="4" w:space="0" w:color="auto"/>
              <w:left w:val="single" w:sz="4" w:space="0" w:color="auto"/>
            </w:tcBorders>
            <w:shd w:val="clear" w:color="auto" w:fill="auto"/>
          </w:tcPr>
          <w:p w14:paraId="4ED04489" w14:textId="77777777" w:rsidR="0077031F" w:rsidRPr="00110D6C" w:rsidRDefault="00030085" w:rsidP="00A17623">
            <w:pPr>
              <w:widowControl/>
              <w:jc w:val="center"/>
              <w:rPr>
                <w:rFonts w:cs="Times New Roman"/>
                <w:color w:val="auto"/>
                <w:szCs w:val="22"/>
                <w:lang w:val="pt-PT"/>
              </w:rPr>
            </w:pPr>
            <w:r w:rsidRPr="00110D6C">
              <w:rPr>
                <w:rFonts w:cs="Times New Roman"/>
                <w:color w:val="auto"/>
                <w:szCs w:val="22"/>
                <w:lang w:val="pt-PT"/>
              </w:rPr>
              <w:t>44%</w:t>
            </w:r>
          </w:p>
        </w:tc>
        <w:tc>
          <w:tcPr>
            <w:tcW w:w="867" w:type="pct"/>
            <w:tcBorders>
              <w:top w:val="single" w:sz="4" w:space="0" w:color="auto"/>
              <w:left w:val="single" w:sz="4" w:space="0" w:color="auto"/>
            </w:tcBorders>
            <w:shd w:val="clear" w:color="auto" w:fill="auto"/>
          </w:tcPr>
          <w:p w14:paraId="26E215AF" w14:textId="77777777" w:rsidR="0077031F" w:rsidRPr="00110D6C" w:rsidRDefault="00030085" w:rsidP="00A17623">
            <w:pPr>
              <w:widowControl/>
              <w:jc w:val="center"/>
              <w:rPr>
                <w:rFonts w:cs="Times New Roman"/>
                <w:color w:val="auto"/>
                <w:szCs w:val="22"/>
                <w:lang w:val="pt-PT"/>
              </w:rPr>
            </w:pPr>
            <w:r w:rsidRPr="00110D6C">
              <w:rPr>
                <w:rFonts w:cs="Times New Roman"/>
                <w:color w:val="auto"/>
                <w:szCs w:val="22"/>
                <w:lang w:val="pt-PT"/>
              </w:rPr>
              <w:t>59%</w:t>
            </w:r>
            <w:r w:rsidRPr="00110D6C">
              <w:rPr>
                <w:rFonts w:cs="Times New Roman"/>
                <w:color w:val="auto"/>
                <w:szCs w:val="22"/>
                <w:vertAlign w:val="superscript"/>
                <w:lang w:val="pt-PT"/>
              </w:rPr>
              <w:t>b</w:t>
            </w:r>
          </w:p>
        </w:tc>
        <w:tc>
          <w:tcPr>
            <w:tcW w:w="872" w:type="pct"/>
            <w:tcBorders>
              <w:top w:val="single" w:sz="4" w:space="0" w:color="auto"/>
              <w:left w:val="single" w:sz="4" w:space="0" w:color="auto"/>
              <w:right w:val="single" w:sz="4" w:space="0" w:color="auto"/>
            </w:tcBorders>
            <w:shd w:val="clear" w:color="auto" w:fill="auto"/>
          </w:tcPr>
          <w:p w14:paraId="4A66B337" w14:textId="77777777" w:rsidR="0077031F" w:rsidRPr="00110D6C" w:rsidRDefault="00030085" w:rsidP="00A17623">
            <w:pPr>
              <w:widowControl/>
              <w:jc w:val="center"/>
              <w:rPr>
                <w:rFonts w:cs="Times New Roman"/>
                <w:color w:val="auto"/>
                <w:szCs w:val="22"/>
                <w:lang w:val="pt-PT"/>
              </w:rPr>
            </w:pPr>
            <w:r w:rsidRPr="00110D6C">
              <w:rPr>
                <w:rFonts w:cs="Times New Roman"/>
                <w:color w:val="auto"/>
                <w:szCs w:val="22"/>
                <w:lang w:val="pt-PT"/>
              </w:rPr>
              <w:t>58%</w:t>
            </w:r>
            <w:r w:rsidRPr="00110D6C">
              <w:rPr>
                <w:rFonts w:cs="Times New Roman"/>
                <w:color w:val="auto"/>
                <w:szCs w:val="22"/>
                <w:vertAlign w:val="superscript"/>
                <w:lang w:val="pt-PT"/>
              </w:rPr>
              <w:t>b</w:t>
            </w:r>
          </w:p>
        </w:tc>
      </w:tr>
      <w:tr w:rsidR="0077031F" w:rsidRPr="00110D6C" w14:paraId="6439A412" w14:textId="77777777" w:rsidTr="00030085">
        <w:tc>
          <w:tcPr>
            <w:tcW w:w="2492" w:type="pct"/>
            <w:tcBorders>
              <w:top w:val="single" w:sz="4" w:space="0" w:color="auto"/>
              <w:left w:val="single" w:sz="4" w:space="0" w:color="auto"/>
            </w:tcBorders>
            <w:shd w:val="clear" w:color="auto" w:fill="auto"/>
          </w:tcPr>
          <w:p w14:paraId="5C59D7D9"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Remissão clínica livre de corticosteroides</w:t>
            </w:r>
          </w:p>
        </w:tc>
        <w:tc>
          <w:tcPr>
            <w:tcW w:w="769" w:type="pct"/>
            <w:tcBorders>
              <w:top w:val="single" w:sz="4" w:space="0" w:color="auto"/>
              <w:left w:val="single" w:sz="4" w:space="0" w:color="auto"/>
            </w:tcBorders>
            <w:shd w:val="clear" w:color="auto" w:fill="auto"/>
          </w:tcPr>
          <w:p w14:paraId="7DBA8E6C" w14:textId="77777777" w:rsidR="0077031F" w:rsidRPr="00110D6C" w:rsidRDefault="00030085" w:rsidP="00A17623">
            <w:pPr>
              <w:widowControl/>
              <w:jc w:val="center"/>
              <w:rPr>
                <w:rFonts w:cs="Times New Roman"/>
                <w:color w:val="auto"/>
                <w:szCs w:val="22"/>
                <w:lang w:val="pt-PT"/>
              </w:rPr>
            </w:pPr>
            <w:r w:rsidRPr="00110D6C">
              <w:rPr>
                <w:rFonts w:cs="Times New Roman"/>
                <w:color w:val="auto"/>
                <w:szCs w:val="22"/>
                <w:lang w:val="pt-PT"/>
              </w:rPr>
              <w:t>30%</w:t>
            </w:r>
          </w:p>
        </w:tc>
        <w:tc>
          <w:tcPr>
            <w:tcW w:w="867" w:type="pct"/>
            <w:tcBorders>
              <w:top w:val="single" w:sz="4" w:space="0" w:color="auto"/>
              <w:left w:val="single" w:sz="4" w:space="0" w:color="auto"/>
            </w:tcBorders>
            <w:shd w:val="clear" w:color="auto" w:fill="auto"/>
          </w:tcPr>
          <w:p w14:paraId="78F6C954" w14:textId="77777777" w:rsidR="0077031F" w:rsidRPr="00110D6C" w:rsidRDefault="00030085" w:rsidP="00A17623">
            <w:pPr>
              <w:widowControl/>
              <w:jc w:val="center"/>
              <w:rPr>
                <w:rFonts w:cs="Times New Roman"/>
                <w:color w:val="auto"/>
                <w:szCs w:val="22"/>
                <w:lang w:val="pt-PT"/>
              </w:rPr>
            </w:pPr>
            <w:r w:rsidRPr="00110D6C">
              <w:rPr>
                <w:rFonts w:cs="Times New Roman"/>
                <w:color w:val="auto"/>
                <w:szCs w:val="22"/>
                <w:lang w:val="pt-PT"/>
              </w:rPr>
              <w:t>47%</w:t>
            </w:r>
            <w:r w:rsidRPr="00110D6C">
              <w:rPr>
                <w:rFonts w:cs="Times New Roman"/>
                <w:color w:val="auto"/>
                <w:szCs w:val="22"/>
                <w:vertAlign w:val="superscript"/>
                <w:lang w:val="pt-PT"/>
              </w:rPr>
              <w:t>a</w:t>
            </w:r>
          </w:p>
        </w:tc>
        <w:tc>
          <w:tcPr>
            <w:tcW w:w="872" w:type="pct"/>
            <w:tcBorders>
              <w:top w:val="single" w:sz="4" w:space="0" w:color="auto"/>
              <w:left w:val="single" w:sz="4" w:space="0" w:color="auto"/>
              <w:right w:val="single" w:sz="4" w:space="0" w:color="auto"/>
            </w:tcBorders>
            <w:shd w:val="clear" w:color="auto" w:fill="auto"/>
          </w:tcPr>
          <w:p w14:paraId="2E96A4B6" w14:textId="77777777" w:rsidR="0077031F" w:rsidRPr="00110D6C" w:rsidRDefault="00030085" w:rsidP="00A17623">
            <w:pPr>
              <w:widowControl/>
              <w:jc w:val="center"/>
              <w:rPr>
                <w:rFonts w:cs="Times New Roman"/>
                <w:color w:val="auto"/>
                <w:szCs w:val="22"/>
                <w:lang w:val="pt-PT"/>
              </w:rPr>
            </w:pPr>
            <w:r w:rsidRPr="00110D6C">
              <w:rPr>
                <w:rFonts w:cs="Times New Roman"/>
                <w:color w:val="auto"/>
                <w:szCs w:val="22"/>
                <w:lang w:val="pt-PT"/>
              </w:rPr>
              <w:t>43%</w:t>
            </w:r>
            <w:r w:rsidRPr="00110D6C">
              <w:rPr>
                <w:rFonts w:cs="Times New Roman"/>
                <w:color w:val="auto"/>
                <w:szCs w:val="22"/>
                <w:vertAlign w:val="superscript"/>
                <w:lang w:val="pt-PT"/>
              </w:rPr>
              <w:t>c</w:t>
            </w:r>
          </w:p>
        </w:tc>
      </w:tr>
      <w:tr w:rsidR="0077031F" w:rsidRPr="00110D6C" w14:paraId="17C612BC" w14:textId="77777777" w:rsidTr="00030085">
        <w:tc>
          <w:tcPr>
            <w:tcW w:w="2492" w:type="pct"/>
            <w:tcBorders>
              <w:top w:val="single" w:sz="4" w:space="0" w:color="auto"/>
              <w:left w:val="single" w:sz="4" w:space="0" w:color="auto"/>
            </w:tcBorders>
            <w:shd w:val="clear" w:color="auto" w:fill="auto"/>
          </w:tcPr>
          <w:p w14:paraId="12582B19"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Remissão clínica nos doentes:</w:t>
            </w:r>
          </w:p>
        </w:tc>
        <w:tc>
          <w:tcPr>
            <w:tcW w:w="769" w:type="pct"/>
            <w:tcBorders>
              <w:top w:val="single" w:sz="4" w:space="0" w:color="auto"/>
              <w:left w:val="single" w:sz="4" w:space="0" w:color="auto"/>
            </w:tcBorders>
            <w:shd w:val="clear" w:color="auto" w:fill="auto"/>
          </w:tcPr>
          <w:p w14:paraId="5B7A086A" w14:textId="77777777" w:rsidR="0077031F" w:rsidRPr="00110D6C" w:rsidRDefault="0077031F" w:rsidP="00A17623">
            <w:pPr>
              <w:widowControl/>
              <w:jc w:val="center"/>
              <w:rPr>
                <w:rFonts w:cs="Times New Roman"/>
                <w:color w:val="auto"/>
                <w:szCs w:val="22"/>
                <w:lang w:val="pt-PT"/>
              </w:rPr>
            </w:pPr>
          </w:p>
        </w:tc>
        <w:tc>
          <w:tcPr>
            <w:tcW w:w="867" w:type="pct"/>
            <w:tcBorders>
              <w:top w:val="single" w:sz="4" w:space="0" w:color="auto"/>
              <w:left w:val="single" w:sz="4" w:space="0" w:color="auto"/>
            </w:tcBorders>
            <w:shd w:val="clear" w:color="auto" w:fill="auto"/>
          </w:tcPr>
          <w:p w14:paraId="73A1BC65" w14:textId="77777777" w:rsidR="0077031F" w:rsidRPr="00110D6C" w:rsidRDefault="0077031F" w:rsidP="00A17623">
            <w:pPr>
              <w:widowControl/>
              <w:jc w:val="center"/>
              <w:rPr>
                <w:rFonts w:cs="Times New Roman"/>
                <w:color w:val="auto"/>
                <w:szCs w:val="22"/>
                <w:lang w:val="pt-PT"/>
              </w:rPr>
            </w:pPr>
          </w:p>
        </w:tc>
        <w:tc>
          <w:tcPr>
            <w:tcW w:w="872" w:type="pct"/>
            <w:tcBorders>
              <w:top w:val="single" w:sz="4" w:space="0" w:color="auto"/>
              <w:left w:val="single" w:sz="4" w:space="0" w:color="auto"/>
              <w:right w:val="single" w:sz="4" w:space="0" w:color="auto"/>
            </w:tcBorders>
            <w:shd w:val="clear" w:color="auto" w:fill="auto"/>
          </w:tcPr>
          <w:p w14:paraId="1EC5727E" w14:textId="77777777" w:rsidR="0077031F" w:rsidRPr="00110D6C" w:rsidRDefault="0077031F" w:rsidP="00A17623">
            <w:pPr>
              <w:widowControl/>
              <w:jc w:val="center"/>
              <w:rPr>
                <w:rFonts w:cs="Times New Roman"/>
                <w:color w:val="auto"/>
                <w:szCs w:val="22"/>
                <w:lang w:val="pt-PT"/>
              </w:rPr>
            </w:pPr>
          </w:p>
        </w:tc>
      </w:tr>
      <w:tr w:rsidR="0077031F" w:rsidRPr="00110D6C" w14:paraId="0C7836EF" w14:textId="77777777" w:rsidTr="00030085">
        <w:tc>
          <w:tcPr>
            <w:tcW w:w="2492" w:type="pct"/>
            <w:tcBorders>
              <w:top w:val="single" w:sz="4" w:space="0" w:color="auto"/>
              <w:left w:val="single" w:sz="4" w:space="0" w:color="auto"/>
            </w:tcBorders>
            <w:shd w:val="clear" w:color="auto" w:fill="auto"/>
          </w:tcPr>
          <w:p w14:paraId="24C96A4D" w14:textId="77777777" w:rsidR="0077031F" w:rsidRPr="00110D6C" w:rsidRDefault="00030085" w:rsidP="00A121D2">
            <w:pPr>
              <w:widowControl/>
              <w:ind w:left="284"/>
              <w:rPr>
                <w:rFonts w:cs="Times New Roman"/>
                <w:color w:val="auto"/>
                <w:szCs w:val="22"/>
                <w:lang w:val="pt-PT"/>
              </w:rPr>
            </w:pPr>
            <w:r w:rsidRPr="00110D6C">
              <w:rPr>
                <w:rFonts w:cs="Times New Roman"/>
                <w:color w:val="auto"/>
                <w:szCs w:val="22"/>
                <w:lang w:val="pt-PT"/>
              </w:rPr>
              <w:t>em remissão no início da terapêutica de manutenção</w:t>
            </w:r>
          </w:p>
        </w:tc>
        <w:tc>
          <w:tcPr>
            <w:tcW w:w="769" w:type="pct"/>
            <w:tcBorders>
              <w:top w:val="single" w:sz="4" w:space="0" w:color="auto"/>
              <w:left w:val="single" w:sz="4" w:space="0" w:color="auto"/>
            </w:tcBorders>
            <w:shd w:val="clear" w:color="auto" w:fill="auto"/>
          </w:tcPr>
          <w:p w14:paraId="5DFFC1B2" w14:textId="77777777" w:rsidR="0077031F" w:rsidRPr="00110D6C" w:rsidRDefault="00030085" w:rsidP="00A17623">
            <w:pPr>
              <w:widowControl/>
              <w:jc w:val="center"/>
              <w:rPr>
                <w:rFonts w:cs="Times New Roman"/>
                <w:color w:val="auto"/>
                <w:szCs w:val="22"/>
                <w:lang w:val="pt-PT"/>
              </w:rPr>
            </w:pPr>
            <w:r w:rsidRPr="00110D6C">
              <w:rPr>
                <w:rFonts w:cs="Times New Roman"/>
                <w:color w:val="auto"/>
                <w:szCs w:val="22"/>
                <w:lang w:val="pt-PT"/>
              </w:rPr>
              <w:t>46% (36/79)</w:t>
            </w:r>
          </w:p>
        </w:tc>
        <w:tc>
          <w:tcPr>
            <w:tcW w:w="867" w:type="pct"/>
            <w:tcBorders>
              <w:top w:val="single" w:sz="4" w:space="0" w:color="auto"/>
              <w:left w:val="single" w:sz="4" w:space="0" w:color="auto"/>
            </w:tcBorders>
            <w:shd w:val="clear" w:color="auto" w:fill="auto"/>
          </w:tcPr>
          <w:p w14:paraId="37B6AC92" w14:textId="77777777" w:rsidR="0077031F" w:rsidRPr="00110D6C" w:rsidRDefault="00030085" w:rsidP="00A17623">
            <w:pPr>
              <w:widowControl/>
              <w:jc w:val="center"/>
              <w:rPr>
                <w:rFonts w:cs="Times New Roman"/>
                <w:color w:val="auto"/>
                <w:szCs w:val="22"/>
                <w:lang w:val="pt-PT"/>
              </w:rPr>
            </w:pPr>
            <w:r w:rsidRPr="00110D6C">
              <w:rPr>
                <w:rFonts w:cs="Times New Roman"/>
                <w:color w:val="auto"/>
                <w:szCs w:val="22"/>
                <w:lang w:val="pt-PT"/>
              </w:rPr>
              <w:t>67% (52/78)</w:t>
            </w:r>
            <w:r w:rsidRPr="00110D6C">
              <w:rPr>
                <w:rFonts w:cs="Times New Roman"/>
                <w:color w:val="auto"/>
                <w:szCs w:val="22"/>
                <w:vertAlign w:val="superscript"/>
                <w:lang w:val="pt-PT"/>
              </w:rPr>
              <w:t>a</w:t>
            </w:r>
          </w:p>
        </w:tc>
        <w:tc>
          <w:tcPr>
            <w:tcW w:w="872" w:type="pct"/>
            <w:tcBorders>
              <w:top w:val="single" w:sz="4" w:space="0" w:color="auto"/>
              <w:left w:val="single" w:sz="4" w:space="0" w:color="auto"/>
              <w:right w:val="single" w:sz="4" w:space="0" w:color="auto"/>
            </w:tcBorders>
            <w:shd w:val="clear" w:color="auto" w:fill="auto"/>
          </w:tcPr>
          <w:p w14:paraId="76072DE2" w14:textId="77777777" w:rsidR="0077031F" w:rsidRPr="00110D6C" w:rsidRDefault="00030085" w:rsidP="00A17623">
            <w:pPr>
              <w:widowControl/>
              <w:jc w:val="center"/>
              <w:rPr>
                <w:rFonts w:cs="Times New Roman"/>
                <w:color w:val="auto"/>
                <w:szCs w:val="22"/>
                <w:lang w:val="pt-PT"/>
              </w:rPr>
            </w:pPr>
            <w:r w:rsidRPr="00110D6C">
              <w:rPr>
                <w:rFonts w:cs="Times New Roman"/>
                <w:color w:val="auto"/>
                <w:szCs w:val="22"/>
                <w:lang w:val="pt-PT"/>
              </w:rPr>
              <w:t>56% (44/78)</w:t>
            </w:r>
          </w:p>
        </w:tc>
      </w:tr>
      <w:tr w:rsidR="0077031F" w:rsidRPr="00110D6C" w14:paraId="1617BB33" w14:textId="77777777" w:rsidTr="00030085">
        <w:tc>
          <w:tcPr>
            <w:tcW w:w="2492" w:type="pct"/>
            <w:tcBorders>
              <w:top w:val="single" w:sz="4" w:space="0" w:color="auto"/>
              <w:left w:val="single" w:sz="4" w:space="0" w:color="auto"/>
            </w:tcBorders>
            <w:shd w:val="clear" w:color="auto" w:fill="auto"/>
          </w:tcPr>
          <w:p w14:paraId="7AE01DCD" w14:textId="77777777" w:rsidR="0077031F" w:rsidRPr="00110D6C" w:rsidRDefault="00030085" w:rsidP="00A121D2">
            <w:pPr>
              <w:widowControl/>
              <w:ind w:left="284"/>
              <w:rPr>
                <w:rFonts w:cs="Times New Roman"/>
                <w:color w:val="auto"/>
                <w:szCs w:val="22"/>
                <w:lang w:val="pt-PT"/>
              </w:rPr>
            </w:pPr>
            <w:r w:rsidRPr="00110D6C">
              <w:rPr>
                <w:rFonts w:cs="Times New Roman"/>
                <w:color w:val="auto"/>
                <w:szCs w:val="22"/>
                <w:lang w:val="pt-PT"/>
              </w:rPr>
              <w:t>que entraram do estudo CRD3002</w:t>
            </w:r>
            <w:r w:rsidRPr="00110D6C">
              <w:rPr>
                <w:rFonts w:cs="Times New Roman"/>
                <w:color w:val="auto"/>
                <w:szCs w:val="22"/>
                <w:vertAlign w:val="superscript"/>
                <w:lang w:val="pt-PT"/>
              </w:rPr>
              <w:t>‡</w:t>
            </w:r>
          </w:p>
        </w:tc>
        <w:tc>
          <w:tcPr>
            <w:tcW w:w="769" w:type="pct"/>
            <w:tcBorders>
              <w:top w:val="single" w:sz="4" w:space="0" w:color="auto"/>
              <w:left w:val="single" w:sz="4" w:space="0" w:color="auto"/>
            </w:tcBorders>
            <w:shd w:val="clear" w:color="auto" w:fill="auto"/>
          </w:tcPr>
          <w:p w14:paraId="02E43D68" w14:textId="77777777" w:rsidR="0077031F" w:rsidRPr="00110D6C" w:rsidRDefault="00030085" w:rsidP="00A17623">
            <w:pPr>
              <w:widowControl/>
              <w:jc w:val="center"/>
              <w:rPr>
                <w:rFonts w:cs="Times New Roman"/>
                <w:color w:val="auto"/>
                <w:szCs w:val="22"/>
                <w:lang w:val="pt-PT"/>
              </w:rPr>
            </w:pPr>
            <w:r w:rsidRPr="00110D6C">
              <w:rPr>
                <w:rFonts w:cs="Times New Roman"/>
                <w:color w:val="auto"/>
                <w:szCs w:val="22"/>
                <w:lang w:val="pt-PT"/>
              </w:rPr>
              <w:t>44% (31/70)</w:t>
            </w:r>
          </w:p>
        </w:tc>
        <w:tc>
          <w:tcPr>
            <w:tcW w:w="867" w:type="pct"/>
            <w:tcBorders>
              <w:top w:val="single" w:sz="4" w:space="0" w:color="auto"/>
              <w:left w:val="single" w:sz="4" w:space="0" w:color="auto"/>
            </w:tcBorders>
            <w:shd w:val="clear" w:color="auto" w:fill="auto"/>
          </w:tcPr>
          <w:p w14:paraId="0914830B" w14:textId="77777777" w:rsidR="0077031F" w:rsidRPr="00110D6C" w:rsidRDefault="00030085" w:rsidP="00A17623">
            <w:pPr>
              <w:widowControl/>
              <w:jc w:val="center"/>
              <w:rPr>
                <w:rFonts w:cs="Times New Roman"/>
                <w:color w:val="auto"/>
                <w:szCs w:val="22"/>
                <w:lang w:val="pt-PT"/>
              </w:rPr>
            </w:pPr>
            <w:r w:rsidRPr="00110D6C">
              <w:rPr>
                <w:rFonts w:cs="Times New Roman"/>
                <w:color w:val="auto"/>
                <w:szCs w:val="22"/>
                <w:lang w:val="pt-PT"/>
              </w:rPr>
              <w:t>63% (45/72)</w:t>
            </w:r>
            <w:r w:rsidRPr="00110D6C">
              <w:rPr>
                <w:rFonts w:cs="Times New Roman"/>
                <w:color w:val="auto"/>
                <w:szCs w:val="22"/>
                <w:vertAlign w:val="superscript"/>
                <w:lang w:val="pt-PT"/>
              </w:rPr>
              <w:t>c</w:t>
            </w:r>
          </w:p>
        </w:tc>
        <w:tc>
          <w:tcPr>
            <w:tcW w:w="872" w:type="pct"/>
            <w:tcBorders>
              <w:top w:val="single" w:sz="4" w:space="0" w:color="auto"/>
              <w:left w:val="single" w:sz="4" w:space="0" w:color="auto"/>
              <w:right w:val="single" w:sz="4" w:space="0" w:color="auto"/>
            </w:tcBorders>
            <w:shd w:val="clear" w:color="auto" w:fill="auto"/>
          </w:tcPr>
          <w:p w14:paraId="72F402AE" w14:textId="77777777" w:rsidR="0077031F" w:rsidRPr="00110D6C" w:rsidRDefault="00030085" w:rsidP="00A17623">
            <w:pPr>
              <w:widowControl/>
              <w:jc w:val="center"/>
              <w:rPr>
                <w:rFonts w:cs="Times New Roman"/>
                <w:color w:val="auto"/>
                <w:szCs w:val="22"/>
                <w:lang w:val="pt-PT"/>
              </w:rPr>
            </w:pPr>
            <w:r w:rsidRPr="00110D6C">
              <w:rPr>
                <w:rFonts w:cs="Times New Roman"/>
                <w:color w:val="auto"/>
                <w:szCs w:val="22"/>
                <w:lang w:val="pt-PT"/>
              </w:rPr>
              <w:t>57% (41/72)</w:t>
            </w:r>
          </w:p>
        </w:tc>
      </w:tr>
      <w:tr w:rsidR="0077031F" w:rsidRPr="00110D6C" w14:paraId="5CF20B7B" w14:textId="77777777" w:rsidTr="00030085">
        <w:tc>
          <w:tcPr>
            <w:tcW w:w="2492" w:type="pct"/>
            <w:tcBorders>
              <w:top w:val="single" w:sz="4" w:space="0" w:color="auto"/>
              <w:left w:val="single" w:sz="4" w:space="0" w:color="auto"/>
            </w:tcBorders>
            <w:shd w:val="clear" w:color="auto" w:fill="auto"/>
          </w:tcPr>
          <w:p w14:paraId="277550BF" w14:textId="77777777" w:rsidR="0077031F" w:rsidRPr="00110D6C" w:rsidRDefault="00030085" w:rsidP="00A121D2">
            <w:pPr>
              <w:widowControl/>
              <w:ind w:left="284"/>
              <w:rPr>
                <w:rFonts w:cs="Times New Roman"/>
                <w:color w:val="auto"/>
                <w:szCs w:val="22"/>
                <w:lang w:val="pt-PT"/>
              </w:rPr>
            </w:pPr>
            <w:r w:rsidRPr="00110D6C">
              <w:rPr>
                <w:rFonts w:cs="Times New Roman"/>
                <w:color w:val="auto"/>
                <w:szCs w:val="22"/>
                <w:lang w:val="pt-PT"/>
              </w:rPr>
              <w:t>que não tinham terapêutica anterior anti-TNFα</w:t>
            </w:r>
          </w:p>
        </w:tc>
        <w:tc>
          <w:tcPr>
            <w:tcW w:w="769" w:type="pct"/>
            <w:tcBorders>
              <w:top w:val="single" w:sz="4" w:space="0" w:color="auto"/>
              <w:left w:val="single" w:sz="4" w:space="0" w:color="auto"/>
            </w:tcBorders>
            <w:shd w:val="clear" w:color="auto" w:fill="auto"/>
          </w:tcPr>
          <w:p w14:paraId="5AA77239" w14:textId="77777777" w:rsidR="0077031F" w:rsidRPr="00110D6C" w:rsidRDefault="00030085" w:rsidP="00A17623">
            <w:pPr>
              <w:widowControl/>
              <w:jc w:val="center"/>
              <w:rPr>
                <w:rFonts w:cs="Times New Roman"/>
                <w:color w:val="auto"/>
                <w:szCs w:val="22"/>
                <w:lang w:val="pt-PT"/>
              </w:rPr>
            </w:pPr>
            <w:r w:rsidRPr="00110D6C">
              <w:rPr>
                <w:rFonts w:cs="Times New Roman"/>
                <w:color w:val="auto"/>
                <w:szCs w:val="22"/>
                <w:lang w:val="pt-PT"/>
              </w:rPr>
              <w:t>49% (25/51)</w:t>
            </w:r>
          </w:p>
        </w:tc>
        <w:tc>
          <w:tcPr>
            <w:tcW w:w="867" w:type="pct"/>
            <w:tcBorders>
              <w:top w:val="single" w:sz="4" w:space="0" w:color="auto"/>
              <w:left w:val="single" w:sz="4" w:space="0" w:color="auto"/>
            </w:tcBorders>
            <w:shd w:val="clear" w:color="auto" w:fill="auto"/>
          </w:tcPr>
          <w:p w14:paraId="64D5CF71" w14:textId="77777777" w:rsidR="0077031F" w:rsidRPr="00110D6C" w:rsidRDefault="00030085" w:rsidP="00A17623">
            <w:pPr>
              <w:widowControl/>
              <w:jc w:val="center"/>
              <w:rPr>
                <w:rFonts w:cs="Times New Roman"/>
                <w:color w:val="auto"/>
                <w:szCs w:val="22"/>
                <w:lang w:val="pt-PT"/>
              </w:rPr>
            </w:pPr>
            <w:r w:rsidRPr="00110D6C">
              <w:rPr>
                <w:rFonts w:cs="Times New Roman"/>
                <w:color w:val="auto"/>
                <w:szCs w:val="22"/>
                <w:lang w:val="pt-PT"/>
              </w:rPr>
              <w:t>65% (34/52)</w:t>
            </w:r>
            <w:r w:rsidRPr="00110D6C">
              <w:rPr>
                <w:rFonts w:cs="Times New Roman"/>
                <w:color w:val="auto"/>
                <w:szCs w:val="22"/>
                <w:vertAlign w:val="superscript"/>
                <w:lang w:val="pt-PT"/>
              </w:rPr>
              <w:t>c</w:t>
            </w:r>
          </w:p>
        </w:tc>
        <w:tc>
          <w:tcPr>
            <w:tcW w:w="872" w:type="pct"/>
            <w:tcBorders>
              <w:top w:val="single" w:sz="4" w:space="0" w:color="auto"/>
              <w:left w:val="single" w:sz="4" w:space="0" w:color="auto"/>
              <w:right w:val="single" w:sz="4" w:space="0" w:color="auto"/>
            </w:tcBorders>
            <w:shd w:val="clear" w:color="auto" w:fill="auto"/>
          </w:tcPr>
          <w:p w14:paraId="798420FA" w14:textId="77777777" w:rsidR="0077031F" w:rsidRPr="00110D6C" w:rsidRDefault="00030085" w:rsidP="00A17623">
            <w:pPr>
              <w:widowControl/>
              <w:jc w:val="center"/>
              <w:rPr>
                <w:rFonts w:cs="Times New Roman"/>
                <w:color w:val="auto"/>
                <w:szCs w:val="22"/>
                <w:lang w:val="pt-PT"/>
              </w:rPr>
            </w:pPr>
            <w:r w:rsidRPr="00110D6C">
              <w:rPr>
                <w:rFonts w:cs="Times New Roman"/>
                <w:color w:val="auto"/>
                <w:szCs w:val="22"/>
                <w:lang w:val="pt-PT"/>
              </w:rPr>
              <w:t>57% (30/53)</w:t>
            </w:r>
          </w:p>
        </w:tc>
      </w:tr>
      <w:tr w:rsidR="0077031F" w:rsidRPr="00110D6C" w14:paraId="5794531F" w14:textId="77777777" w:rsidTr="00030085">
        <w:tc>
          <w:tcPr>
            <w:tcW w:w="2492" w:type="pct"/>
            <w:tcBorders>
              <w:top w:val="single" w:sz="4" w:space="0" w:color="auto"/>
              <w:left w:val="single" w:sz="4" w:space="0" w:color="auto"/>
              <w:bottom w:val="single" w:sz="4" w:space="0" w:color="auto"/>
            </w:tcBorders>
            <w:shd w:val="clear" w:color="auto" w:fill="auto"/>
          </w:tcPr>
          <w:p w14:paraId="4CAF66D8" w14:textId="77777777" w:rsidR="0077031F" w:rsidRPr="00110D6C" w:rsidRDefault="00030085" w:rsidP="00A121D2">
            <w:pPr>
              <w:widowControl/>
              <w:ind w:left="284"/>
              <w:rPr>
                <w:rFonts w:cs="Times New Roman"/>
                <w:color w:val="auto"/>
                <w:szCs w:val="22"/>
                <w:lang w:val="pt-PT"/>
              </w:rPr>
            </w:pPr>
            <w:r w:rsidRPr="00110D6C">
              <w:rPr>
                <w:rFonts w:cs="Times New Roman"/>
                <w:color w:val="auto"/>
                <w:szCs w:val="22"/>
                <w:lang w:val="pt-PT"/>
              </w:rPr>
              <w:t>que entraram do estudo CRD3001</w:t>
            </w:r>
            <w:r w:rsidRPr="00110D6C">
              <w:rPr>
                <w:rFonts w:cs="Times New Roman"/>
                <w:color w:val="auto"/>
                <w:szCs w:val="22"/>
                <w:vertAlign w:val="superscript"/>
                <w:lang w:val="pt-PT"/>
              </w:rPr>
              <w:t>§</w:t>
            </w:r>
          </w:p>
        </w:tc>
        <w:tc>
          <w:tcPr>
            <w:tcW w:w="769" w:type="pct"/>
            <w:tcBorders>
              <w:top w:val="single" w:sz="4" w:space="0" w:color="auto"/>
              <w:left w:val="single" w:sz="4" w:space="0" w:color="auto"/>
              <w:bottom w:val="single" w:sz="4" w:space="0" w:color="auto"/>
            </w:tcBorders>
            <w:shd w:val="clear" w:color="auto" w:fill="auto"/>
          </w:tcPr>
          <w:p w14:paraId="00093B4C" w14:textId="77777777" w:rsidR="0077031F" w:rsidRPr="00110D6C" w:rsidRDefault="00030085" w:rsidP="00A17623">
            <w:pPr>
              <w:widowControl/>
              <w:jc w:val="center"/>
              <w:rPr>
                <w:rFonts w:cs="Times New Roman"/>
                <w:color w:val="auto"/>
                <w:szCs w:val="22"/>
                <w:lang w:val="pt-PT"/>
              </w:rPr>
            </w:pPr>
            <w:r w:rsidRPr="00110D6C">
              <w:rPr>
                <w:rFonts w:cs="Times New Roman"/>
                <w:color w:val="auto"/>
                <w:szCs w:val="22"/>
                <w:lang w:val="pt-PT"/>
              </w:rPr>
              <w:t>26% (16/61)</w:t>
            </w:r>
          </w:p>
        </w:tc>
        <w:tc>
          <w:tcPr>
            <w:tcW w:w="867" w:type="pct"/>
            <w:tcBorders>
              <w:top w:val="single" w:sz="4" w:space="0" w:color="auto"/>
              <w:left w:val="single" w:sz="4" w:space="0" w:color="auto"/>
              <w:bottom w:val="single" w:sz="4" w:space="0" w:color="auto"/>
            </w:tcBorders>
            <w:shd w:val="clear" w:color="auto" w:fill="auto"/>
          </w:tcPr>
          <w:p w14:paraId="7D348961" w14:textId="77777777" w:rsidR="0077031F" w:rsidRPr="00110D6C" w:rsidRDefault="00030085" w:rsidP="00A17623">
            <w:pPr>
              <w:widowControl/>
              <w:jc w:val="center"/>
              <w:rPr>
                <w:rFonts w:cs="Times New Roman"/>
                <w:color w:val="auto"/>
                <w:szCs w:val="22"/>
                <w:lang w:val="pt-PT"/>
              </w:rPr>
            </w:pPr>
            <w:r w:rsidRPr="00110D6C">
              <w:rPr>
                <w:rFonts w:cs="Times New Roman"/>
                <w:color w:val="auto"/>
                <w:szCs w:val="22"/>
                <w:lang w:val="pt-PT"/>
              </w:rPr>
              <w:t>41% (23/56)</w:t>
            </w:r>
          </w:p>
        </w:tc>
        <w:tc>
          <w:tcPr>
            <w:tcW w:w="872" w:type="pct"/>
            <w:tcBorders>
              <w:top w:val="single" w:sz="4" w:space="0" w:color="auto"/>
              <w:left w:val="single" w:sz="4" w:space="0" w:color="auto"/>
              <w:bottom w:val="single" w:sz="4" w:space="0" w:color="auto"/>
              <w:right w:val="single" w:sz="4" w:space="0" w:color="auto"/>
            </w:tcBorders>
            <w:shd w:val="clear" w:color="auto" w:fill="auto"/>
          </w:tcPr>
          <w:p w14:paraId="638745F9" w14:textId="77777777" w:rsidR="0077031F" w:rsidRPr="00110D6C" w:rsidRDefault="00030085" w:rsidP="00A17623">
            <w:pPr>
              <w:widowControl/>
              <w:jc w:val="center"/>
              <w:rPr>
                <w:rFonts w:cs="Times New Roman"/>
                <w:color w:val="auto"/>
                <w:szCs w:val="22"/>
                <w:lang w:val="pt-PT"/>
              </w:rPr>
            </w:pPr>
            <w:r w:rsidRPr="00110D6C">
              <w:rPr>
                <w:rFonts w:cs="Times New Roman"/>
                <w:color w:val="auto"/>
                <w:szCs w:val="22"/>
                <w:lang w:val="pt-PT"/>
              </w:rPr>
              <w:t>39% (22/57)</w:t>
            </w:r>
          </w:p>
        </w:tc>
      </w:tr>
    </w:tbl>
    <w:p w14:paraId="7045BB27" w14:textId="77777777" w:rsidR="0077031F" w:rsidRPr="00110D6C" w:rsidRDefault="00030085" w:rsidP="00A17623">
      <w:pPr>
        <w:widowControl/>
        <w:rPr>
          <w:rFonts w:cs="Times New Roman"/>
          <w:color w:val="auto"/>
          <w:sz w:val="20"/>
          <w:szCs w:val="20"/>
          <w:lang w:val="pt-PT"/>
        </w:rPr>
      </w:pPr>
      <w:r w:rsidRPr="00110D6C">
        <w:rPr>
          <w:rFonts w:cs="Times New Roman"/>
          <w:color w:val="auto"/>
          <w:sz w:val="20"/>
          <w:szCs w:val="20"/>
          <w:lang w:val="pt-PT"/>
        </w:rPr>
        <w:t>A remissão clínica é definida como uma pontuação do CDAI &lt;</w:t>
      </w:r>
      <w:r w:rsidR="00F5387C" w:rsidRPr="00110D6C">
        <w:rPr>
          <w:rFonts w:cs="Times New Roman"/>
          <w:color w:val="auto"/>
          <w:sz w:val="20"/>
          <w:szCs w:val="20"/>
          <w:lang w:val="pt-PT"/>
        </w:rPr>
        <w:t> </w:t>
      </w:r>
      <w:r w:rsidRPr="00110D6C">
        <w:rPr>
          <w:rFonts w:cs="Times New Roman"/>
          <w:color w:val="auto"/>
          <w:sz w:val="20"/>
          <w:szCs w:val="20"/>
          <w:lang w:val="pt-PT"/>
        </w:rPr>
        <w:t>150; A resposta clínica é definida como uma diminuição na pontuação do CDAI de, pelo menos, 10</w:t>
      </w:r>
      <w:r w:rsidR="00B910F9" w:rsidRPr="00110D6C">
        <w:rPr>
          <w:rFonts w:cs="Times New Roman"/>
          <w:color w:val="auto"/>
          <w:sz w:val="20"/>
          <w:szCs w:val="20"/>
          <w:lang w:val="pt-PT"/>
        </w:rPr>
        <w:t>0 </w:t>
      </w:r>
      <w:r w:rsidRPr="00110D6C">
        <w:rPr>
          <w:rFonts w:cs="Times New Roman"/>
          <w:color w:val="auto"/>
          <w:sz w:val="20"/>
          <w:szCs w:val="20"/>
          <w:lang w:val="pt-PT"/>
        </w:rPr>
        <w:t>pontos ou estar em remissão clínica.</w:t>
      </w:r>
    </w:p>
    <w:p w14:paraId="3E29C0C7" w14:textId="77777777" w:rsidR="0077031F" w:rsidRPr="00110D6C" w:rsidRDefault="00030085" w:rsidP="00A17623">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w:t>
      </w:r>
      <w:r w:rsidRPr="00110D6C">
        <w:rPr>
          <w:rFonts w:cs="Times New Roman"/>
          <w:color w:val="auto"/>
          <w:sz w:val="20"/>
          <w:szCs w:val="20"/>
          <w:lang w:val="pt-PT"/>
        </w:rPr>
        <w:tab/>
        <w:t>O grupo do placebo consistia em doentes que estavam a responder a ustecinumab e que foram aleatorizados para receber placebo no início da terapêutica de manutenção.</w:t>
      </w:r>
    </w:p>
    <w:p w14:paraId="62D564A3" w14:textId="77777777" w:rsidR="0077031F" w:rsidRPr="00110D6C" w:rsidRDefault="00030085" w:rsidP="00A17623">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w:t>
      </w:r>
      <w:r w:rsidRPr="00110D6C">
        <w:rPr>
          <w:rFonts w:cs="Times New Roman"/>
          <w:color w:val="auto"/>
          <w:sz w:val="20"/>
          <w:szCs w:val="20"/>
          <w:lang w:val="pt-PT"/>
        </w:rPr>
        <w:tab/>
        <w:t>Doentes que estavam em resposta clínica ao ustecinumab com 10</w:t>
      </w:r>
      <w:r w:rsidR="00B910F9" w:rsidRPr="00110D6C">
        <w:rPr>
          <w:rFonts w:cs="Times New Roman"/>
          <w:color w:val="auto"/>
          <w:sz w:val="20"/>
          <w:szCs w:val="20"/>
          <w:lang w:val="pt-PT"/>
        </w:rPr>
        <w:t>0 </w:t>
      </w:r>
      <w:r w:rsidRPr="00110D6C">
        <w:rPr>
          <w:rFonts w:cs="Times New Roman"/>
          <w:color w:val="auto"/>
          <w:sz w:val="20"/>
          <w:szCs w:val="20"/>
          <w:lang w:val="pt-PT"/>
        </w:rPr>
        <w:t>pontos no início da terapêutica de manutenção</w:t>
      </w:r>
    </w:p>
    <w:p w14:paraId="2F82B2F5" w14:textId="77777777" w:rsidR="0077031F" w:rsidRPr="00110D6C" w:rsidRDefault="00030085" w:rsidP="00A17623">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w:t>
      </w:r>
      <w:r w:rsidRPr="00110D6C">
        <w:rPr>
          <w:rFonts w:cs="Times New Roman"/>
          <w:color w:val="auto"/>
          <w:sz w:val="20"/>
          <w:szCs w:val="20"/>
          <w:lang w:val="pt-PT"/>
        </w:rPr>
        <w:tab/>
        <w:t>Doentes que apresentaram falência à terapêutica convencional mas não à terapêutica com anti-TNFα</w:t>
      </w:r>
    </w:p>
    <w:p w14:paraId="44183081" w14:textId="77777777" w:rsidR="0077031F" w:rsidRPr="00110D6C" w:rsidRDefault="00030085" w:rsidP="00A17623">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w:t>
      </w:r>
      <w:r w:rsidRPr="00110D6C">
        <w:rPr>
          <w:rFonts w:cs="Times New Roman"/>
          <w:color w:val="auto"/>
          <w:sz w:val="20"/>
          <w:szCs w:val="20"/>
          <w:vertAlign w:val="superscript"/>
          <w:lang w:val="pt-PT"/>
        </w:rPr>
        <w:tab/>
      </w:r>
      <w:r w:rsidRPr="00110D6C">
        <w:rPr>
          <w:rFonts w:cs="Times New Roman"/>
          <w:color w:val="auto"/>
          <w:sz w:val="20"/>
          <w:szCs w:val="20"/>
          <w:lang w:val="pt-PT"/>
        </w:rPr>
        <w:t>Doentes que são refratários/intolerantes à terapêutica anti-TNFα</w:t>
      </w:r>
    </w:p>
    <w:p w14:paraId="6F0993FC" w14:textId="77777777" w:rsidR="0077031F" w:rsidRPr="00110D6C" w:rsidRDefault="00030085" w:rsidP="00A17623">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a</w:t>
      </w:r>
      <w:r w:rsidRPr="00110D6C">
        <w:rPr>
          <w:rFonts w:cs="Times New Roman"/>
          <w:color w:val="auto"/>
          <w:sz w:val="20"/>
          <w:szCs w:val="20"/>
          <w:lang w:val="pt-PT"/>
        </w:rPr>
        <w:tab/>
        <w:t>p</w:t>
      </w:r>
      <w:r w:rsidR="00F5387C" w:rsidRPr="00110D6C">
        <w:rPr>
          <w:rFonts w:cs="Times New Roman"/>
          <w:color w:val="auto"/>
          <w:sz w:val="20"/>
          <w:szCs w:val="20"/>
          <w:lang w:val="pt-PT"/>
        </w:rPr>
        <w:t> </w:t>
      </w:r>
      <w:r w:rsidRPr="00110D6C">
        <w:rPr>
          <w:rFonts w:cs="Times New Roman"/>
          <w:color w:val="auto"/>
          <w:sz w:val="20"/>
          <w:szCs w:val="20"/>
          <w:lang w:val="pt-PT"/>
        </w:rPr>
        <w:t>&lt;</w:t>
      </w:r>
      <w:r w:rsidR="00F5387C" w:rsidRPr="00110D6C">
        <w:rPr>
          <w:rFonts w:cs="Times New Roman"/>
          <w:color w:val="auto"/>
          <w:sz w:val="20"/>
          <w:szCs w:val="20"/>
          <w:lang w:val="pt-PT"/>
        </w:rPr>
        <w:t> </w:t>
      </w:r>
      <w:r w:rsidRPr="00110D6C">
        <w:rPr>
          <w:rFonts w:cs="Times New Roman"/>
          <w:color w:val="auto"/>
          <w:sz w:val="20"/>
          <w:szCs w:val="20"/>
          <w:lang w:val="pt-PT"/>
        </w:rPr>
        <w:t>0,01</w:t>
      </w:r>
    </w:p>
    <w:p w14:paraId="5D7F238E" w14:textId="77777777" w:rsidR="00A17623" w:rsidRPr="00110D6C" w:rsidRDefault="00030085" w:rsidP="00A17623">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b</w:t>
      </w:r>
      <w:r w:rsidRPr="00110D6C">
        <w:rPr>
          <w:rFonts w:cs="Times New Roman"/>
          <w:color w:val="auto"/>
          <w:sz w:val="20"/>
          <w:szCs w:val="20"/>
          <w:lang w:val="pt-PT"/>
        </w:rPr>
        <w:tab/>
        <w:t>p</w:t>
      </w:r>
      <w:r w:rsidR="00F5387C" w:rsidRPr="00110D6C">
        <w:rPr>
          <w:rFonts w:cs="Times New Roman"/>
          <w:color w:val="auto"/>
          <w:sz w:val="20"/>
          <w:szCs w:val="20"/>
          <w:lang w:val="pt-PT"/>
        </w:rPr>
        <w:t> </w:t>
      </w:r>
      <w:r w:rsidRPr="00110D6C">
        <w:rPr>
          <w:rFonts w:cs="Times New Roman"/>
          <w:color w:val="auto"/>
          <w:sz w:val="20"/>
          <w:szCs w:val="20"/>
          <w:lang w:val="pt-PT"/>
        </w:rPr>
        <w:t>&lt;</w:t>
      </w:r>
      <w:r w:rsidR="00F5387C" w:rsidRPr="00110D6C">
        <w:rPr>
          <w:rFonts w:cs="Times New Roman"/>
          <w:color w:val="auto"/>
          <w:sz w:val="20"/>
          <w:szCs w:val="20"/>
          <w:lang w:val="pt-PT"/>
        </w:rPr>
        <w:t> </w:t>
      </w:r>
      <w:r w:rsidRPr="00110D6C">
        <w:rPr>
          <w:rFonts w:cs="Times New Roman"/>
          <w:color w:val="auto"/>
          <w:sz w:val="20"/>
          <w:szCs w:val="20"/>
          <w:lang w:val="pt-PT"/>
        </w:rPr>
        <w:t>0,05</w:t>
      </w:r>
    </w:p>
    <w:p w14:paraId="7183E5E9" w14:textId="77777777" w:rsidR="0077031F" w:rsidRPr="00110D6C" w:rsidRDefault="00030085" w:rsidP="00A17623">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c</w:t>
      </w:r>
      <w:r w:rsidR="00A17623" w:rsidRPr="00110D6C">
        <w:rPr>
          <w:rFonts w:cs="Times New Roman"/>
          <w:color w:val="auto"/>
          <w:sz w:val="20"/>
          <w:szCs w:val="20"/>
          <w:lang w:val="pt-PT"/>
        </w:rPr>
        <w:tab/>
      </w:r>
      <w:r w:rsidRPr="00110D6C">
        <w:rPr>
          <w:rFonts w:cs="Times New Roman"/>
          <w:color w:val="auto"/>
          <w:sz w:val="20"/>
          <w:szCs w:val="20"/>
          <w:lang w:val="pt-PT"/>
        </w:rPr>
        <w:t>nominalmente significativo (p</w:t>
      </w:r>
      <w:r w:rsidR="00F5387C" w:rsidRPr="00110D6C">
        <w:rPr>
          <w:rFonts w:cs="Times New Roman"/>
          <w:color w:val="auto"/>
          <w:sz w:val="20"/>
          <w:szCs w:val="20"/>
          <w:lang w:val="pt-PT"/>
        </w:rPr>
        <w:t> </w:t>
      </w:r>
      <w:r w:rsidRPr="00110D6C">
        <w:rPr>
          <w:rFonts w:cs="Times New Roman"/>
          <w:color w:val="auto"/>
          <w:sz w:val="20"/>
          <w:szCs w:val="20"/>
          <w:lang w:val="pt-PT"/>
        </w:rPr>
        <w:t>&lt;</w:t>
      </w:r>
      <w:r w:rsidR="00F5387C" w:rsidRPr="00110D6C">
        <w:rPr>
          <w:rFonts w:cs="Times New Roman"/>
          <w:color w:val="auto"/>
          <w:sz w:val="20"/>
          <w:szCs w:val="20"/>
          <w:lang w:val="pt-PT"/>
        </w:rPr>
        <w:t> </w:t>
      </w:r>
      <w:r w:rsidRPr="00110D6C">
        <w:rPr>
          <w:rFonts w:cs="Times New Roman"/>
          <w:color w:val="auto"/>
          <w:sz w:val="20"/>
          <w:szCs w:val="20"/>
          <w:lang w:val="pt-PT"/>
        </w:rPr>
        <w:t>0,05)</w:t>
      </w:r>
    </w:p>
    <w:p w14:paraId="6C1807FD" w14:textId="77777777" w:rsidR="00A17623" w:rsidRPr="00110D6C" w:rsidRDefault="00A17623" w:rsidP="00A17623">
      <w:pPr>
        <w:widowControl/>
        <w:rPr>
          <w:rFonts w:cs="Times New Roman"/>
          <w:color w:val="auto"/>
          <w:sz w:val="20"/>
          <w:szCs w:val="20"/>
          <w:lang w:val="pt-PT"/>
        </w:rPr>
      </w:pPr>
    </w:p>
    <w:p w14:paraId="70F767EC"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lastRenderedPageBreak/>
        <w:t>No estudo IM-UNITI, 2</w:t>
      </w:r>
      <w:r w:rsidR="00B910F9" w:rsidRPr="00110D6C">
        <w:rPr>
          <w:rFonts w:cs="Times New Roman"/>
          <w:color w:val="auto"/>
          <w:szCs w:val="22"/>
          <w:lang w:val="pt-PT"/>
        </w:rPr>
        <w:t>9 </w:t>
      </w:r>
      <w:r w:rsidRPr="00110D6C">
        <w:rPr>
          <w:rFonts w:cs="Times New Roman"/>
          <w:color w:val="auto"/>
          <w:szCs w:val="22"/>
          <w:lang w:val="pt-PT"/>
        </w:rPr>
        <w:t>de 12</w:t>
      </w:r>
      <w:r w:rsidR="00B910F9" w:rsidRPr="00110D6C">
        <w:rPr>
          <w:rFonts w:cs="Times New Roman"/>
          <w:color w:val="auto"/>
          <w:szCs w:val="22"/>
          <w:lang w:val="pt-PT"/>
        </w:rPr>
        <w:t>9 </w:t>
      </w:r>
      <w:r w:rsidRPr="00110D6C">
        <w:rPr>
          <w:rFonts w:cs="Times New Roman"/>
          <w:color w:val="auto"/>
          <w:szCs w:val="22"/>
          <w:lang w:val="pt-PT"/>
        </w:rPr>
        <w:t>doentes não mantiveram a resposta ao ustecinumab quando tratados em intervalos de 1</w:t>
      </w:r>
      <w:r w:rsidR="00B910F9" w:rsidRPr="00110D6C">
        <w:rPr>
          <w:rFonts w:cs="Times New Roman"/>
          <w:color w:val="auto"/>
          <w:szCs w:val="22"/>
          <w:lang w:val="pt-PT"/>
        </w:rPr>
        <w:t>2 </w:t>
      </w:r>
      <w:r w:rsidRPr="00110D6C">
        <w:rPr>
          <w:rFonts w:cs="Times New Roman"/>
          <w:color w:val="auto"/>
          <w:szCs w:val="22"/>
          <w:lang w:val="pt-PT"/>
        </w:rPr>
        <w:t xml:space="preserve">semanas tendo sido autorizados a ajustar a dose para receber ustecinumab em intervalos de </w:t>
      </w:r>
      <w:r w:rsidR="00B910F9" w:rsidRPr="00110D6C">
        <w:rPr>
          <w:rFonts w:cs="Times New Roman"/>
          <w:color w:val="auto"/>
          <w:szCs w:val="22"/>
          <w:lang w:val="pt-PT"/>
        </w:rPr>
        <w:t>8 </w:t>
      </w:r>
      <w:r w:rsidRPr="00110D6C">
        <w:rPr>
          <w:rFonts w:cs="Times New Roman"/>
          <w:color w:val="auto"/>
          <w:szCs w:val="22"/>
          <w:lang w:val="pt-PT"/>
        </w:rPr>
        <w:t>semanas. A perda de resposta foi definida como uma pontuação de CDAI ≥</w:t>
      </w:r>
      <w:r w:rsidR="00F5387C" w:rsidRPr="00110D6C">
        <w:rPr>
          <w:rFonts w:cs="Times New Roman"/>
          <w:color w:val="auto"/>
          <w:szCs w:val="22"/>
          <w:lang w:val="pt-PT"/>
        </w:rPr>
        <w:t> </w:t>
      </w:r>
      <w:r w:rsidRPr="00110D6C">
        <w:rPr>
          <w:rFonts w:cs="Times New Roman"/>
          <w:color w:val="auto"/>
          <w:szCs w:val="22"/>
          <w:lang w:val="pt-PT"/>
        </w:rPr>
        <w:t>22</w:t>
      </w:r>
      <w:r w:rsidR="00B910F9" w:rsidRPr="00110D6C">
        <w:rPr>
          <w:rFonts w:cs="Times New Roman"/>
          <w:color w:val="auto"/>
          <w:szCs w:val="22"/>
          <w:lang w:val="pt-PT"/>
        </w:rPr>
        <w:t>0 </w:t>
      </w:r>
      <w:r w:rsidRPr="00110D6C">
        <w:rPr>
          <w:rFonts w:cs="Times New Roman"/>
          <w:color w:val="auto"/>
          <w:szCs w:val="22"/>
          <w:lang w:val="pt-PT"/>
        </w:rPr>
        <w:t>pontos e um aumento ≥</w:t>
      </w:r>
      <w:r w:rsidR="00F5387C" w:rsidRPr="00110D6C">
        <w:rPr>
          <w:rFonts w:cs="Times New Roman"/>
          <w:color w:val="auto"/>
          <w:szCs w:val="22"/>
          <w:lang w:val="pt-PT"/>
        </w:rPr>
        <w:t> </w:t>
      </w:r>
      <w:r w:rsidRPr="00110D6C">
        <w:rPr>
          <w:rFonts w:cs="Times New Roman"/>
          <w:color w:val="auto"/>
          <w:szCs w:val="22"/>
          <w:lang w:val="pt-PT"/>
        </w:rPr>
        <w:t>10</w:t>
      </w:r>
      <w:r w:rsidR="00B910F9" w:rsidRPr="00110D6C">
        <w:rPr>
          <w:rFonts w:cs="Times New Roman"/>
          <w:color w:val="auto"/>
          <w:szCs w:val="22"/>
          <w:lang w:val="pt-PT"/>
        </w:rPr>
        <w:t>0 </w:t>
      </w:r>
      <w:r w:rsidRPr="00110D6C">
        <w:rPr>
          <w:rFonts w:cs="Times New Roman"/>
          <w:color w:val="auto"/>
          <w:szCs w:val="22"/>
          <w:lang w:val="pt-PT"/>
        </w:rPr>
        <w:t>pontos relativamente à pontuação de CDAI no nível basal. Nestes doentes, a remissão clínica foi alcançada em 41,4% dos doentes 1</w:t>
      </w:r>
      <w:r w:rsidR="00B910F9" w:rsidRPr="00110D6C">
        <w:rPr>
          <w:rFonts w:cs="Times New Roman"/>
          <w:color w:val="auto"/>
          <w:szCs w:val="22"/>
          <w:lang w:val="pt-PT"/>
        </w:rPr>
        <w:t>6 </w:t>
      </w:r>
      <w:r w:rsidRPr="00110D6C">
        <w:rPr>
          <w:rFonts w:cs="Times New Roman"/>
          <w:color w:val="auto"/>
          <w:szCs w:val="22"/>
          <w:lang w:val="pt-PT"/>
        </w:rPr>
        <w:t>semanas após o ajuste da dose.</w:t>
      </w:r>
    </w:p>
    <w:p w14:paraId="5E5AC20B" w14:textId="77777777" w:rsidR="00A17623" w:rsidRPr="00110D6C" w:rsidRDefault="00A17623" w:rsidP="00A17623">
      <w:pPr>
        <w:widowControl/>
        <w:rPr>
          <w:rFonts w:cs="Times New Roman"/>
          <w:color w:val="auto"/>
          <w:szCs w:val="22"/>
          <w:lang w:val="pt-PT"/>
        </w:rPr>
      </w:pPr>
    </w:p>
    <w:p w14:paraId="5AD2FCD5"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Os doentes que não apresentavam uma resposta clínica à indução com ustecinumab na semana</w:t>
      </w:r>
      <w:r w:rsidR="005B2D5C" w:rsidRPr="00110D6C">
        <w:rPr>
          <w:rFonts w:cs="Times New Roman"/>
          <w:color w:val="auto"/>
          <w:szCs w:val="22"/>
          <w:lang w:val="pt-PT"/>
        </w:rPr>
        <w:t> </w:t>
      </w:r>
      <w:r w:rsidR="00B910F9" w:rsidRPr="00110D6C">
        <w:rPr>
          <w:rFonts w:cs="Times New Roman"/>
          <w:color w:val="auto"/>
          <w:szCs w:val="22"/>
          <w:lang w:val="pt-PT"/>
        </w:rPr>
        <w:t>8</w:t>
      </w:r>
      <w:r w:rsidR="005B2D5C" w:rsidRPr="00110D6C">
        <w:rPr>
          <w:rFonts w:cs="Times New Roman"/>
          <w:color w:val="auto"/>
          <w:szCs w:val="22"/>
          <w:lang w:val="pt-PT"/>
        </w:rPr>
        <w:t xml:space="preserve"> </w:t>
      </w:r>
      <w:r w:rsidRPr="00110D6C">
        <w:rPr>
          <w:rFonts w:cs="Times New Roman"/>
          <w:color w:val="auto"/>
          <w:szCs w:val="22"/>
          <w:lang w:val="pt-PT"/>
        </w:rPr>
        <w:t>dos estudos de indução UNITI-</w:t>
      </w:r>
      <w:r w:rsidR="00B910F9" w:rsidRPr="00110D6C">
        <w:rPr>
          <w:rFonts w:cs="Times New Roman"/>
          <w:color w:val="auto"/>
          <w:szCs w:val="22"/>
          <w:lang w:val="pt-PT"/>
        </w:rPr>
        <w:t>1 </w:t>
      </w:r>
      <w:r w:rsidRPr="00110D6C">
        <w:rPr>
          <w:rFonts w:cs="Times New Roman"/>
          <w:color w:val="auto"/>
          <w:szCs w:val="22"/>
          <w:lang w:val="pt-PT"/>
        </w:rPr>
        <w:t>e UNITI-</w:t>
      </w:r>
      <w:r w:rsidR="00B910F9" w:rsidRPr="00110D6C">
        <w:rPr>
          <w:rFonts w:cs="Times New Roman"/>
          <w:color w:val="auto"/>
          <w:szCs w:val="22"/>
          <w:lang w:val="pt-PT"/>
        </w:rPr>
        <w:t>2 </w:t>
      </w:r>
      <w:r w:rsidRPr="00110D6C">
        <w:rPr>
          <w:rFonts w:cs="Times New Roman"/>
          <w:color w:val="auto"/>
          <w:szCs w:val="22"/>
          <w:lang w:val="pt-PT"/>
        </w:rPr>
        <w:t>(47</w:t>
      </w:r>
      <w:r w:rsidR="00B910F9" w:rsidRPr="00110D6C">
        <w:rPr>
          <w:rFonts w:cs="Times New Roman"/>
          <w:color w:val="auto"/>
          <w:szCs w:val="22"/>
          <w:lang w:val="pt-PT"/>
        </w:rPr>
        <w:t>6 </w:t>
      </w:r>
      <w:r w:rsidRPr="00110D6C">
        <w:rPr>
          <w:rFonts w:cs="Times New Roman"/>
          <w:color w:val="auto"/>
          <w:szCs w:val="22"/>
          <w:lang w:val="pt-PT"/>
        </w:rPr>
        <w:t>doentes) entraram para a parte não aleatorizada do estudo de manutenção (IM-UNITI) e receberam uma injeção subcutânea de 9</w:t>
      </w:r>
      <w:r w:rsidR="00B910F9" w:rsidRPr="00110D6C">
        <w:rPr>
          <w:rFonts w:cs="Times New Roman"/>
          <w:color w:val="auto"/>
          <w:szCs w:val="22"/>
          <w:lang w:val="pt-PT"/>
        </w:rPr>
        <w:t>0 </w:t>
      </w:r>
      <w:r w:rsidRPr="00110D6C">
        <w:rPr>
          <w:rFonts w:cs="Times New Roman"/>
          <w:color w:val="auto"/>
          <w:szCs w:val="22"/>
          <w:lang w:val="pt-PT"/>
        </w:rPr>
        <w:t>mg de ustecinumab nesse momento. Oito semanas depois, 50,5% dos doentes alcançaram uma resposta clínica e</w:t>
      </w:r>
      <w:r w:rsidR="005B2D5C" w:rsidRPr="00110D6C">
        <w:rPr>
          <w:rFonts w:cs="Times New Roman"/>
          <w:color w:val="auto"/>
          <w:szCs w:val="22"/>
          <w:lang w:val="pt-PT"/>
        </w:rPr>
        <w:t xml:space="preserve"> </w:t>
      </w:r>
      <w:r w:rsidRPr="00110D6C">
        <w:rPr>
          <w:rFonts w:cs="Times New Roman"/>
          <w:color w:val="auto"/>
          <w:szCs w:val="22"/>
          <w:lang w:val="pt-PT"/>
        </w:rPr>
        <w:t xml:space="preserve">continuaram a receber a dose de manutenção em intervalos de </w:t>
      </w:r>
      <w:r w:rsidR="00B910F9" w:rsidRPr="00110D6C">
        <w:rPr>
          <w:rFonts w:cs="Times New Roman"/>
          <w:color w:val="auto"/>
          <w:szCs w:val="22"/>
          <w:lang w:val="pt-PT"/>
        </w:rPr>
        <w:t>8 </w:t>
      </w:r>
      <w:r w:rsidRPr="00110D6C">
        <w:rPr>
          <w:rFonts w:cs="Times New Roman"/>
          <w:color w:val="auto"/>
          <w:szCs w:val="22"/>
          <w:lang w:val="pt-PT"/>
        </w:rPr>
        <w:t>semanas; entre estes doentes com dose de manutenção continuada, a maioria manteve resposta (68,1%) e obteve remissão (50,2%) na semana</w:t>
      </w:r>
      <w:r w:rsidR="005B2D5C" w:rsidRPr="00110D6C">
        <w:rPr>
          <w:rFonts w:cs="Times New Roman"/>
          <w:color w:val="auto"/>
          <w:szCs w:val="22"/>
          <w:lang w:val="pt-PT"/>
        </w:rPr>
        <w:t> </w:t>
      </w:r>
      <w:r w:rsidRPr="00110D6C">
        <w:rPr>
          <w:rFonts w:cs="Times New Roman"/>
          <w:color w:val="auto"/>
          <w:szCs w:val="22"/>
          <w:lang w:val="pt-PT"/>
        </w:rPr>
        <w:t>44, em proporções que foram semelhantes às dos doentes que inicialmente responderam à indução com ustecinumab.</w:t>
      </w:r>
    </w:p>
    <w:p w14:paraId="6B3A533D" w14:textId="77777777" w:rsidR="00A17623" w:rsidRPr="00110D6C" w:rsidRDefault="00A17623" w:rsidP="00A17623">
      <w:pPr>
        <w:widowControl/>
        <w:rPr>
          <w:rFonts w:cs="Times New Roman"/>
          <w:color w:val="auto"/>
          <w:szCs w:val="22"/>
          <w:lang w:val="pt-PT"/>
        </w:rPr>
      </w:pPr>
    </w:p>
    <w:p w14:paraId="37983F86"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Dos 13</w:t>
      </w:r>
      <w:r w:rsidR="00B910F9" w:rsidRPr="00110D6C">
        <w:rPr>
          <w:rFonts w:cs="Times New Roman"/>
          <w:color w:val="auto"/>
          <w:szCs w:val="22"/>
          <w:lang w:val="pt-PT"/>
        </w:rPr>
        <w:t>1 </w:t>
      </w:r>
      <w:r w:rsidRPr="00110D6C">
        <w:rPr>
          <w:rFonts w:cs="Times New Roman"/>
          <w:color w:val="auto"/>
          <w:szCs w:val="22"/>
          <w:lang w:val="pt-PT"/>
        </w:rPr>
        <w:t>doentes que responderam à indução com ustecinumab e que foram aleatorizados para o grupo do placebo no início do estudo de manutenção, 5</w:t>
      </w:r>
      <w:r w:rsidR="00B910F9" w:rsidRPr="00110D6C">
        <w:rPr>
          <w:rFonts w:cs="Times New Roman"/>
          <w:color w:val="auto"/>
          <w:szCs w:val="22"/>
          <w:lang w:val="pt-PT"/>
        </w:rPr>
        <w:t>1 </w:t>
      </w:r>
      <w:r w:rsidRPr="00110D6C">
        <w:rPr>
          <w:rFonts w:cs="Times New Roman"/>
          <w:color w:val="auto"/>
          <w:szCs w:val="22"/>
          <w:lang w:val="pt-PT"/>
        </w:rPr>
        <w:t>subsequentemente deixaram de responder e receberam 9</w:t>
      </w:r>
      <w:r w:rsidR="00B910F9" w:rsidRPr="00110D6C">
        <w:rPr>
          <w:rFonts w:cs="Times New Roman"/>
          <w:color w:val="auto"/>
          <w:szCs w:val="22"/>
          <w:lang w:val="pt-PT"/>
        </w:rPr>
        <w:t>0 </w:t>
      </w:r>
      <w:r w:rsidRPr="00110D6C">
        <w:rPr>
          <w:rFonts w:cs="Times New Roman"/>
          <w:color w:val="auto"/>
          <w:szCs w:val="22"/>
          <w:lang w:val="pt-PT"/>
        </w:rPr>
        <w:t xml:space="preserve">mg de ustecinumab, por via subcutânea, em intervalos de </w:t>
      </w:r>
      <w:r w:rsidR="00B910F9" w:rsidRPr="00110D6C">
        <w:rPr>
          <w:rFonts w:cs="Times New Roman"/>
          <w:color w:val="auto"/>
          <w:szCs w:val="22"/>
          <w:lang w:val="pt-PT"/>
        </w:rPr>
        <w:t>8 </w:t>
      </w:r>
      <w:r w:rsidRPr="00110D6C">
        <w:rPr>
          <w:rFonts w:cs="Times New Roman"/>
          <w:color w:val="auto"/>
          <w:szCs w:val="22"/>
          <w:lang w:val="pt-PT"/>
        </w:rPr>
        <w:t>semanas. A maioria dos doentes que deixou de responder e que retomou o ustecinumab, fê-lo nas 2</w:t>
      </w:r>
      <w:r w:rsidR="00B910F9" w:rsidRPr="00110D6C">
        <w:rPr>
          <w:rFonts w:cs="Times New Roman"/>
          <w:color w:val="auto"/>
          <w:szCs w:val="22"/>
          <w:lang w:val="pt-PT"/>
        </w:rPr>
        <w:t>4 </w:t>
      </w:r>
      <w:r w:rsidRPr="00110D6C">
        <w:rPr>
          <w:rFonts w:cs="Times New Roman"/>
          <w:color w:val="auto"/>
          <w:szCs w:val="22"/>
          <w:lang w:val="pt-PT"/>
        </w:rPr>
        <w:t>semanas após a perfusão de indução. Destes 5</w:t>
      </w:r>
      <w:r w:rsidR="00B910F9" w:rsidRPr="00110D6C">
        <w:rPr>
          <w:rFonts w:cs="Times New Roman"/>
          <w:color w:val="auto"/>
          <w:szCs w:val="22"/>
          <w:lang w:val="pt-PT"/>
        </w:rPr>
        <w:t>1 </w:t>
      </w:r>
      <w:r w:rsidRPr="00110D6C">
        <w:rPr>
          <w:rFonts w:cs="Times New Roman"/>
          <w:color w:val="auto"/>
          <w:szCs w:val="22"/>
          <w:lang w:val="pt-PT"/>
        </w:rPr>
        <w:t>doentes, 70,6% alcançaram resposta clínica e 39,2% alcançaram remissão clínica 1</w:t>
      </w:r>
      <w:r w:rsidR="00B910F9" w:rsidRPr="00110D6C">
        <w:rPr>
          <w:rFonts w:cs="Times New Roman"/>
          <w:color w:val="auto"/>
          <w:szCs w:val="22"/>
          <w:lang w:val="pt-PT"/>
        </w:rPr>
        <w:t>6 </w:t>
      </w:r>
      <w:r w:rsidRPr="00110D6C">
        <w:rPr>
          <w:rFonts w:cs="Times New Roman"/>
          <w:color w:val="auto"/>
          <w:szCs w:val="22"/>
          <w:lang w:val="pt-PT"/>
        </w:rPr>
        <w:t>semanas após receberem a primeira dose subcutânea de ustecinumab.</w:t>
      </w:r>
    </w:p>
    <w:p w14:paraId="66C9D4F7" w14:textId="77777777" w:rsidR="00A17623" w:rsidRPr="00110D6C" w:rsidRDefault="00A17623" w:rsidP="00A17623">
      <w:pPr>
        <w:widowControl/>
        <w:rPr>
          <w:rFonts w:cs="Times New Roman"/>
          <w:color w:val="auto"/>
          <w:szCs w:val="22"/>
          <w:lang w:val="pt-PT"/>
        </w:rPr>
      </w:pPr>
    </w:p>
    <w:p w14:paraId="67FBE70A"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No IM-UNITI, os doentes que completaram o estudo até à semana</w:t>
      </w:r>
      <w:r w:rsidR="005B2D5C" w:rsidRPr="00110D6C">
        <w:rPr>
          <w:rFonts w:cs="Times New Roman"/>
          <w:color w:val="auto"/>
          <w:szCs w:val="22"/>
          <w:lang w:val="pt-PT"/>
        </w:rPr>
        <w:t> </w:t>
      </w:r>
      <w:r w:rsidRPr="00110D6C">
        <w:rPr>
          <w:rFonts w:cs="Times New Roman"/>
          <w:color w:val="auto"/>
          <w:szCs w:val="22"/>
          <w:lang w:val="pt-PT"/>
        </w:rPr>
        <w:t>4</w:t>
      </w:r>
      <w:r w:rsidR="00B910F9" w:rsidRPr="00110D6C">
        <w:rPr>
          <w:rFonts w:cs="Times New Roman"/>
          <w:color w:val="auto"/>
          <w:szCs w:val="22"/>
          <w:lang w:val="pt-PT"/>
        </w:rPr>
        <w:t>4</w:t>
      </w:r>
      <w:r w:rsidR="005B2D5C" w:rsidRPr="00110D6C">
        <w:rPr>
          <w:rFonts w:cs="Times New Roman"/>
          <w:color w:val="auto"/>
          <w:szCs w:val="22"/>
          <w:lang w:val="pt-PT"/>
        </w:rPr>
        <w:t xml:space="preserve"> </w:t>
      </w:r>
      <w:r w:rsidRPr="00110D6C">
        <w:rPr>
          <w:rFonts w:cs="Times New Roman"/>
          <w:color w:val="auto"/>
          <w:szCs w:val="22"/>
          <w:lang w:val="pt-PT"/>
        </w:rPr>
        <w:t>foram elegíveis para continuar o tratamento num estudo de extensão. Entre os 56</w:t>
      </w:r>
      <w:r w:rsidR="00B910F9" w:rsidRPr="00110D6C">
        <w:rPr>
          <w:rFonts w:cs="Times New Roman"/>
          <w:color w:val="auto"/>
          <w:szCs w:val="22"/>
          <w:lang w:val="pt-PT"/>
        </w:rPr>
        <w:t>7 </w:t>
      </w:r>
      <w:r w:rsidRPr="00110D6C">
        <w:rPr>
          <w:rFonts w:cs="Times New Roman"/>
          <w:color w:val="auto"/>
          <w:szCs w:val="22"/>
          <w:lang w:val="pt-PT"/>
        </w:rPr>
        <w:t>doentes que entraram e foram tratados com ustecinumab na extensão do estudo, a remissão e resposta clínica foram geralmente mantidas até à semana</w:t>
      </w:r>
      <w:r w:rsidR="005B2D5C" w:rsidRPr="00110D6C">
        <w:rPr>
          <w:rFonts w:cs="Times New Roman"/>
          <w:color w:val="auto"/>
          <w:szCs w:val="22"/>
          <w:lang w:val="pt-PT"/>
        </w:rPr>
        <w:t> </w:t>
      </w:r>
      <w:r w:rsidRPr="00110D6C">
        <w:rPr>
          <w:rFonts w:cs="Times New Roman"/>
          <w:color w:val="auto"/>
          <w:szCs w:val="22"/>
          <w:lang w:val="pt-PT"/>
        </w:rPr>
        <w:t>252, quer em doentes com falência às terapêuticas com TNF, quer naqueles com falência às terapêuticas convencionais.</w:t>
      </w:r>
    </w:p>
    <w:p w14:paraId="45DB4645" w14:textId="77777777" w:rsidR="00A17623" w:rsidRPr="00110D6C" w:rsidRDefault="00A17623" w:rsidP="00A17623">
      <w:pPr>
        <w:widowControl/>
        <w:rPr>
          <w:rFonts w:cs="Times New Roman"/>
          <w:color w:val="auto"/>
          <w:szCs w:val="22"/>
          <w:lang w:val="pt-PT"/>
        </w:rPr>
      </w:pPr>
    </w:p>
    <w:p w14:paraId="0823A487"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Não foram identificadas novas questões de segurança na extensão deste estudo até </w:t>
      </w:r>
      <w:r w:rsidR="00B910F9" w:rsidRPr="00110D6C">
        <w:rPr>
          <w:rFonts w:cs="Times New Roman"/>
          <w:color w:val="auto"/>
          <w:szCs w:val="22"/>
          <w:lang w:val="pt-PT"/>
        </w:rPr>
        <w:t>5 </w:t>
      </w:r>
      <w:r w:rsidRPr="00110D6C">
        <w:rPr>
          <w:rFonts w:cs="Times New Roman"/>
          <w:color w:val="auto"/>
          <w:szCs w:val="22"/>
          <w:lang w:val="pt-PT"/>
        </w:rPr>
        <w:t>anos de tratamento em doentes com doença de Crohn.</w:t>
      </w:r>
    </w:p>
    <w:p w14:paraId="5A6B9241" w14:textId="77777777" w:rsidR="00A17623" w:rsidRPr="00110D6C" w:rsidRDefault="00A17623" w:rsidP="00A17623">
      <w:pPr>
        <w:widowControl/>
        <w:rPr>
          <w:rFonts w:cs="Times New Roman"/>
          <w:color w:val="auto"/>
          <w:szCs w:val="22"/>
          <w:lang w:val="pt-PT"/>
        </w:rPr>
      </w:pPr>
    </w:p>
    <w:p w14:paraId="6BD69ED4" w14:textId="77777777" w:rsidR="0077031F" w:rsidRPr="00110D6C" w:rsidRDefault="00030085" w:rsidP="00A17623">
      <w:pPr>
        <w:widowControl/>
        <w:rPr>
          <w:rFonts w:cs="Times New Roman"/>
          <w:color w:val="auto"/>
          <w:szCs w:val="22"/>
          <w:lang w:val="pt-PT"/>
        </w:rPr>
      </w:pPr>
      <w:r w:rsidRPr="00110D6C">
        <w:rPr>
          <w:rFonts w:cs="Times New Roman"/>
          <w:i/>
          <w:iCs/>
          <w:color w:val="auto"/>
          <w:szCs w:val="22"/>
          <w:lang w:val="pt-PT"/>
        </w:rPr>
        <w:t>Endoscopia</w:t>
      </w:r>
    </w:p>
    <w:p w14:paraId="23981557"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O aspeto endoscópico da mucosa foi avaliado num subestudo envolvendo 25</w:t>
      </w:r>
      <w:r w:rsidR="00B910F9" w:rsidRPr="00110D6C">
        <w:rPr>
          <w:rFonts w:cs="Times New Roman"/>
          <w:color w:val="auto"/>
          <w:szCs w:val="22"/>
          <w:lang w:val="pt-PT"/>
        </w:rPr>
        <w:t>2 </w:t>
      </w:r>
      <w:r w:rsidRPr="00110D6C">
        <w:rPr>
          <w:rFonts w:cs="Times New Roman"/>
          <w:color w:val="auto"/>
          <w:szCs w:val="22"/>
          <w:lang w:val="pt-PT"/>
        </w:rPr>
        <w:t xml:space="preserve">doentes elegíveis com atividade da doença endoscópica no nível basal. O parâmetro de avaliação primário consistiu na alteração relativamente ao nível basal na </w:t>
      </w:r>
      <w:r w:rsidRPr="00110D6C">
        <w:rPr>
          <w:rFonts w:cs="Times New Roman"/>
          <w:i/>
          <w:iCs/>
          <w:color w:val="auto"/>
          <w:szCs w:val="22"/>
          <w:lang w:val="pt-PT"/>
        </w:rPr>
        <w:t>Simplified Endoscopic Disease Severity Score for Crohn’s Disease</w:t>
      </w:r>
      <w:r w:rsidRPr="00110D6C">
        <w:rPr>
          <w:rFonts w:cs="Times New Roman"/>
          <w:color w:val="auto"/>
          <w:szCs w:val="22"/>
          <w:lang w:val="pt-PT"/>
        </w:rPr>
        <w:t xml:space="preserve"> (SES-CD), uma pontuação composta envolvendo </w:t>
      </w:r>
      <w:r w:rsidR="00B910F9" w:rsidRPr="00110D6C">
        <w:rPr>
          <w:rFonts w:cs="Times New Roman"/>
          <w:color w:val="auto"/>
          <w:szCs w:val="22"/>
          <w:lang w:val="pt-PT"/>
        </w:rPr>
        <w:t>5 </w:t>
      </w:r>
      <w:r w:rsidRPr="00110D6C">
        <w:rPr>
          <w:rFonts w:cs="Times New Roman"/>
          <w:color w:val="auto"/>
          <w:szCs w:val="22"/>
          <w:lang w:val="pt-PT"/>
        </w:rPr>
        <w:t>segmentos ileo-cólicos da presença/tamanho de úlceras, proporção da superfície da mucosa coberta por úlceras, proporção da superfície da mucosa afetada por quaisquer outras lesões e presença/tipo de estreitamento/estenoses. Na semana</w:t>
      </w:r>
      <w:r w:rsidR="005B2D5C" w:rsidRPr="00110D6C">
        <w:rPr>
          <w:rFonts w:cs="Times New Roman"/>
          <w:color w:val="auto"/>
          <w:szCs w:val="22"/>
          <w:lang w:val="pt-PT"/>
        </w:rPr>
        <w:t> </w:t>
      </w:r>
      <w:r w:rsidRPr="00110D6C">
        <w:rPr>
          <w:rFonts w:cs="Times New Roman"/>
          <w:color w:val="auto"/>
          <w:szCs w:val="22"/>
          <w:lang w:val="pt-PT"/>
        </w:rPr>
        <w:t>8, após a dose de indução única intravenosa, a alteração na pontuação SES-CD foi superior no grupo do ustecinumab (n</w:t>
      </w:r>
      <w:r w:rsidR="005562CC" w:rsidRPr="00110D6C">
        <w:rPr>
          <w:rFonts w:cs="Times New Roman"/>
          <w:color w:val="auto"/>
          <w:szCs w:val="22"/>
          <w:lang w:val="pt-PT"/>
        </w:rPr>
        <w:t> </w:t>
      </w:r>
      <w:r w:rsidRPr="00110D6C">
        <w:rPr>
          <w:rFonts w:cs="Times New Roman"/>
          <w:color w:val="auto"/>
          <w:szCs w:val="22"/>
          <w:lang w:val="pt-PT"/>
        </w:rPr>
        <w:t>=</w:t>
      </w:r>
      <w:r w:rsidR="005562CC" w:rsidRPr="00110D6C">
        <w:rPr>
          <w:rFonts w:cs="Times New Roman"/>
          <w:color w:val="auto"/>
          <w:szCs w:val="22"/>
          <w:lang w:val="pt-PT"/>
        </w:rPr>
        <w:t> </w:t>
      </w:r>
      <w:r w:rsidRPr="00110D6C">
        <w:rPr>
          <w:rFonts w:cs="Times New Roman"/>
          <w:color w:val="auto"/>
          <w:szCs w:val="22"/>
          <w:lang w:val="pt-PT"/>
        </w:rPr>
        <w:t>155, alteração média</w:t>
      </w:r>
      <w:r w:rsidR="005562CC" w:rsidRPr="00110D6C">
        <w:rPr>
          <w:rFonts w:cs="Times New Roman"/>
          <w:color w:val="auto"/>
          <w:szCs w:val="22"/>
          <w:lang w:val="pt-PT"/>
        </w:rPr>
        <w:t> </w:t>
      </w:r>
      <w:r w:rsidRPr="00110D6C">
        <w:rPr>
          <w:rFonts w:cs="Times New Roman"/>
          <w:color w:val="auto"/>
          <w:szCs w:val="22"/>
          <w:lang w:val="pt-PT"/>
        </w:rPr>
        <w:t>=</w:t>
      </w:r>
      <w:r w:rsidR="005562CC" w:rsidRPr="00110D6C">
        <w:rPr>
          <w:rFonts w:cs="Times New Roman"/>
          <w:color w:val="auto"/>
          <w:szCs w:val="22"/>
          <w:lang w:val="pt-PT"/>
        </w:rPr>
        <w:t> </w:t>
      </w:r>
      <w:r w:rsidRPr="00110D6C">
        <w:rPr>
          <w:rFonts w:cs="Times New Roman"/>
          <w:color w:val="auto"/>
          <w:szCs w:val="22"/>
          <w:lang w:val="pt-PT"/>
        </w:rPr>
        <w:t>-2,8) relativamente ao grupo do placebo (n</w:t>
      </w:r>
      <w:r w:rsidR="005562CC" w:rsidRPr="00110D6C">
        <w:rPr>
          <w:rFonts w:cs="Times New Roman"/>
          <w:color w:val="auto"/>
          <w:szCs w:val="22"/>
          <w:lang w:val="pt-PT"/>
        </w:rPr>
        <w:t> </w:t>
      </w:r>
      <w:r w:rsidRPr="00110D6C">
        <w:rPr>
          <w:rFonts w:cs="Times New Roman"/>
          <w:color w:val="auto"/>
          <w:szCs w:val="22"/>
          <w:lang w:val="pt-PT"/>
        </w:rPr>
        <w:t>=</w:t>
      </w:r>
      <w:r w:rsidR="005562CC" w:rsidRPr="00110D6C">
        <w:rPr>
          <w:rFonts w:cs="Times New Roman"/>
          <w:color w:val="auto"/>
          <w:szCs w:val="22"/>
          <w:lang w:val="pt-PT"/>
        </w:rPr>
        <w:t> </w:t>
      </w:r>
      <w:r w:rsidRPr="00110D6C">
        <w:rPr>
          <w:rFonts w:cs="Times New Roman"/>
          <w:color w:val="auto"/>
          <w:szCs w:val="22"/>
          <w:lang w:val="pt-PT"/>
        </w:rPr>
        <w:t>97, alteração média</w:t>
      </w:r>
      <w:r w:rsidR="005562CC" w:rsidRPr="00110D6C">
        <w:rPr>
          <w:rFonts w:cs="Times New Roman"/>
          <w:color w:val="auto"/>
          <w:szCs w:val="22"/>
          <w:lang w:val="pt-PT"/>
        </w:rPr>
        <w:t> </w:t>
      </w:r>
      <w:r w:rsidRPr="00110D6C">
        <w:rPr>
          <w:rFonts w:cs="Times New Roman"/>
          <w:color w:val="auto"/>
          <w:szCs w:val="22"/>
          <w:lang w:val="pt-PT"/>
        </w:rPr>
        <w:t>=</w:t>
      </w:r>
      <w:r w:rsidR="005562CC" w:rsidRPr="00110D6C">
        <w:rPr>
          <w:rFonts w:cs="Times New Roman"/>
          <w:color w:val="auto"/>
          <w:szCs w:val="22"/>
          <w:lang w:val="pt-PT"/>
        </w:rPr>
        <w:t> </w:t>
      </w:r>
      <w:r w:rsidRPr="00110D6C">
        <w:rPr>
          <w:rFonts w:cs="Times New Roman"/>
          <w:color w:val="auto"/>
          <w:szCs w:val="22"/>
          <w:lang w:val="pt-PT"/>
        </w:rPr>
        <w:t>-0,7, p</w:t>
      </w:r>
      <w:r w:rsidR="005562CC" w:rsidRPr="00110D6C">
        <w:rPr>
          <w:rFonts w:cs="Times New Roman"/>
          <w:color w:val="auto"/>
          <w:szCs w:val="22"/>
          <w:lang w:val="pt-PT"/>
        </w:rPr>
        <w:t> </w:t>
      </w:r>
      <w:r w:rsidRPr="00110D6C">
        <w:rPr>
          <w:rFonts w:cs="Times New Roman"/>
          <w:color w:val="auto"/>
          <w:szCs w:val="22"/>
          <w:lang w:val="pt-PT"/>
        </w:rPr>
        <w:t>=</w:t>
      </w:r>
      <w:r w:rsidR="005562CC" w:rsidRPr="00110D6C">
        <w:rPr>
          <w:rFonts w:cs="Times New Roman"/>
          <w:color w:val="auto"/>
          <w:szCs w:val="22"/>
          <w:lang w:val="pt-PT"/>
        </w:rPr>
        <w:t> </w:t>
      </w:r>
      <w:r w:rsidRPr="00110D6C">
        <w:rPr>
          <w:rFonts w:cs="Times New Roman"/>
          <w:color w:val="auto"/>
          <w:szCs w:val="22"/>
          <w:lang w:val="pt-PT"/>
        </w:rPr>
        <w:t>0,012).</w:t>
      </w:r>
    </w:p>
    <w:p w14:paraId="1C777ADB" w14:textId="77777777" w:rsidR="00A17623" w:rsidRPr="00110D6C" w:rsidRDefault="00A17623" w:rsidP="00A17623">
      <w:pPr>
        <w:widowControl/>
        <w:rPr>
          <w:rFonts w:cs="Times New Roman"/>
          <w:color w:val="auto"/>
          <w:szCs w:val="22"/>
          <w:lang w:val="pt-PT"/>
        </w:rPr>
      </w:pPr>
    </w:p>
    <w:p w14:paraId="2EB0EBA4" w14:textId="77777777" w:rsidR="0077031F" w:rsidRPr="00110D6C" w:rsidRDefault="00030085" w:rsidP="00A17623">
      <w:pPr>
        <w:widowControl/>
        <w:rPr>
          <w:rFonts w:cs="Times New Roman"/>
          <w:color w:val="auto"/>
          <w:szCs w:val="22"/>
          <w:lang w:val="pt-PT"/>
        </w:rPr>
      </w:pPr>
      <w:r w:rsidRPr="00110D6C">
        <w:rPr>
          <w:rFonts w:cs="Times New Roman"/>
          <w:i/>
          <w:iCs/>
          <w:color w:val="auto"/>
          <w:szCs w:val="22"/>
          <w:lang w:val="pt-PT"/>
        </w:rPr>
        <w:t>Resposta das Fístulas</w:t>
      </w:r>
    </w:p>
    <w:p w14:paraId="544CC260"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Num subgrupo de doentes com fístulas abertas no nível basal (8,8%; n</w:t>
      </w:r>
      <w:r w:rsidR="005562CC" w:rsidRPr="00110D6C">
        <w:rPr>
          <w:rFonts w:cs="Times New Roman"/>
          <w:color w:val="auto"/>
          <w:szCs w:val="22"/>
          <w:lang w:val="pt-PT"/>
        </w:rPr>
        <w:t> </w:t>
      </w:r>
      <w:r w:rsidRPr="00110D6C">
        <w:rPr>
          <w:rFonts w:cs="Times New Roman"/>
          <w:color w:val="auto"/>
          <w:szCs w:val="22"/>
          <w:lang w:val="pt-PT"/>
        </w:rPr>
        <w:t>=</w:t>
      </w:r>
      <w:r w:rsidR="005562CC" w:rsidRPr="00110D6C">
        <w:rPr>
          <w:rFonts w:cs="Times New Roman"/>
          <w:color w:val="auto"/>
          <w:szCs w:val="22"/>
          <w:lang w:val="pt-PT"/>
        </w:rPr>
        <w:t> </w:t>
      </w:r>
      <w:r w:rsidRPr="00110D6C">
        <w:rPr>
          <w:rFonts w:cs="Times New Roman"/>
          <w:color w:val="auto"/>
          <w:szCs w:val="22"/>
          <w:lang w:val="pt-PT"/>
        </w:rPr>
        <w:t>26), 12/1</w:t>
      </w:r>
      <w:r w:rsidR="00B910F9" w:rsidRPr="00110D6C">
        <w:rPr>
          <w:rFonts w:cs="Times New Roman"/>
          <w:color w:val="auto"/>
          <w:szCs w:val="22"/>
          <w:lang w:val="pt-PT"/>
        </w:rPr>
        <w:t>5 </w:t>
      </w:r>
      <w:r w:rsidRPr="00110D6C">
        <w:rPr>
          <w:rFonts w:cs="Times New Roman"/>
          <w:color w:val="auto"/>
          <w:szCs w:val="22"/>
          <w:lang w:val="pt-PT"/>
        </w:rPr>
        <w:t>(80%) dos doentes tratados com ustecinumab alcançaram uma resposta das fístulas nas 4</w:t>
      </w:r>
      <w:r w:rsidR="00B910F9" w:rsidRPr="00110D6C">
        <w:rPr>
          <w:rFonts w:cs="Times New Roman"/>
          <w:color w:val="auto"/>
          <w:szCs w:val="22"/>
          <w:lang w:val="pt-PT"/>
        </w:rPr>
        <w:t>4 </w:t>
      </w:r>
      <w:r w:rsidRPr="00110D6C">
        <w:rPr>
          <w:rFonts w:cs="Times New Roman"/>
          <w:color w:val="auto"/>
          <w:szCs w:val="22"/>
          <w:lang w:val="pt-PT"/>
        </w:rPr>
        <w:t>semanas (definida como uma redução ≥</w:t>
      </w:r>
      <w:r w:rsidR="00F5387C" w:rsidRPr="00110D6C">
        <w:rPr>
          <w:rFonts w:cs="Times New Roman"/>
          <w:color w:val="auto"/>
          <w:szCs w:val="22"/>
          <w:lang w:val="pt-PT"/>
        </w:rPr>
        <w:t> </w:t>
      </w:r>
      <w:r w:rsidRPr="00110D6C">
        <w:rPr>
          <w:rFonts w:cs="Times New Roman"/>
          <w:color w:val="auto"/>
          <w:szCs w:val="22"/>
          <w:lang w:val="pt-PT"/>
        </w:rPr>
        <w:t>50% no número de fístulas abertas relativamente ao nível basal do estudo de indução) em comparação com 5/1</w:t>
      </w:r>
      <w:r w:rsidR="00B910F9" w:rsidRPr="00110D6C">
        <w:rPr>
          <w:rFonts w:cs="Times New Roman"/>
          <w:color w:val="auto"/>
          <w:szCs w:val="22"/>
          <w:lang w:val="pt-PT"/>
        </w:rPr>
        <w:t>1 </w:t>
      </w:r>
      <w:r w:rsidRPr="00110D6C">
        <w:rPr>
          <w:rFonts w:cs="Times New Roman"/>
          <w:color w:val="auto"/>
          <w:szCs w:val="22"/>
          <w:lang w:val="pt-PT"/>
        </w:rPr>
        <w:t>(45,5%) do grupo exposto ao placebo.</w:t>
      </w:r>
    </w:p>
    <w:p w14:paraId="1FC9C7E0" w14:textId="77777777" w:rsidR="00A17623" w:rsidRPr="00110D6C" w:rsidRDefault="00A17623" w:rsidP="00A17623">
      <w:pPr>
        <w:widowControl/>
        <w:rPr>
          <w:rFonts w:cs="Times New Roman"/>
          <w:color w:val="auto"/>
          <w:szCs w:val="22"/>
          <w:lang w:val="pt-PT"/>
        </w:rPr>
      </w:pPr>
    </w:p>
    <w:p w14:paraId="1B059E8A" w14:textId="77777777" w:rsidR="0077031F" w:rsidRPr="00110D6C" w:rsidRDefault="00030085" w:rsidP="00A17623">
      <w:pPr>
        <w:widowControl/>
        <w:rPr>
          <w:rFonts w:cs="Times New Roman"/>
          <w:color w:val="auto"/>
          <w:szCs w:val="22"/>
          <w:lang w:val="pt-PT"/>
        </w:rPr>
      </w:pPr>
      <w:r w:rsidRPr="00110D6C">
        <w:rPr>
          <w:rFonts w:cs="Times New Roman"/>
          <w:i/>
          <w:iCs/>
          <w:color w:val="auto"/>
          <w:szCs w:val="22"/>
          <w:lang w:val="pt-PT"/>
        </w:rPr>
        <w:t>Qualidade de vida relacionada com a saúde</w:t>
      </w:r>
    </w:p>
    <w:p w14:paraId="419FD685"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 qualidade de vida relacionada com a saúde foi avaliada através do questionário da doença intestinal inflamatória (IBDQ) e do SF-36. Na semana</w:t>
      </w:r>
      <w:r w:rsidR="005B2D5C" w:rsidRPr="00110D6C">
        <w:rPr>
          <w:rFonts w:cs="Times New Roman"/>
          <w:color w:val="auto"/>
          <w:szCs w:val="22"/>
          <w:lang w:val="pt-PT"/>
        </w:rPr>
        <w:t> </w:t>
      </w:r>
      <w:r w:rsidRPr="00110D6C">
        <w:rPr>
          <w:rFonts w:cs="Times New Roman"/>
          <w:color w:val="auto"/>
          <w:szCs w:val="22"/>
          <w:lang w:val="pt-PT"/>
        </w:rPr>
        <w:t>8, os doentes que receberam ustecinumab demonstraram melhorias superiores e com significado clínico, estatisticamente significativas, na pontuação total do IBDQ e na Medida Sumária do Componente Mental do SF-36, em ambos os estudos UNITI-</w:t>
      </w:r>
      <w:r w:rsidR="00B910F9" w:rsidRPr="00110D6C">
        <w:rPr>
          <w:rFonts w:cs="Times New Roman"/>
          <w:color w:val="auto"/>
          <w:szCs w:val="22"/>
          <w:lang w:val="pt-PT"/>
        </w:rPr>
        <w:t>1 </w:t>
      </w:r>
      <w:r w:rsidRPr="00110D6C">
        <w:rPr>
          <w:rFonts w:cs="Times New Roman"/>
          <w:color w:val="auto"/>
          <w:szCs w:val="22"/>
          <w:lang w:val="pt-PT"/>
        </w:rPr>
        <w:t>e UNITI-2, e na Medida Sumária do Componente Físico do SF-3</w:t>
      </w:r>
      <w:r w:rsidR="00B910F9" w:rsidRPr="00110D6C">
        <w:rPr>
          <w:rFonts w:cs="Times New Roman"/>
          <w:color w:val="auto"/>
          <w:szCs w:val="22"/>
          <w:lang w:val="pt-PT"/>
        </w:rPr>
        <w:t>6 </w:t>
      </w:r>
      <w:r w:rsidRPr="00110D6C">
        <w:rPr>
          <w:rFonts w:cs="Times New Roman"/>
          <w:color w:val="auto"/>
          <w:szCs w:val="22"/>
          <w:lang w:val="pt-PT"/>
        </w:rPr>
        <w:t>no estudo UNITI-2, em comparação com o placebo. Estas melhorias foram, geralmente, melhor sustentadas nos doentes tratados com ustecinumab no estudo IM-UNITI até à semana</w:t>
      </w:r>
      <w:r w:rsidR="005B2D5C" w:rsidRPr="00110D6C">
        <w:rPr>
          <w:rFonts w:cs="Times New Roman"/>
          <w:color w:val="auto"/>
          <w:szCs w:val="22"/>
          <w:lang w:val="pt-PT"/>
        </w:rPr>
        <w:t> </w:t>
      </w:r>
      <w:r w:rsidRPr="00110D6C">
        <w:rPr>
          <w:rFonts w:cs="Times New Roman"/>
          <w:color w:val="auto"/>
          <w:szCs w:val="22"/>
          <w:lang w:val="pt-PT"/>
        </w:rPr>
        <w:t>4</w:t>
      </w:r>
      <w:r w:rsidR="00B910F9" w:rsidRPr="00110D6C">
        <w:rPr>
          <w:rFonts w:cs="Times New Roman"/>
          <w:color w:val="auto"/>
          <w:szCs w:val="22"/>
          <w:lang w:val="pt-PT"/>
        </w:rPr>
        <w:t>4</w:t>
      </w:r>
      <w:r w:rsidR="005B2D5C" w:rsidRPr="00110D6C">
        <w:rPr>
          <w:rFonts w:cs="Times New Roman"/>
          <w:color w:val="auto"/>
          <w:szCs w:val="22"/>
          <w:lang w:val="pt-PT"/>
        </w:rPr>
        <w:t xml:space="preserve"> </w:t>
      </w:r>
      <w:r w:rsidRPr="00110D6C">
        <w:rPr>
          <w:rFonts w:cs="Times New Roman"/>
          <w:color w:val="auto"/>
          <w:szCs w:val="22"/>
          <w:lang w:val="pt-PT"/>
        </w:rPr>
        <w:t xml:space="preserve">em comparação com o placebo. A melhoria na </w:t>
      </w:r>
      <w:r w:rsidRPr="00110D6C">
        <w:rPr>
          <w:rFonts w:cs="Times New Roman"/>
          <w:color w:val="auto"/>
          <w:szCs w:val="22"/>
          <w:lang w:val="pt-PT"/>
        </w:rPr>
        <w:lastRenderedPageBreak/>
        <w:t>qualidade de vida relacionada com a saúde foi geralmente mantida durante a extensão até à semana</w:t>
      </w:r>
      <w:r w:rsidR="006A79E5" w:rsidRPr="00110D6C">
        <w:rPr>
          <w:rFonts w:cs="Times New Roman"/>
          <w:color w:val="auto"/>
          <w:szCs w:val="22"/>
          <w:lang w:val="pt-PT"/>
        </w:rPr>
        <w:t> </w:t>
      </w:r>
      <w:r w:rsidRPr="00110D6C">
        <w:rPr>
          <w:rFonts w:cs="Times New Roman"/>
          <w:color w:val="auto"/>
          <w:szCs w:val="22"/>
          <w:lang w:val="pt-PT"/>
        </w:rPr>
        <w:t>252.</w:t>
      </w:r>
    </w:p>
    <w:p w14:paraId="0C699423" w14:textId="77777777" w:rsidR="0043129A" w:rsidRPr="00110D6C" w:rsidRDefault="0043129A" w:rsidP="00A17623">
      <w:pPr>
        <w:widowControl/>
        <w:rPr>
          <w:rFonts w:cs="Times New Roman"/>
          <w:color w:val="auto"/>
          <w:szCs w:val="22"/>
          <w:lang w:val="pt-PT"/>
        </w:rPr>
      </w:pPr>
    </w:p>
    <w:p w14:paraId="4964C5A0"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Imunogenicidade</w:t>
      </w:r>
    </w:p>
    <w:p w14:paraId="39FE6CD5" w14:textId="6C710CA8" w:rsidR="0077031F" w:rsidRPr="00110D6C" w:rsidRDefault="00030085" w:rsidP="00A17623">
      <w:pPr>
        <w:widowControl/>
        <w:rPr>
          <w:rFonts w:cs="Times New Roman"/>
          <w:color w:val="auto"/>
          <w:szCs w:val="22"/>
          <w:lang w:val="pt-PT"/>
        </w:rPr>
      </w:pPr>
      <w:r w:rsidRPr="00110D6C">
        <w:rPr>
          <w:rFonts w:cs="Times New Roman"/>
          <w:color w:val="auto"/>
          <w:szCs w:val="22"/>
          <w:lang w:val="pt-PT"/>
        </w:rPr>
        <w:t>Durante o tratamento com ustecinumab podem desenvolver-se anticorpos contra o ustecinumab e a maioria é neutralizante. A formação de anticorpos anti-ustecinumab está associada ao aumento da depuração de ustecinumab em doentes com doença de Crohn. Não foi observada redução de eficácia. Não existe correlação aparente entre a presença de anticorpos anti-ustecinumab e a ocorrência de reações no local de injeção.</w:t>
      </w:r>
    </w:p>
    <w:p w14:paraId="70A1FBD2" w14:textId="77777777" w:rsidR="0043129A" w:rsidRPr="00110D6C" w:rsidRDefault="0043129A" w:rsidP="00A17623">
      <w:pPr>
        <w:widowControl/>
        <w:rPr>
          <w:rFonts w:cs="Times New Roman"/>
          <w:color w:val="auto"/>
          <w:szCs w:val="22"/>
          <w:lang w:val="pt-PT"/>
        </w:rPr>
      </w:pPr>
    </w:p>
    <w:p w14:paraId="11469C55" w14:textId="77777777" w:rsidR="0077031F" w:rsidRPr="00110D6C" w:rsidRDefault="00030085" w:rsidP="00461B50">
      <w:pPr>
        <w:keepNext/>
        <w:widowControl/>
        <w:rPr>
          <w:rFonts w:cs="Times New Roman"/>
          <w:color w:val="auto"/>
          <w:szCs w:val="22"/>
          <w:lang w:val="pt-PT"/>
        </w:rPr>
      </w:pPr>
      <w:r w:rsidRPr="00110D6C">
        <w:rPr>
          <w:rFonts w:cs="Times New Roman"/>
          <w:color w:val="auto"/>
          <w:szCs w:val="22"/>
          <w:u w:val="single"/>
          <w:lang w:val="pt-PT"/>
        </w:rPr>
        <w:t>População pediátrica</w:t>
      </w:r>
    </w:p>
    <w:p w14:paraId="5CE811DD" w14:textId="47FF760D" w:rsidR="0077031F" w:rsidRPr="00110D6C" w:rsidRDefault="00030085" w:rsidP="00461B50">
      <w:pPr>
        <w:keepNext/>
        <w:widowControl/>
        <w:rPr>
          <w:rFonts w:cs="Times New Roman"/>
          <w:color w:val="auto"/>
          <w:szCs w:val="22"/>
          <w:lang w:val="pt-PT"/>
        </w:rPr>
      </w:pPr>
      <w:r w:rsidRPr="00110D6C">
        <w:rPr>
          <w:rFonts w:cs="Times New Roman"/>
          <w:color w:val="auto"/>
          <w:szCs w:val="22"/>
          <w:lang w:val="pt-PT"/>
        </w:rPr>
        <w:t xml:space="preserve">A Agência Europeia de Medicamentos diferiu a obrigação de submissão dos resultados dos estudos com </w:t>
      </w:r>
      <w:r w:rsidR="002B7F8B" w:rsidRPr="00AD342C">
        <w:rPr>
          <w:rFonts w:cs="Times New Roman"/>
          <w:color w:val="auto"/>
          <w:szCs w:val="22"/>
          <w:lang w:val="pt-PT"/>
        </w:rPr>
        <w:t xml:space="preserve">o medicamento de referência contendo </w:t>
      </w:r>
      <w:r w:rsidRPr="00110D6C">
        <w:rPr>
          <w:rFonts w:cs="Times New Roman"/>
          <w:color w:val="auto"/>
          <w:szCs w:val="22"/>
          <w:lang w:val="pt-PT"/>
        </w:rPr>
        <w:t>ustecinumab em um ou mais subgrupos da população pediátrica na doença de Crohn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w:t>
      </w:r>
      <w:r w:rsidR="00B910F9" w:rsidRPr="00110D6C">
        <w:rPr>
          <w:rFonts w:cs="Times New Roman"/>
          <w:color w:val="auto"/>
          <w:szCs w:val="22"/>
          <w:lang w:val="pt-PT"/>
        </w:rPr>
        <w:t>2 </w:t>
      </w:r>
      <w:r w:rsidRPr="00110D6C">
        <w:rPr>
          <w:rFonts w:cs="Times New Roman"/>
          <w:color w:val="auto"/>
          <w:szCs w:val="22"/>
          <w:lang w:val="pt-PT"/>
        </w:rPr>
        <w:t>para informação sobre o uso pediátrico)</w:t>
      </w:r>
      <w:r w:rsidRPr="00110D6C">
        <w:rPr>
          <w:rFonts w:cs="Times New Roman"/>
          <w:b/>
          <w:bCs/>
          <w:color w:val="auto"/>
          <w:szCs w:val="22"/>
          <w:lang w:val="pt-PT"/>
        </w:rPr>
        <w:t>.</w:t>
      </w:r>
    </w:p>
    <w:p w14:paraId="4E0232D6" w14:textId="77777777" w:rsidR="00DC3C01" w:rsidRPr="00110D6C" w:rsidRDefault="00DC3C01" w:rsidP="002057DA">
      <w:pPr>
        <w:widowControl/>
        <w:rPr>
          <w:rFonts w:cs="Times New Roman"/>
          <w:bCs/>
          <w:color w:val="auto"/>
          <w:szCs w:val="22"/>
          <w:lang w:val="pt-PT"/>
        </w:rPr>
      </w:pPr>
      <w:bookmarkStart w:id="14" w:name="bookmark26"/>
    </w:p>
    <w:p w14:paraId="456516A1"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5.2</w:t>
      </w:r>
      <w:r w:rsidRPr="00110D6C">
        <w:rPr>
          <w:rFonts w:cs="Times New Roman"/>
          <w:b/>
          <w:bCs/>
          <w:color w:val="auto"/>
          <w:szCs w:val="22"/>
          <w:lang w:val="pt-PT"/>
        </w:rPr>
        <w:tab/>
      </w:r>
      <w:r w:rsidR="00030085" w:rsidRPr="00110D6C">
        <w:rPr>
          <w:rFonts w:cs="Times New Roman"/>
          <w:b/>
          <w:bCs/>
          <w:color w:val="auto"/>
          <w:szCs w:val="22"/>
          <w:lang w:val="pt-PT"/>
        </w:rPr>
        <w:t>Propriedades farmacocinéticas</w:t>
      </w:r>
      <w:bookmarkEnd w:id="14"/>
    </w:p>
    <w:p w14:paraId="522204FD" w14:textId="77777777" w:rsidR="0043129A" w:rsidRPr="00110D6C" w:rsidRDefault="0043129A" w:rsidP="00A17623">
      <w:pPr>
        <w:widowControl/>
        <w:rPr>
          <w:rFonts w:cs="Times New Roman"/>
          <w:color w:val="auto"/>
          <w:szCs w:val="22"/>
          <w:lang w:val="pt-PT"/>
        </w:rPr>
      </w:pPr>
    </w:p>
    <w:p w14:paraId="7E264A54" w14:textId="6FCBFFC0"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Nos doentes que seguem a dose recomendada de indução intravenosa, a mediana da concentração sérica máxima de ustecinumab, observada </w:t>
      </w:r>
      <w:r w:rsidR="00B910F9" w:rsidRPr="00110D6C">
        <w:rPr>
          <w:rFonts w:cs="Times New Roman"/>
          <w:color w:val="auto"/>
          <w:szCs w:val="22"/>
          <w:lang w:val="pt-PT"/>
        </w:rPr>
        <w:t>1 </w:t>
      </w:r>
      <w:r w:rsidRPr="00110D6C">
        <w:rPr>
          <w:rFonts w:cs="Times New Roman"/>
          <w:color w:val="auto"/>
          <w:szCs w:val="22"/>
          <w:lang w:val="pt-PT"/>
        </w:rPr>
        <w:t>hora após a perfusão, foi de 126,</w:t>
      </w:r>
      <w:r w:rsidR="00B910F9" w:rsidRPr="00110D6C">
        <w:rPr>
          <w:rFonts w:cs="Times New Roman"/>
          <w:color w:val="auto"/>
          <w:szCs w:val="22"/>
          <w:lang w:val="pt-PT"/>
        </w:rPr>
        <w:t>1 </w:t>
      </w:r>
      <w:r w:rsidRPr="00110D6C">
        <w:rPr>
          <w:rFonts w:cs="Times New Roman"/>
          <w:color w:val="auto"/>
          <w:szCs w:val="22"/>
          <w:lang w:val="pt-PT"/>
        </w:rPr>
        <w:t>μg/ml em doentes com doença de Crohn.</w:t>
      </w:r>
    </w:p>
    <w:p w14:paraId="1DFE725A" w14:textId="77777777" w:rsidR="0043129A" w:rsidRPr="00110D6C" w:rsidRDefault="0043129A" w:rsidP="00A17623">
      <w:pPr>
        <w:widowControl/>
        <w:rPr>
          <w:rFonts w:cs="Times New Roman"/>
          <w:color w:val="auto"/>
          <w:szCs w:val="22"/>
          <w:lang w:val="pt-PT"/>
        </w:rPr>
      </w:pPr>
    </w:p>
    <w:p w14:paraId="4575A7A8"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Distribuição</w:t>
      </w:r>
    </w:p>
    <w:p w14:paraId="4DADC461"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 mediana do volume de distribuição durante a fase terminal (Vz) após uma administração única intravenosa em doentes com psoríase encontra-se dentro do intervalo de 5</w:t>
      </w:r>
      <w:r w:rsidR="00B910F9" w:rsidRPr="00110D6C">
        <w:rPr>
          <w:rFonts w:cs="Times New Roman"/>
          <w:color w:val="auto"/>
          <w:szCs w:val="22"/>
          <w:lang w:val="pt-PT"/>
        </w:rPr>
        <w:t>7 </w:t>
      </w:r>
      <w:r w:rsidRPr="00110D6C">
        <w:rPr>
          <w:rFonts w:cs="Times New Roman"/>
          <w:color w:val="auto"/>
          <w:szCs w:val="22"/>
          <w:lang w:val="pt-PT"/>
        </w:rPr>
        <w:t>a 8</w:t>
      </w:r>
      <w:r w:rsidR="00B910F9" w:rsidRPr="00110D6C">
        <w:rPr>
          <w:rFonts w:cs="Times New Roman"/>
          <w:color w:val="auto"/>
          <w:szCs w:val="22"/>
          <w:lang w:val="pt-PT"/>
        </w:rPr>
        <w:t>3 </w:t>
      </w:r>
      <w:r w:rsidRPr="00110D6C">
        <w:rPr>
          <w:rFonts w:cs="Times New Roman"/>
          <w:color w:val="auto"/>
          <w:szCs w:val="22"/>
          <w:lang w:val="pt-PT"/>
        </w:rPr>
        <w:t>ml/kg.</w:t>
      </w:r>
    </w:p>
    <w:p w14:paraId="1E5389BE" w14:textId="77777777" w:rsidR="0043129A" w:rsidRPr="00110D6C" w:rsidRDefault="0043129A" w:rsidP="00A17623">
      <w:pPr>
        <w:widowControl/>
        <w:rPr>
          <w:rFonts w:cs="Times New Roman"/>
          <w:color w:val="auto"/>
          <w:szCs w:val="22"/>
          <w:lang w:val="pt-PT"/>
        </w:rPr>
      </w:pPr>
    </w:p>
    <w:p w14:paraId="05D802F6"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Biotransformação</w:t>
      </w:r>
    </w:p>
    <w:p w14:paraId="4AF64F0A"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Desconhece-se a via metabólica exata do ustecinumab.</w:t>
      </w:r>
    </w:p>
    <w:p w14:paraId="66430AE5" w14:textId="77777777" w:rsidR="0043129A" w:rsidRPr="00110D6C" w:rsidRDefault="0043129A" w:rsidP="00A17623">
      <w:pPr>
        <w:widowControl/>
        <w:rPr>
          <w:rFonts w:cs="Times New Roman"/>
          <w:color w:val="auto"/>
          <w:szCs w:val="22"/>
          <w:lang w:val="pt-PT"/>
        </w:rPr>
      </w:pPr>
    </w:p>
    <w:p w14:paraId="3505F259"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Eliminação</w:t>
      </w:r>
    </w:p>
    <w:p w14:paraId="402EFD2D" w14:textId="001F6E6D" w:rsidR="0077031F" w:rsidRPr="00110D6C" w:rsidRDefault="00030085" w:rsidP="00A17623">
      <w:pPr>
        <w:widowControl/>
        <w:rPr>
          <w:rFonts w:cs="Times New Roman"/>
          <w:color w:val="auto"/>
          <w:szCs w:val="22"/>
          <w:lang w:val="pt-PT"/>
        </w:rPr>
      </w:pPr>
      <w:r w:rsidRPr="00110D6C">
        <w:rPr>
          <w:rFonts w:cs="Times New Roman"/>
          <w:color w:val="auto"/>
          <w:szCs w:val="22"/>
          <w:lang w:val="pt-PT"/>
        </w:rPr>
        <w:t>A mediana da depuração sistémica (Cl) após uma administração única intravenosa em doentes com psoríase situa-se entre 1,9</w:t>
      </w:r>
      <w:r w:rsidR="00B910F9" w:rsidRPr="00110D6C">
        <w:rPr>
          <w:rFonts w:cs="Times New Roman"/>
          <w:color w:val="auto"/>
          <w:szCs w:val="22"/>
          <w:lang w:val="pt-PT"/>
        </w:rPr>
        <w:t>9 </w:t>
      </w:r>
      <w:r w:rsidRPr="00110D6C">
        <w:rPr>
          <w:rFonts w:cs="Times New Roman"/>
          <w:color w:val="auto"/>
          <w:szCs w:val="22"/>
          <w:lang w:val="pt-PT"/>
        </w:rPr>
        <w:t>e 2,3</w:t>
      </w:r>
      <w:r w:rsidR="00B910F9" w:rsidRPr="00110D6C">
        <w:rPr>
          <w:rFonts w:cs="Times New Roman"/>
          <w:color w:val="auto"/>
          <w:szCs w:val="22"/>
          <w:lang w:val="pt-PT"/>
        </w:rPr>
        <w:t>4 </w:t>
      </w:r>
      <w:r w:rsidRPr="00110D6C">
        <w:rPr>
          <w:rFonts w:cs="Times New Roman"/>
          <w:color w:val="auto"/>
          <w:szCs w:val="22"/>
          <w:lang w:val="pt-PT"/>
        </w:rPr>
        <w:t>ml/dia/kg. A mediana da semivida (t</w:t>
      </w:r>
      <w:r w:rsidRPr="00110D6C">
        <w:rPr>
          <w:rFonts w:cs="Times New Roman"/>
          <w:color w:val="auto"/>
          <w:szCs w:val="22"/>
          <w:vertAlign w:val="subscript"/>
          <w:lang w:val="pt-PT"/>
        </w:rPr>
        <w:t>1/2</w:t>
      </w:r>
      <w:r w:rsidRPr="00110D6C">
        <w:rPr>
          <w:rFonts w:cs="Times New Roman"/>
          <w:color w:val="auto"/>
          <w:szCs w:val="22"/>
          <w:lang w:val="pt-PT"/>
        </w:rPr>
        <w:t xml:space="preserve">) do ustecinumab foi de, aproximadamente, </w:t>
      </w:r>
      <w:r w:rsidR="00B910F9" w:rsidRPr="00110D6C">
        <w:rPr>
          <w:rFonts w:cs="Times New Roman"/>
          <w:color w:val="auto"/>
          <w:szCs w:val="22"/>
          <w:lang w:val="pt-PT"/>
        </w:rPr>
        <w:t>3 </w:t>
      </w:r>
      <w:r w:rsidRPr="00110D6C">
        <w:rPr>
          <w:rFonts w:cs="Times New Roman"/>
          <w:color w:val="auto"/>
          <w:szCs w:val="22"/>
          <w:lang w:val="pt-PT"/>
        </w:rPr>
        <w:t>semanas nos doentes com doença de Crohn, psoríase e/ou artrite psoriática, situando-se entre 1</w:t>
      </w:r>
      <w:r w:rsidR="00B910F9" w:rsidRPr="00110D6C">
        <w:rPr>
          <w:rFonts w:cs="Times New Roman"/>
          <w:color w:val="auto"/>
          <w:szCs w:val="22"/>
          <w:lang w:val="pt-PT"/>
        </w:rPr>
        <w:t>5 </w:t>
      </w:r>
      <w:r w:rsidRPr="00110D6C">
        <w:rPr>
          <w:rFonts w:cs="Times New Roman"/>
          <w:color w:val="auto"/>
          <w:szCs w:val="22"/>
          <w:lang w:val="pt-PT"/>
        </w:rPr>
        <w:t>e 3</w:t>
      </w:r>
      <w:r w:rsidR="00B910F9" w:rsidRPr="00110D6C">
        <w:rPr>
          <w:rFonts w:cs="Times New Roman"/>
          <w:color w:val="auto"/>
          <w:szCs w:val="22"/>
          <w:lang w:val="pt-PT"/>
        </w:rPr>
        <w:t>2 </w:t>
      </w:r>
      <w:r w:rsidRPr="00110D6C">
        <w:rPr>
          <w:rFonts w:cs="Times New Roman"/>
          <w:color w:val="auto"/>
          <w:szCs w:val="22"/>
          <w:lang w:val="pt-PT"/>
        </w:rPr>
        <w:t>dias em todos os estudos na psoríase e artrite psoriática.</w:t>
      </w:r>
    </w:p>
    <w:p w14:paraId="65B36DB4" w14:textId="77777777" w:rsidR="0043129A" w:rsidRPr="00110D6C" w:rsidRDefault="0043129A" w:rsidP="00A17623">
      <w:pPr>
        <w:widowControl/>
        <w:rPr>
          <w:rFonts w:cs="Times New Roman"/>
          <w:color w:val="auto"/>
          <w:szCs w:val="22"/>
          <w:lang w:val="pt-PT"/>
        </w:rPr>
      </w:pPr>
    </w:p>
    <w:p w14:paraId="2F8481BC"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Linearidade da dose</w:t>
      </w:r>
    </w:p>
    <w:p w14:paraId="0971DFFE"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 exposição sistémica do ustecinumab (C</w:t>
      </w:r>
      <w:r w:rsidRPr="00110D6C">
        <w:rPr>
          <w:rFonts w:cs="Times New Roman"/>
          <w:color w:val="auto"/>
          <w:szCs w:val="22"/>
          <w:vertAlign w:val="subscript"/>
          <w:lang w:val="pt-PT"/>
        </w:rPr>
        <w:t>max</w:t>
      </w:r>
      <w:r w:rsidRPr="00110D6C">
        <w:rPr>
          <w:rFonts w:cs="Times New Roman"/>
          <w:color w:val="auto"/>
          <w:szCs w:val="22"/>
          <w:lang w:val="pt-PT"/>
        </w:rPr>
        <w:t xml:space="preserve"> e AUC) aumentou de uma forma aproximadamente proporcional à dose após uma administração única intravenosa de doses situadas no intervalo entre 0,0</w:t>
      </w:r>
      <w:r w:rsidR="00B910F9" w:rsidRPr="00110D6C">
        <w:rPr>
          <w:rFonts w:cs="Times New Roman"/>
          <w:color w:val="auto"/>
          <w:szCs w:val="22"/>
          <w:lang w:val="pt-PT"/>
        </w:rPr>
        <w:t>9 </w:t>
      </w:r>
      <w:r w:rsidRPr="00110D6C">
        <w:rPr>
          <w:rFonts w:cs="Times New Roman"/>
          <w:color w:val="auto"/>
          <w:szCs w:val="22"/>
          <w:lang w:val="pt-PT"/>
        </w:rPr>
        <w:t>mg/kg e 4,</w:t>
      </w:r>
      <w:r w:rsidR="00B910F9" w:rsidRPr="00110D6C">
        <w:rPr>
          <w:rFonts w:cs="Times New Roman"/>
          <w:color w:val="auto"/>
          <w:szCs w:val="22"/>
          <w:lang w:val="pt-PT"/>
        </w:rPr>
        <w:t>5 </w:t>
      </w:r>
      <w:r w:rsidRPr="00110D6C">
        <w:rPr>
          <w:rFonts w:cs="Times New Roman"/>
          <w:color w:val="auto"/>
          <w:szCs w:val="22"/>
          <w:lang w:val="pt-PT"/>
        </w:rPr>
        <w:t>mg/kg.</w:t>
      </w:r>
    </w:p>
    <w:p w14:paraId="70AACCD1" w14:textId="77777777" w:rsidR="0043129A" w:rsidRPr="00110D6C" w:rsidRDefault="0043129A" w:rsidP="00A17623">
      <w:pPr>
        <w:widowControl/>
        <w:rPr>
          <w:rFonts w:cs="Times New Roman"/>
          <w:color w:val="auto"/>
          <w:szCs w:val="22"/>
          <w:lang w:val="pt-PT"/>
        </w:rPr>
      </w:pPr>
    </w:p>
    <w:p w14:paraId="63805AF2"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Populações especiais</w:t>
      </w:r>
    </w:p>
    <w:p w14:paraId="4E2DDAD8"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Não estão disponíveis dados farmacocinéticos em doentes com compromisso renal ou afeção hepática. Não foram realizados estudos específicos com ustecinumab por via intravenosa em doentes idosos ou pediátricos.</w:t>
      </w:r>
    </w:p>
    <w:p w14:paraId="50315DA5" w14:textId="77777777" w:rsidR="0043129A" w:rsidRPr="00110D6C" w:rsidRDefault="0043129A" w:rsidP="00A17623">
      <w:pPr>
        <w:widowControl/>
        <w:rPr>
          <w:rFonts w:cs="Times New Roman"/>
          <w:color w:val="auto"/>
          <w:szCs w:val="22"/>
          <w:lang w:val="pt-PT"/>
        </w:rPr>
      </w:pPr>
    </w:p>
    <w:p w14:paraId="10E2603B" w14:textId="50DC00DF"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Em doentes com doença de Crohn, a variabilidade da depuração do ustecinumab foi afetada pelo peso corporal, nível sérico de albumina, sexo, e estado de anticorpos a ustecinumab, embora o peso corporal tenha sido a principal covariável que afetou o volume de distribuição. Adicionalmente na doença de Crohn, a depuração foi afetada pela Proteína C Reativa, estado de falência ao antagonista do TNF, raça (asiático </w:t>
      </w:r>
      <w:r w:rsidRPr="00110D6C">
        <w:rPr>
          <w:rFonts w:cs="Times New Roman"/>
          <w:i/>
          <w:iCs/>
          <w:color w:val="auto"/>
          <w:szCs w:val="22"/>
          <w:lang w:val="pt-PT"/>
        </w:rPr>
        <w:t>versus</w:t>
      </w:r>
      <w:r w:rsidRPr="00110D6C">
        <w:rPr>
          <w:rFonts w:cs="Times New Roman"/>
          <w:color w:val="auto"/>
          <w:szCs w:val="22"/>
          <w:lang w:val="pt-PT"/>
        </w:rPr>
        <w:t xml:space="preserve"> não-asiático). O impacto destas covariáveis situou-se dentro de ± 20% do valor normal ou de referência do respetivo parâmetro farmacocinético, assim, o ajuste da dose não é necessário para estas covariáveis. A utilização concomitante de imunomoduladores não teve um impacto significativo na distribuição do ustecinumab.</w:t>
      </w:r>
    </w:p>
    <w:p w14:paraId="57927061" w14:textId="77777777" w:rsidR="0043129A" w:rsidRPr="00110D6C" w:rsidRDefault="0043129A" w:rsidP="00A17623">
      <w:pPr>
        <w:widowControl/>
        <w:rPr>
          <w:rFonts w:cs="Times New Roman"/>
          <w:color w:val="auto"/>
          <w:szCs w:val="22"/>
          <w:lang w:val="pt-PT"/>
        </w:rPr>
      </w:pPr>
    </w:p>
    <w:p w14:paraId="27EE14E1"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Regulação enzimática do CYP450</w:t>
      </w:r>
    </w:p>
    <w:p w14:paraId="73A3B4D5"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Os efeitos da IL-1</w:t>
      </w:r>
      <w:r w:rsidR="00B910F9" w:rsidRPr="00110D6C">
        <w:rPr>
          <w:rFonts w:cs="Times New Roman"/>
          <w:color w:val="auto"/>
          <w:szCs w:val="22"/>
          <w:lang w:val="pt-PT"/>
        </w:rPr>
        <w:t>2 </w:t>
      </w:r>
      <w:r w:rsidRPr="00110D6C">
        <w:rPr>
          <w:rFonts w:cs="Times New Roman"/>
          <w:color w:val="auto"/>
          <w:szCs w:val="22"/>
          <w:lang w:val="pt-PT"/>
        </w:rPr>
        <w:t>ou IL-2</w:t>
      </w:r>
      <w:r w:rsidR="00B910F9" w:rsidRPr="00110D6C">
        <w:rPr>
          <w:rFonts w:cs="Times New Roman"/>
          <w:color w:val="auto"/>
          <w:szCs w:val="22"/>
          <w:lang w:val="pt-PT"/>
        </w:rPr>
        <w:t>3 </w:t>
      </w:r>
      <w:r w:rsidRPr="00110D6C">
        <w:rPr>
          <w:rFonts w:cs="Times New Roman"/>
          <w:color w:val="auto"/>
          <w:szCs w:val="22"/>
          <w:lang w:val="pt-PT"/>
        </w:rPr>
        <w:t>na regulação das enzimas CYP45</w:t>
      </w:r>
      <w:r w:rsidR="00B910F9" w:rsidRPr="00110D6C">
        <w:rPr>
          <w:rFonts w:cs="Times New Roman"/>
          <w:color w:val="auto"/>
          <w:szCs w:val="22"/>
          <w:lang w:val="pt-PT"/>
        </w:rPr>
        <w:t>0 </w:t>
      </w:r>
      <w:r w:rsidRPr="00110D6C">
        <w:rPr>
          <w:rFonts w:cs="Times New Roman"/>
          <w:color w:val="auto"/>
          <w:szCs w:val="22"/>
          <w:lang w:val="pt-PT"/>
        </w:rPr>
        <w:t xml:space="preserve">foram avaliados num estudo </w:t>
      </w:r>
      <w:r w:rsidRPr="00110D6C">
        <w:rPr>
          <w:rFonts w:cs="Times New Roman"/>
          <w:i/>
          <w:iCs/>
          <w:color w:val="auto"/>
          <w:szCs w:val="22"/>
          <w:lang w:val="pt-PT"/>
        </w:rPr>
        <w:t>in</w:t>
      </w:r>
      <w:r w:rsidR="0068685B" w:rsidRPr="00110D6C">
        <w:rPr>
          <w:rFonts w:cs="Times New Roman"/>
          <w:i/>
          <w:iCs/>
          <w:color w:val="auto"/>
          <w:szCs w:val="22"/>
          <w:lang w:val="pt-PT"/>
        </w:rPr>
        <w:t> </w:t>
      </w:r>
      <w:r w:rsidRPr="00110D6C">
        <w:rPr>
          <w:rFonts w:cs="Times New Roman"/>
          <w:i/>
          <w:iCs/>
          <w:color w:val="auto"/>
          <w:szCs w:val="22"/>
          <w:lang w:val="pt-PT"/>
        </w:rPr>
        <w:t xml:space="preserve">vitro </w:t>
      </w:r>
      <w:r w:rsidRPr="00110D6C">
        <w:rPr>
          <w:rFonts w:cs="Times New Roman"/>
          <w:color w:val="auto"/>
          <w:szCs w:val="22"/>
          <w:lang w:val="pt-PT"/>
        </w:rPr>
        <w:t>utilizando hepatócitos humanos, que demonstrou que a IL-1</w:t>
      </w:r>
      <w:r w:rsidR="00B910F9" w:rsidRPr="00110D6C">
        <w:rPr>
          <w:rFonts w:cs="Times New Roman"/>
          <w:color w:val="auto"/>
          <w:szCs w:val="22"/>
          <w:lang w:val="pt-PT"/>
        </w:rPr>
        <w:t>2 </w:t>
      </w:r>
      <w:r w:rsidRPr="00110D6C">
        <w:rPr>
          <w:rFonts w:cs="Times New Roman"/>
          <w:color w:val="auto"/>
          <w:szCs w:val="22"/>
          <w:lang w:val="pt-PT"/>
        </w:rPr>
        <w:t xml:space="preserve">e/ou a IL-23, em concentrações de </w:t>
      </w:r>
      <w:r w:rsidRPr="00110D6C">
        <w:rPr>
          <w:rFonts w:cs="Times New Roman"/>
          <w:color w:val="auto"/>
          <w:szCs w:val="22"/>
          <w:lang w:val="pt-PT"/>
        </w:rPr>
        <w:lastRenderedPageBreak/>
        <w:t>1</w:t>
      </w:r>
      <w:r w:rsidR="00B910F9" w:rsidRPr="00110D6C">
        <w:rPr>
          <w:rFonts w:cs="Times New Roman"/>
          <w:color w:val="auto"/>
          <w:szCs w:val="22"/>
          <w:lang w:val="pt-PT"/>
        </w:rPr>
        <w:t>0 </w:t>
      </w:r>
      <w:r w:rsidRPr="00110D6C">
        <w:rPr>
          <w:rFonts w:cs="Times New Roman"/>
          <w:color w:val="auto"/>
          <w:szCs w:val="22"/>
          <w:lang w:val="pt-PT"/>
        </w:rPr>
        <w:t>ng/ml não alteraram a atividade enzimática humana do CYP45</w:t>
      </w:r>
      <w:r w:rsidR="00B910F9" w:rsidRPr="00110D6C">
        <w:rPr>
          <w:rFonts w:cs="Times New Roman"/>
          <w:color w:val="auto"/>
          <w:szCs w:val="22"/>
          <w:lang w:val="pt-PT"/>
        </w:rPr>
        <w:t>0 </w:t>
      </w:r>
      <w:r w:rsidRPr="00110D6C">
        <w:rPr>
          <w:rFonts w:cs="Times New Roman"/>
          <w:color w:val="auto"/>
          <w:szCs w:val="22"/>
          <w:lang w:val="pt-PT"/>
        </w:rPr>
        <w:t>(CYP1A2, 2B6, 2C9, 2C19, 2D</w:t>
      </w:r>
      <w:r w:rsidR="00B910F9" w:rsidRPr="00110D6C">
        <w:rPr>
          <w:rFonts w:cs="Times New Roman"/>
          <w:color w:val="auto"/>
          <w:szCs w:val="22"/>
          <w:lang w:val="pt-PT"/>
        </w:rPr>
        <w:t>6 </w:t>
      </w:r>
      <w:r w:rsidRPr="00110D6C">
        <w:rPr>
          <w:rFonts w:cs="Times New Roman"/>
          <w:color w:val="auto"/>
          <w:szCs w:val="22"/>
          <w:lang w:val="pt-PT"/>
        </w:rPr>
        <w:t>ou 3A4;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4.5).</w:t>
      </w:r>
    </w:p>
    <w:p w14:paraId="28FF409F" w14:textId="77777777" w:rsidR="00FD3B47" w:rsidRDefault="00FD3B47" w:rsidP="00FD3B47">
      <w:pPr>
        <w:rPr>
          <w:color w:val="000000" w:themeColor="text1"/>
          <w:szCs w:val="22"/>
        </w:rPr>
      </w:pPr>
      <w:bookmarkStart w:id="15" w:name="bookmark28"/>
    </w:p>
    <w:p w14:paraId="6505A25E" w14:textId="29B0FC36" w:rsidR="00FD3B47" w:rsidRDefault="00FD3B47" w:rsidP="00FD3B47">
      <w:pPr>
        <w:rPr>
          <w:color w:val="000000" w:themeColor="text1"/>
          <w:szCs w:val="22"/>
          <w:lang w:val="pt-PT"/>
        </w:rPr>
      </w:pPr>
      <w:r w:rsidRPr="00043C2E">
        <w:rPr>
          <w:color w:val="000000" w:themeColor="text1"/>
          <w:szCs w:val="22"/>
          <w:lang w:val="pt-PT"/>
        </w:rPr>
        <w:t>Foi conduzido um estudo de interação medicamentosa, aberto, de fase 1, o Estudo CNTO1275CRD1003, para avaliar o efeito de ustecinumab na atividade enzimática do citocromo P450 após indução e dose de manutenção em doentes com doença de Crohn ativa (n=18). Não foram observadas alterações clínicas significativas na exposição de cafeína (substrato CYP1A2), varfarina (substrato CYP2C9), omeprazol (substrato CYP2C19), dextrometorfano (substrato CYP2D6) ou midazolam (substrato CYP3A) quando utilizados concomitantemente com ustecinumab à dose recomendada aprovada em doentes com doença de Crohn (ver secção 4.5).</w:t>
      </w:r>
    </w:p>
    <w:p w14:paraId="6A5D38F3" w14:textId="77777777" w:rsidR="00DC3C01" w:rsidRPr="00F708A1" w:rsidRDefault="00DC3C01" w:rsidP="002057DA">
      <w:pPr>
        <w:widowControl/>
        <w:rPr>
          <w:rFonts w:cs="Times New Roman"/>
          <w:bCs/>
          <w:color w:val="auto"/>
          <w:szCs w:val="22"/>
          <w:lang w:val="pt-PT"/>
        </w:rPr>
      </w:pPr>
    </w:p>
    <w:p w14:paraId="155EBFEF" w14:textId="77777777" w:rsidR="0043129A" w:rsidRPr="00110D6C" w:rsidRDefault="00DC3C01" w:rsidP="002057DA">
      <w:pPr>
        <w:widowControl/>
        <w:ind w:left="567" w:hanging="567"/>
        <w:rPr>
          <w:rFonts w:cs="Times New Roman"/>
          <w:color w:val="auto"/>
          <w:szCs w:val="22"/>
          <w:lang w:val="pt-PT"/>
        </w:rPr>
      </w:pPr>
      <w:r w:rsidRPr="00110D6C">
        <w:rPr>
          <w:rFonts w:cs="Times New Roman"/>
          <w:b/>
          <w:bCs/>
          <w:color w:val="auto"/>
          <w:szCs w:val="22"/>
          <w:lang w:val="pt-PT"/>
        </w:rPr>
        <w:t>5.3</w:t>
      </w:r>
      <w:r w:rsidRPr="00110D6C">
        <w:rPr>
          <w:rFonts w:cs="Times New Roman"/>
          <w:b/>
          <w:bCs/>
          <w:color w:val="auto"/>
          <w:szCs w:val="22"/>
          <w:lang w:val="pt-PT"/>
        </w:rPr>
        <w:tab/>
      </w:r>
      <w:r w:rsidR="00030085" w:rsidRPr="00110D6C">
        <w:rPr>
          <w:rFonts w:cs="Times New Roman"/>
          <w:b/>
          <w:bCs/>
          <w:color w:val="auto"/>
          <w:szCs w:val="22"/>
          <w:lang w:val="pt-PT"/>
        </w:rPr>
        <w:t>Dados de segurança pré-clínica</w:t>
      </w:r>
      <w:bookmarkEnd w:id="15"/>
    </w:p>
    <w:p w14:paraId="6EF5FEC0"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Os dados não clínicos não revelam riscos especiais (ex. toxicidade de órgãos) para o ser humano, segundo estudos de toxicidade de dose repetida e toxicidade reprodutiva e de desenvolvimento, incluindo avaliações de farmacologia de segurança. Em estudos de toxicidade reprodutiva e de desenvolvimento em macacos </w:t>
      </w:r>
      <w:r w:rsidRPr="00110D6C">
        <w:rPr>
          <w:rFonts w:cs="Times New Roman"/>
          <w:i/>
          <w:iCs/>
          <w:color w:val="auto"/>
          <w:szCs w:val="22"/>
          <w:lang w:val="pt-PT"/>
        </w:rPr>
        <w:t>cynomolgus</w:t>
      </w:r>
      <w:r w:rsidRPr="00110D6C">
        <w:rPr>
          <w:rFonts w:cs="Times New Roman"/>
          <w:color w:val="auto"/>
          <w:szCs w:val="22"/>
          <w:lang w:val="pt-PT"/>
        </w:rPr>
        <w:t>, não foram observados efeitos adversos nos índices de fertilidade masculina nem anomalias congénitas ou toxicidade de desenvolvimento. Não foram observados efeitos adversos nos índices de fertilidade feminina utilizando um anticorpo análogo à IL- 12/2</w:t>
      </w:r>
      <w:r w:rsidR="00B910F9" w:rsidRPr="00110D6C">
        <w:rPr>
          <w:rFonts w:cs="Times New Roman"/>
          <w:color w:val="auto"/>
          <w:szCs w:val="22"/>
          <w:lang w:val="pt-PT"/>
        </w:rPr>
        <w:t>3 </w:t>
      </w:r>
      <w:r w:rsidRPr="00110D6C">
        <w:rPr>
          <w:rFonts w:cs="Times New Roman"/>
          <w:color w:val="auto"/>
          <w:szCs w:val="22"/>
          <w:lang w:val="pt-PT"/>
        </w:rPr>
        <w:t>em ratos.</w:t>
      </w:r>
    </w:p>
    <w:p w14:paraId="6E3AFE2A" w14:textId="77777777" w:rsidR="0043129A" w:rsidRPr="00110D6C" w:rsidRDefault="0043129A" w:rsidP="00A17623">
      <w:pPr>
        <w:widowControl/>
        <w:rPr>
          <w:rFonts w:cs="Times New Roman"/>
          <w:color w:val="auto"/>
          <w:szCs w:val="22"/>
          <w:lang w:val="pt-PT"/>
        </w:rPr>
      </w:pPr>
    </w:p>
    <w:p w14:paraId="6835792E"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Os níveis de dose em estudos em animais eram, aproximadamente, 4</w:t>
      </w:r>
      <w:r w:rsidR="00B910F9" w:rsidRPr="00110D6C">
        <w:rPr>
          <w:rFonts w:cs="Times New Roman"/>
          <w:color w:val="auto"/>
          <w:szCs w:val="22"/>
          <w:lang w:val="pt-PT"/>
        </w:rPr>
        <w:t>5 </w:t>
      </w:r>
      <w:r w:rsidRPr="00110D6C">
        <w:rPr>
          <w:rFonts w:cs="Times New Roman"/>
          <w:color w:val="auto"/>
          <w:szCs w:val="22"/>
          <w:lang w:val="pt-PT"/>
        </w:rPr>
        <w:t>vezes superiores à maior dose equivalente a ser administrada em doentes com psoríase e deram origem a concentrações séricas máximas em macacos que eram mais de 10</w:t>
      </w:r>
      <w:r w:rsidR="00B910F9" w:rsidRPr="00110D6C">
        <w:rPr>
          <w:rFonts w:cs="Times New Roman"/>
          <w:color w:val="auto"/>
          <w:szCs w:val="22"/>
          <w:lang w:val="pt-PT"/>
        </w:rPr>
        <w:t>0 </w:t>
      </w:r>
      <w:r w:rsidRPr="00110D6C">
        <w:rPr>
          <w:rFonts w:cs="Times New Roman"/>
          <w:color w:val="auto"/>
          <w:szCs w:val="22"/>
          <w:lang w:val="pt-PT"/>
        </w:rPr>
        <w:t>vezes superiores às observadas no ser humano.</w:t>
      </w:r>
    </w:p>
    <w:p w14:paraId="6676D783" w14:textId="77777777" w:rsidR="0043129A" w:rsidRPr="00110D6C" w:rsidRDefault="0043129A" w:rsidP="00A17623">
      <w:pPr>
        <w:widowControl/>
        <w:rPr>
          <w:rFonts w:cs="Times New Roman"/>
          <w:color w:val="auto"/>
          <w:szCs w:val="22"/>
          <w:lang w:val="pt-PT"/>
        </w:rPr>
      </w:pPr>
    </w:p>
    <w:p w14:paraId="7836BBD1"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Não foram realizados estudos de carcinogenicidade com ustecinumab devido à falta de modelos apropriados para um anticorpo sem reatividade cruzada para a proteína IL-12/2</w:t>
      </w:r>
      <w:r w:rsidR="00B910F9" w:rsidRPr="00110D6C">
        <w:rPr>
          <w:rFonts w:cs="Times New Roman"/>
          <w:color w:val="auto"/>
          <w:szCs w:val="22"/>
          <w:lang w:val="pt-PT"/>
        </w:rPr>
        <w:t>3 </w:t>
      </w:r>
      <w:r w:rsidRPr="00110D6C">
        <w:rPr>
          <w:rFonts w:cs="Times New Roman"/>
          <w:color w:val="auto"/>
          <w:szCs w:val="22"/>
          <w:lang w:val="pt-PT"/>
        </w:rPr>
        <w:t>p4</w:t>
      </w:r>
      <w:r w:rsidR="00B910F9" w:rsidRPr="00110D6C">
        <w:rPr>
          <w:rFonts w:cs="Times New Roman"/>
          <w:color w:val="auto"/>
          <w:szCs w:val="22"/>
          <w:lang w:val="pt-PT"/>
        </w:rPr>
        <w:t>0 </w:t>
      </w:r>
      <w:r w:rsidRPr="00110D6C">
        <w:rPr>
          <w:rFonts w:cs="Times New Roman"/>
          <w:color w:val="auto"/>
          <w:szCs w:val="22"/>
          <w:lang w:val="pt-PT"/>
        </w:rPr>
        <w:t>de roedores.</w:t>
      </w:r>
    </w:p>
    <w:p w14:paraId="66D02B19" w14:textId="77777777" w:rsidR="00DC3C01" w:rsidRPr="00110D6C" w:rsidRDefault="00DC3C01" w:rsidP="002057DA">
      <w:pPr>
        <w:widowControl/>
        <w:rPr>
          <w:rFonts w:cs="Times New Roman"/>
          <w:bCs/>
          <w:color w:val="auto"/>
          <w:szCs w:val="22"/>
          <w:lang w:val="pt-PT"/>
        </w:rPr>
      </w:pPr>
    </w:p>
    <w:p w14:paraId="5B1246C1" w14:textId="77777777" w:rsidR="00DC3C01" w:rsidRPr="00110D6C" w:rsidRDefault="00DC3C01" w:rsidP="002057DA">
      <w:pPr>
        <w:widowControl/>
        <w:rPr>
          <w:rFonts w:cs="Times New Roman"/>
          <w:bCs/>
          <w:color w:val="auto"/>
          <w:szCs w:val="22"/>
          <w:lang w:val="pt-PT"/>
        </w:rPr>
      </w:pPr>
    </w:p>
    <w:p w14:paraId="673150CC" w14:textId="77777777" w:rsidR="0077031F" w:rsidRPr="00110D6C" w:rsidRDefault="00DC3C01" w:rsidP="0068685B">
      <w:pPr>
        <w:widowControl/>
        <w:ind w:left="567" w:hanging="567"/>
        <w:rPr>
          <w:rFonts w:cs="Times New Roman"/>
          <w:color w:val="auto"/>
          <w:szCs w:val="22"/>
          <w:lang w:val="pt-PT"/>
        </w:rPr>
      </w:pPr>
      <w:r w:rsidRPr="00110D6C">
        <w:rPr>
          <w:rFonts w:cs="Times New Roman"/>
          <w:b/>
          <w:bCs/>
          <w:color w:val="auto"/>
          <w:szCs w:val="22"/>
          <w:lang w:val="pt-PT"/>
        </w:rPr>
        <w:t>6.</w:t>
      </w:r>
      <w:r w:rsidRPr="00110D6C">
        <w:rPr>
          <w:rFonts w:cs="Times New Roman"/>
          <w:b/>
          <w:bCs/>
          <w:color w:val="auto"/>
          <w:szCs w:val="22"/>
          <w:lang w:val="pt-PT"/>
        </w:rPr>
        <w:tab/>
      </w:r>
      <w:r w:rsidR="00030085" w:rsidRPr="00110D6C">
        <w:rPr>
          <w:rFonts w:cs="Times New Roman"/>
          <w:b/>
          <w:bCs/>
          <w:color w:val="auto"/>
          <w:szCs w:val="22"/>
          <w:lang w:val="pt-PT"/>
        </w:rPr>
        <w:t>INFORMAÇÕES FARMACÊUTICAS</w:t>
      </w:r>
    </w:p>
    <w:p w14:paraId="69F59785" w14:textId="77777777" w:rsidR="00DC3C01" w:rsidRPr="00110D6C" w:rsidRDefault="00DC3C01" w:rsidP="002057DA">
      <w:pPr>
        <w:widowControl/>
        <w:rPr>
          <w:rFonts w:cs="Times New Roman"/>
          <w:bCs/>
          <w:color w:val="auto"/>
          <w:szCs w:val="22"/>
          <w:lang w:val="pt-PT"/>
        </w:rPr>
      </w:pPr>
      <w:bookmarkStart w:id="16" w:name="bookmark30"/>
    </w:p>
    <w:p w14:paraId="0DC2BB5C"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6.1</w:t>
      </w:r>
      <w:r w:rsidRPr="00110D6C">
        <w:rPr>
          <w:rFonts w:cs="Times New Roman"/>
          <w:b/>
          <w:bCs/>
          <w:color w:val="auto"/>
          <w:szCs w:val="22"/>
          <w:lang w:val="pt-PT"/>
        </w:rPr>
        <w:tab/>
      </w:r>
      <w:r w:rsidR="00030085" w:rsidRPr="00110D6C">
        <w:rPr>
          <w:rFonts w:cs="Times New Roman"/>
          <w:b/>
          <w:bCs/>
          <w:color w:val="auto"/>
          <w:szCs w:val="22"/>
          <w:lang w:val="pt-PT"/>
        </w:rPr>
        <w:t>Lista dos excipientes</w:t>
      </w:r>
      <w:bookmarkEnd w:id="16"/>
    </w:p>
    <w:p w14:paraId="029A7D6F" w14:textId="77777777" w:rsidR="0043129A" w:rsidRPr="00110D6C" w:rsidRDefault="0043129A" w:rsidP="00A17623">
      <w:pPr>
        <w:widowControl/>
        <w:rPr>
          <w:rFonts w:cs="Times New Roman"/>
          <w:color w:val="auto"/>
          <w:szCs w:val="22"/>
          <w:lang w:val="pt-PT"/>
        </w:rPr>
      </w:pPr>
    </w:p>
    <w:p w14:paraId="7BCAC9F6" w14:textId="63E31605" w:rsidR="0077031F" w:rsidRPr="00110D6C" w:rsidRDefault="00030085" w:rsidP="00A17623">
      <w:pPr>
        <w:widowControl/>
        <w:rPr>
          <w:rFonts w:cs="Times New Roman"/>
          <w:color w:val="auto"/>
          <w:szCs w:val="22"/>
          <w:lang w:val="pt-PT"/>
        </w:rPr>
      </w:pPr>
      <w:r w:rsidRPr="00110D6C">
        <w:rPr>
          <w:rFonts w:cs="Times New Roman"/>
          <w:color w:val="auto"/>
          <w:szCs w:val="22"/>
          <w:lang w:val="pt-PT"/>
        </w:rPr>
        <w:t>EDTA sal dissódico di-hidratado</w:t>
      </w:r>
    </w:p>
    <w:p w14:paraId="2DB2DCE1" w14:textId="077DDD09" w:rsidR="0077031F" w:rsidRPr="00110D6C" w:rsidRDefault="00030085" w:rsidP="00A17623">
      <w:pPr>
        <w:widowControl/>
        <w:rPr>
          <w:rFonts w:cs="Times New Roman"/>
          <w:color w:val="auto"/>
          <w:szCs w:val="22"/>
          <w:lang w:val="pt-PT"/>
        </w:rPr>
      </w:pPr>
      <w:r w:rsidRPr="00110D6C">
        <w:rPr>
          <w:rFonts w:cs="Times New Roman"/>
          <w:color w:val="auto"/>
          <w:szCs w:val="22"/>
          <w:lang w:val="pt-PT"/>
        </w:rPr>
        <w:t>L</w:t>
      </w:r>
      <w:r w:rsidR="0074505B">
        <w:rPr>
          <w:rFonts w:cs="Times New Roman"/>
          <w:color w:val="auto"/>
          <w:szCs w:val="22"/>
          <w:lang w:val="pt-PT"/>
        </w:rPr>
        <w:noBreakHyphen/>
      </w:r>
      <w:r w:rsidRPr="00110D6C">
        <w:rPr>
          <w:rFonts w:cs="Times New Roman"/>
          <w:color w:val="auto"/>
          <w:szCs w:val="22"/>
          <w:lang w:val="pt-PT"/>
        </w:rPr>
        <w:t>histidina</w:t>
      </w:r>
    </w:p>
    <w:p w14:paraId="41D06D8B" w14:textId="0295547A" w:rsidR="0077031F" w:rsidRPr="00110D6C" w:rsidRDefault="00030085" w:rsidP="00A17623">
      <w:pPr>
        <w:widowControl/>
        <w:rPr>
          <w:rFonts w:cs="Times New Roman"/>
          <w:color w:val="auto"/>
          <w:szCs w:val="22"/>
          <w:lang w:val="pt-PT"/>
        </w:rPr>
      </w:pPr>
      <w:r w:rsidRPr="00110D6C">
        <w:rPr>
          <w:rFonts w:cs="Times New Roman"/>
          <w:color w:val="auto"/>
          <w:szCs w:val="22"/>
          <w:lang w:val="pt-PT"/>
        </w:rPr>
        <w:t>Monocloridrato de L</w:t>
      </w:r>
      <w:r w:rsidR="0074505B">
        <w:rPr>
          <w:rFonts w:cs="Times New Roman"/>
          <w:color w:val="auto"/>
          <w:szCs w:val="22"/>
          <w:lang w:val="pt-PT"/>
        </w:rPr>
        <w:noBreakHyphen/>
      </w:r>
      <w:r w:rsidRPr="00110D6C">
        <w:rPr>
          <w:rFonts w:cs="Times New Roman"/>
          <w:color w:val="auto"/>
          <w:szCs w:val="22"/>
          <w:lang w:val="pt-PT"/>
        </w:rPr>
        <w:t>histidina mono-hidratado</w:t>
      </w:r>
    </w:p>
    <w:p w14:paraId="7407441C" w14:textId="35D67442" w:rsidR="0077031F" w:rsidRPr="00110D6C" w:rsidRDefault="00030085" w:rsidP="00A17623">
      <w:pPr>
        <w:widowControl/>
        <w:rPr>
          <w:rFonts w:cs="Times New Roman"/>
          <w:color w:val="auto"/>
          <w:szCs w:val="22"/>
          <w:lang w:val="pt-PT"/>
        </w:rPr>
      </w:pPr>
      <w:r w:rsidRPr="00110D6C">
        <w:rPr>
          <w:rFonts w:cs="Times New Roman"/>
          <w:color w:val="auto"/>
          <w:szCs w:val="22"/>
          <w:lang w:val="pt-PT"/>
        </w:rPr>
        <w:t>L</w:t>
      </w:r>
      <w:r w:rsidR="0074505B">
        <w:rPr>
          <w:rFonts w:cs="Times New Roman"/>
          <w:color w:val="auto"/>
          <w:szCs w:val="22"/>
          <w:lang w:val="pt-PT"/>
        </w:rPr>
        <w:noBreakHyphen/>
      </w:r>
      <w:r w:rsidRPr="00110D6C">
        <w:rPr>
          <w:rFonts w:cs="Times New Roman"/>
          <w:color w:val="auto"/>
          <w:szCs w:val="22"/>
          <w:lang w:val="pt-PT"/>
        </w:rPr>
        <w:t>metionina</w:t>
      </w:r>
    </w:p>
    <w:p w14:paraId="55CCE579" w14:textId="0B7F074E" w:rsidR="0077031F" w:rsidRPr="00110D6C" w:rsidRDefault="00030085" w:rsidP="00A17623">
      <w:pPr>
        <w:widowControl/>
        <w:rPr>
          <w:rFonts w:cs="Times New Roman"/>
          <w:color w:val="auto"/>
          <w:szCs w:val="22"/>
          <w:lang w:val="pt-PT"/>
        </w:rPr>
      </w:pPr>
      <w:r w:rsidRPr="00110D6C">
        <w:rPr>
          <w:rFonts w:cs="Times New Roman"/>
          <w:color w:val="auto"/>
          <w:szCs w:val="22"/>
          <w:lang w:val="pt-PT"/>
        </w:rPr>
        <w:t>Polissorbato 80</w:t>
      </w:r>
      <w:r w:rsidR="005C68E7">
        <w:rPr>
          <w:iCs/>
        </w:rPr>
        <w:t xml:space="preserve"> (E433)</w:t>
      </w:r>
    </w:p>
    <w:p w14:paraId="308C442D"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Sacarose</w:t>
      </w:r>
    </w:p>
    <w:p w14:paraId="1020376F"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Água para preparações injetáveis</w:t>
      </w:r>
    </w:p>
    <w:p w14:paraId="3EFB62EF" w14:textId="77777777" w:rsidR="00DC3C01" w:rsidRPr="00110D6C" w:rsidRDefault="00DC3C01" w:rsidP="002057DA">
      <w:pPr>
        <w:widowControl/>
        <w:rPr>
          <w:rFonts w:cs="Times New Roman"/>
          <w:bCs/>
          <w:color w:val="auto"/>
          <w:szCs w:val="22"/>
          <w:lang w:val="pt-PT"/>
        </w:rPr>
      </w:pPr>
      <w:bookmarkStart w:id="17" w:name="bookmark32"/>
    </w:p>
    <w:p w14:paraId="4D0F3AD9"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6.2</w:t>
      </w:r>
      <w:r w:rsidRPr="00110D6C">
        <w:rPr>
          <w:rFonts w:cs="Times New Roman"/>
          <w:b/>
          <w:bCs/>
          <w:color w:val="auto"/>
          <w:szCs w:val="22"/>
          <w:lang w:val="pt-PT"/>
        </w:rPr>
        <w:tab/>
      </w:r>
      <w:r w:rsidR="00030085" w:rsidRPr="00110D6C">
        <w:rPr>
          <w:rFonts w:cs="Times New Roman"/>
          <w:b/>
          <w:bCs/>
          <w:color w:val="auto"/>
          <w:szCs w:val="22"/>
          <w:lang w:val="pt-PT"/>
        </w:rPr>
        <w:t>Incompatibilidades</w:t>
      </w:r>
      <w:bookmarkEnd w:id="17"/>
    </w:p>
    <w:p w14:paraId="5C51705F" w14:textId="77777777" w:rsidR="0043129A" w:rsidRPr="00110D6C" w:rsidRDefault="0043129A" w:rsidP="00A17623">
      <w:pPr>
        <w:widowControl/>
        <w:rPr>
          <w:rFonts w:cs="Times New Roman"/>
          <w:color w:val="auto"/>
          <w:szCs w:val="22"/>
          <w:lang w:val="pt-PT"/>
        </w:rPr>
      </w:pPr>
    </w:p>
    <w:p w14:paraId="49C0C2BF" w14:textId="63E353CE" w:rsidR="002B7F8B" w:rsidRDefault="00030085" w:rsidP="00A17623">
      <w:pPr>
        <w:widowControl/>
        <w:rPr>
          <w:rFonts w:cs="Times New Roman"/>
          <w:color w:val="auto"/>
          <w:szCs w:val="22"/>
          <w:lang w:val="pt-PT"/>
        </w:rPr>
      </w:pPr>
      <w:r w:rsidRPr="00110D6C">
        <w:rPr>
          <w:rFonts w:cs="Times New Roman"/>
          <w:color w:val="auto"/>
          <w:szCs w:val="22"/>
          <w:lang w:val="pt-PT"/>
        </w:rPr>
        <w:t xml:space="preserve">Na ausência de estudos de compatibilidade, este medicamento não deve ser misturado com outros medicamentos. </w:t>
      </w:r>
      <w:r w:rsidR="00D05FE6" w:rsidRPr="00110D6C">
        <w:rPr>
          <w:rFonts w:cs="Times New Roman"/>
          <w:color w:val="auto"/>
          <w:szCs w:val="22"/>
          <w:lang w:val="pt-PT"/>
        </w:rPr>
        <w:t>F</w:t>
      </w:r>
      <w:r w:rsidR="002B7F8B" w:rsidRPr="00110D6C">
        <w:rPr>
          <w:rFonts w:cs="Times New Roman"/>
          <w:color w:val="auto"/>
          <w:szCs w:val="22"/>
          <w:lang w:val="pt-PT"/>
        </w:rPr>
        <w:t>ymskina</w:t>
      </w:r>
      <w:r w:rsidRPr="00110D6C">
        <w:rPr>
          <w:rFonts w:cs="Times New Roman"/>
          <w:color w:val="auto"/>
          <w:szCs w:val="22"/>
          <w:lang w:val="pt-PT"/>
        </w:rPr>
        <w:t xml:space="preserve"> apenas pode ser diluído com uma solução de cloreto de sódio a </w:t>
      </w:r>
      <w:r w:rsidR="00B910F9" w:rsidRPr="00110D6C">
        <w:rPr>
          <w:rFonts w:cs="Times New Roman"/>
          <w:color w:val="auto"/>
          <w:szCs w:val="22"/>
          <w:lang w:val="pt-PT"/>
        </w:rPr>
        <w:t>9 </w:t>
      </w:r>
      <w:r w:rsidRPr="00110D6C">
        <w:rPr>
          <w:rFonts w:cs="Times New Roman"/>
          <w:color w:val="auto"/>
          <w:szCs w:val="22"/>
          <w:lang w:val="pt-PT"/>
        </w:rPr>
        <w:t>mg/ml (0,9%).</w:t>
      </w:r>
    </w:p>
    <w:p w14:paraId="3B50C8AD" w14:textId="1ACD1C3B" w:rsidR="0077031F" w:rsidRPr="00110D6C" w:rsidRDefault="00D05FE6" w:rsidP="00A17623">
      <w:pPr>
        <w:widowControl/>
        <w:rPr>
          <w:rFonts w:cs="Times New Roman"/>
          <w:color w:val="auto"/>
          <w:szCs w:val="22"/>
          <w:lang w:val="pt-PT"/>
        </w:rPr>
      </w:pPr>
      <w:r w:rsidRPr="00110D6C">
        <w:rPr>
          <w:rFonts w:cs="Times New Roman"/>
          <w:color w:val="auto"/>
          <w:szCs w:val="22"/>
          <w:lang w:val="pt-PT"/>
        </w:rPr>
        <w:t>F</w:t>
      </w:r>
      <w:r w:rsidR="002B7F8B" w:rsidRPr="00110D6C">
        <w:rPr>
          <w:rFonts w:cs="Times New Roman"/>
          <w:color w:val="auto"/>
          <w:szCs w:val="22"/>
          <w:lang w:val="pt-PT"/>
        </w:rPr>
        <w:t>ymskina</w:t>
      </w:r>
      <w:r w:rsidR="00030085" w:rsidRPr="00110D6C">
        <w:rPr>
          <w:rFonts w:cs="Times New Roman"/>
          <w:color w:val="auto"/>
          <w:szCs w:val="22"/>
          <w:lang w:val="pt-PT"/>
        </w:rPr>
        <w:t xml:space="preserve"> não deve ser administrado concomitantemente na mesma linha intravenosa com outros medicamentos.</w:t>
      </w:r>
    </w:p>
    <w:p w14:paraId="252F585C" w14:textId="77777777" w:rsidR="00DC3C01" w:rsidRPr="00110D6C" w:rsidRDefault="00DC3C01" w:rsidP="002057DA">
      <w:pPr>
        <w:widowControl/>
        <w:rPr>
          <w:rFonts w:cs="Times New Roman"/>
          <w:bCs/>
          <w:color w:val="auto"/>
          <w:szCs w:val="22"/>
          <w:lang w:val="pt-PT"/>
        </w:rPr>
      </w:pPr>
      <w:bookmarkStart w:id="18" w:name="bookmark34"/>
    </w:p>
    <w:p w14:paraId="245D8E27"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6.3</w:t>
      </w:r>
      <w:r w:rsidRPr="00110D6C">
        <w:rPr>
          <w:rFonts w:cs="Times New Roman"/>
          <w:b/>
          <w:bCs/>
          <w:color w:val="auto"/>
          <w:szCs w:val="22"/>
          <w:lang w:val="pt-PT"/>
        </w:rPr>
        <w:tab/>
      </w:r>
      <w:r w:rsidR="00030085" w:rsidRPr="00110D6C">
        <w:rPr>
          <w:rFonts w:cs="Times New Roman"/>
          <w:b/>
          <w:bCs/>
          <w:color w:val="auto"/>
          <w:szCs w:val="22"/>
          <w:lang w:val="pt-PT"/>
        </w:rPr>
        <w:t>Prazo de validade</w:t>
      </w:r>
      <w:bookmarkEnd w:id="18"/>
    </w:p>
    <w:p w14:paraId="342321A5" w14:textId="77777777" w:rsidR="0043129A" w:rsidRPr="00110D6C" w:rsidRDefault="0043129A" w:rsidP="00A17623">
      <w:pPr>
        <w:widowControl/>
        <w:rPr>
          <w:rFonts w:cs="Times New Roman"/>
          <w:color w:val="auto"/>
          <w:szCs w:val="22"/>
          <w:lang w:val="pt-PT"/>
        </w:rPr>
      </w:pPr>
    </w:p>
    <w:p w14:paraId="42CE889D" w14:textId="1BE8EF2A" w:rsidR="0077031F" w:rsidRPr="00110D6C" w:rsidRDefault="00297D5C" w:rsidP="00A17623">
      <w:pPr>
        <w:widowControl/>
        <w:rPr>
          <w:rFonts w:cs="Times New Roman"/>
          <w:color w:val="auto"/>
          <w:szCs w:val="22"/>
          <w:lang w:val="pt-PT"/>
        </w:rPr>
      </w:pPr>
      <w:r>
        <w:rPr>
          <w:rFonts w:cs="Times New Roman"/>
          <w:color w:val="auto"/>
          <w:szCs w:val="22"/>
          <w:lang w:val="pt-PT"/>
        </w:rPr>
        <w:t>3</w:t>
      </w:r>
      <w:r w:rsidR="00B910F9" w:rsidRPr="00110D6C">
        <w:rPr>
          <w:rFonts w:cs="Times New Roman"/>
          <w:color w:val="auto"/>
          <w:szCs w:val="22"/>
          <w:lang w:val="pt-PT"/>
        </w:rPr>
        <w:t> </w:t>
      </w:r>
      <w:r w:rsidR="00030085" w:rsidRPr="00110D6C">
        <w:rPr>
          <w:rFonts w:cs="Times New Roman"/>
          <w:color w:val="auto"/>
          <w:szCs w:val="22"/>
          <w:lang w:val="pt-PT"/>
        </w:rPr>
        <w:t>anos.</w:t>
      </w:r>
    </w:p>
    <w:p w14:paraId="085BC86E"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Não congelar.</w:t>
      </w:r>
    </w:p>
    <w:p w14:paraId="4424CBD3" w14:textId="77777777" w:rsidR="0043129A" w:rsidRPr="00110D6C" w:rsidRDefault="0043129A" w:rsidP="00A17623">
      <w:pPr>
        <w:widowControl/>
        <w:rPr>
          <w:rFonts w:cs="Times New Roman"/>
          <w:color w:val="auto"/>
          <w:szCs w:val="22"/>
          <w:lang w:val="pt-PT"/>
        </w:rPr>
      </w:pPr>
    </w:p>
    <w:p w14:paraId="52AC2967" w14:textId="2701B72D"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 estabilidade química e física durante a utilização foi demonstrada durante </w:t>
      </w:r>
      <w:r w:rsidR="002B7F8B">
        <w:rPr>
          <w:rFonts w:cs="Times New Roman"/>
          <w:color w:val="auto"/>
          <w:szCs w:val="22"/>
          <w:lang w:val="pt-PT"/>
        </w:rPr>
        <w:t>24</w:t>
      </w:r>
      <w:r w:rsidR="00B910F9" w:rsidRPr="00110D6C">
        <w:rPr>
          <w:rFonts w:cs="Times New Roman"/>
          <w:color w:val="auto"/>
          <w:szCs w:val="22"/>
          <w:lang w:val="pt-PT"/>
        </w:rPr>
        <w:t> </w:t>
      </w:r>
      <w:r w:rsidRPr="00110D6C">
        <w:rPr>
          <w:rFonts w:cs="Times New Roman"/>
          <w:color w:val="auto"/>
          <w:szCs w:val="22"/>
          <w:lang w:val="pt-PT"/>
        </w:rPr>
        <w:t>horas a 15</w:t>
      </w:r>
      <w:r w:rsidR="002B7F8B">
        <w:rPr>
          <w:rFonts w:cs="Times New Roman"/>
          <w:color w:val="auto"/>
          <w:szCs w:val="22"/>
          <w:lang w:val="pt-PT"/>
        </w:rPr>
        <w:t> </w:t>
      </w:r>
      <w:r w:rsidR="002B7F8B" w:rsidRPr="00110D6C">
        <w:rPr>
          <w:rFonts w:cs="Times New Roman"/>
          <w:color w:val="auto"/>
          <w:szCs w:val="22"/>
          <w:lang w:val="pt-PT"/>
        </w:rPr>
        <w:t>°C</w:t>
      </w:r>
      <w:r w:rsidRPr="00110D6C">
        <w:rPr>
          <w:rFonts w:cs="Times New Roman"/>
          <w:color w:val="auto"/>
          <w:szCs w:val="22"/>
          <w:lang w:val="pt-PT"/>
        </w:rPr>
        <w:t>-25</w:t>
      </w:r>
      <w:r w:rsidR="002B7F8B">
        <w:rPr>
          <w:rFonts w:cs="Times New Roman"/>
          <w:color w:val="auto"/>
          <w:szCs w:val="22"/>
          <w:lang w:val="pt-PT"/>
        </w:rPr>
        <w:t> </w:t>
      </w:r>
      <w:r w:rsidRPr="00110D6C">
        <w:rPr>
          <w:rFonts w:cs="Times New Roman"/>
          <w:color w:val="auto"/>
          <w:szCs w:val="22"/>
          <w:lang w:val="pt-PT"/>
        </w:rPr>
        <w:t>°C.</w:t>
      </w:r>
    </w:p>
    <w:p w14:paraId="575D5F6C" w14:textId="77777777" w:rsidR="002B7F8B" w:rsidRPr="00AD342C" w:rsidRDefault="002B7F8B" w:rsidP="002B7F8B">
      <w:pPr>
        <w:widowControl/>
        <w:rPr>
          <w:rFonts w:cs="Times New Roman"/>
          <w:color w:val="auto"/>
          <w:szCs w:val="22"/>
          <w:lang w:val="pt-PT"/>
        </w:rPr>
      </w:pPr>
    </w:p>
    <w:p w14:paraId="3422A34E" w14:textId="77777777" w:rsidR="002B7F8B" w:rsidRPr="00AD342C" w:rsidRDefault="002B7F8B" w:rsidP="002B7F8B">
      <w:pPr>
        <w:widowControl/>
        <w:rPr>
          <w:rFonts w:cs="Times New Roman"/>
          <w:color w:val="auto"/>
          <w:szCs w:val="22"/>
          <w:lang w:val="pt-PT"/>
        </w:rPr>
      </w:pPr>
      <w:r w:rsidRPr="00AD342C">
        <w:rPr>
          <w:rFonts w:cs="Times New Roman"/>
          <w:color w:val="auto"/>
          <w:szCs w:val="22"/>
          <w:lang w:val="pt-PT"/>
        </w:rPr>
        <w:t>Não voltar a colocar no frigorífico após a diluição.</w:t>
      </w:r>
    </w:p>
    <w:p w14:paraId="31BD46C2" w14:textId="77777777" w:rsidR="0043129A" w:rsidRPr="00110D6C" w:rsidRDefault="0043129A" w:rsidP="00A17623">
      <w:pPr>
        <w:widowControl/>
        <w:rPr>
          <w:rFonts w:cs="Times New Roman"/>
          <w:color w:val="auto"/>
          <w:szCs w:val="22"/>
          <w:lang w:val="pt-PT"/>
        </w:rPr>
      </w:pPr>
    </w:p>
    <w:p w14:paraId="4550615C"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lastRenderedPageBreak/>
        <w:t>Sob o ponto de vista microbiológico, a menos que o método de diluição evite o risco de contaminação microbiana, o medicamento deve ser utilizado de imediato. Se não for utilizado de imediato, a duração e as condições de conservação são da responsabilidade do utilizador.</w:t>
      </w:r>
    </w:p>
    <w:p w14:paraId="37B3DAF1" w14:textId="77777777" w:rsidR="00DC3C01" w:rsidRPr="00110D6C" w:rsidRDefault="00DC3C01" w:rsidP="002057DA">
      <w:pPr>
        <w:widowControl/>
        <w:rPr>
          <w:rFonts w:cs="Times New Roman"/>
          <w:bCs/>
          <w:color w:val="auto"/>
          <w:szCs w:val="22"/>
          <w:lang w:val="pt-PT"/>
        </w:rPr>
      </w:pPr>
      <w:bookmarkStart w:id="19" w:name="bookmark36"/>
    </w:p>
    <w:p w14:paraId="09E32533"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6.4</w:t>
      </w:r>
      <w:r w:rsidRPr="00110D6C">
        <w:rPr>
          <w:rFonts w:cs="Times New Roman"/>
          <w:b/>
          <w:bCs/>
          <w:color w:val="auto"/>
          <w:szCs w:val="22"/>
          <w:lang w:val="pt-PT"/>
        </w:rPr>
        <w:tab/>
      </w:r>
      <w:r w:rsidR="00030085" w:rsidRPr="00110D6C">
        <w:rPr>
          <w:rFonts w:cs="Times New Roman"/>
          <w:b/>
          <w:bCs/>
          <w:color w:val="auto"/>
          <w:szCs w:val="22"/>
          <w:lang w:val="pt-PT"/>
        </w:rPr>
        <w:t>Precauções especiais de conservação</w:t>
      </w:r>
      <w:bookmarkEnd w:id="19"/>
    </w:p>
    <w:p w14:paraId="6A16BA3D" w14:textId="77777777" w:rsidR="0043129A" w:rsidRPr="00110D6C" w:rsidRDefault="0043129A" w:rsidP="00A17623">
      <w:pPr>
        <w:widowControl/>
        <w:rPr>
          <w:rFonts w:cs="Times New Roman"/>
          <w:color w:val="auto"/>
          <w:szCs w:val="22"/>
          <w:lang w:val="pt-PT"/>
        </w:rPr>
      </w:pPr>
    </w:p>
    <w:p w14:paraId="04F3B684" w14:textId="07DCFBF6" w:rsidR="0077031F" w:rsidRPr="00110D6C" w:rsidRDefault="00030085" w:rsidP="00A17623">
      <w:pPr>
        <w:widowControl/>
        <w:rPr>
          <w:rFonts w:cs="Times New Roman"/>
          <w:color w:val="auto"/>
          <w:szCs w:val="22"/>
          <w:lang w:val="pt-PT"/>
        </w:rPr>
      </w:pPr>
      <w:r w:rsidRPr="00110D6C">
        <w:rPr>
          <w:rFonts w:cs="Times New Roman"/>
          <w:color w:val="auto"/>
          <w:szCs w:val="22"/>
          <w:lang w:val="pt-PT"/>
        </w:rPr>
        <w:t>Conservar no frigorífico (2</w:t>
      </w:r>
      <w:r w:rsidR="002B7F8B">
        <w:rPr>
          <w:rFonts w:cs="Times New Roman"/>
          <w:color w:val="auto"/>
          <w:szCs w:val="22"/>
          <w:lang w:val="pt-PT"/>
        </w:rPr>
        <w:t> </w:t>
      </w:r>
      <w:r w:rsidRPr="00110D6C">
        <w:rPr>
          <w:rFonts w:cs="Times New Roman"/>
          <w:color w:val="auto"/>
          <w:szCs w:val="22"/>
          <w:lang w:val="pt-PT"/>
        </w:rPr>
        <w:t>°C-8</w:t>
      </w:r>
      <w:r w:rsidR="002B7F8B">
        <w:rPr>
          <w:rFonts w:cs="Times New Roman"/>
          <w:color w:val="auto"/>
          <w:szCs w:val="22"/>
          <w:lang w:val="pt-PT"/>
        </w:rPr>
        <w:t> </w:t>
      </w:r>
      <w:r w:rsidRPr="00110D6C">
        <w:rPr>
          <w:rFonts w:cs="Times New Roman"/>
          <w:color w:val="auto"/>
          <w:szCs w:val="22"/>
          <w:lang w:val="pt-PT"/>
        </w:rPr>
        <w:t>°C). Não congelar.</w:t>
      </w:r>
    </w:p>
    <w:p w14:paraId="14AD9F34"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Manter o frasco para injetáveis dentro da embalagem exterior para proteger da luz.</w:t>
      </w:r>
    </w:p>
    <w:p w14:paraId="63C138AC" w14:textId="77777777" w:rsidR="0043129A" w:rsidRPr="00110D6C" w:rsidRDefault="0043129A" w:rsidP="00A17623">
      <w:pPr>
        <w:widowControl/>
        <w:rPr>
          <w:rFonts w:cs="Times New Roman"/>
          <w:color w:val="auto"/>
          <w:szCs w:val="22"/>
          <w:lang w:val="pt-PT"/>
        </w:rPr>
      </w:pPr>
    </w:p>
    <w:p w14:paraId="06A813D3"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Para condições de conservação após a diluição do medicamento,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6.3.</w:t>
      </w:r>
    </w:p>
    <w:p w14:paraId="790D4A5C" w14:textId="77777777" w:rsidR="00DC3C01" w:rsidRPr="00110D6C" w:rsidRDefault="00DC3C01" w:rsidP="002057DA">
      <w:pPr>
        <w:widowControl/>
        <w:rPr>
          <w:rFonts w:cs="Times New Roman"/>
          <w:bCs/>
          <w:color w:val="auto"/>
          <w:szCs w:val="22"/>
          <w:lang w:val="pt-PT"/>
        </w:rPr>
      </w:pPr>
      <w:bookmarkStart w:id="20" w:name="bookmark38"/>
    </w:p>
    <w:p w14:paraId="0DEA9AEB"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6.5</w:t>
      </w:r>
      <w:r w:rsidRPr="00110D6C">
        <w:rPr>
          <w:rFonts w:cs="Times New Roman"/>
          <w:b/>
          <w:bCs/>
          <w:color w:val="auto"/>
          <w:szCs w:val="22"/>
          <w:lang w:val="pt-PT"/>
        </w:rPr>
        <w:tab/>
      </w:r>
      <w:r w:rsidR="00030085" w:rsidRPr="00110D6C">
        <w:rPr>
          <w:rFonts w:cs="Times New Roman"/>
          <w:b/>
          <w:bCs/>
          <w:color w:val="auto"/>
          <w:szCs w:val="22"/>
          <w:lang w:val="pt-PT"/>
        </w:rPr>
        <w:t>Natureza e conteúdo do recipiente</w:t>
      </w:r>
      <w:bookmarkEnd w:id="20"/>
    </w:p>
    <w:p w14:paraId="7C45E7A2" w14:textId="77777777" w:rsidR="0043129A" w:rsidRPr="00110D6C" w:rsidRDefault="0043129A" w:rsidP="00A17623">
      <w:pPr>
        <w:widowControl/>
        <w:rPr>
          <w:rFonts w:cs="Times New Roman"/>
          <w:color w:val="auto"/>
          <w:szCs w:val="22"/>
          <w:lang w:val="pt-PT"/>
        </w:rPr>
      </w:pPr>
    </w:p>
    <w:p w14:paraId="20D42FE2" w14:textId="46A2FCAE" w:rsidR="0077031F" w:rsidRPr="00110D6C" w:rsidRDefault="00030085" w:rsidP="00A17623">
      <w:pPr>
        <w:widowControl/>
        <w:rPr>
          <w:rFonts w:cs="Times New Roman"/>
          <w:color w:val="auto"/>
          <w:szCs w:val="22"/>
          <w:lang w:val="pt-PT"/>
        </w:rPr>
      </w:pPr>
      <w:r w:rsidRPr="00110D6C">
        <w:rPr>
          <w:rFonts w:cs="Times New Roman"/>
          <w:color w:val="auto"/>
          <w:szCs w:val="22"/>
          <w:lang w:val="pt-PT"/>
        </w:rPr>
        <w:t>2</w:t>
      </w:r>
      <w:r w:rsidR="00B910F9" w:rsidRPr="00110D6C">
        <w:rPr>
          <w:rFonts w:cs="Times New Roman"/>
          <w:color w:val="auto"/>
          <w:szCs w:val="22"/>
          <w:lang w:val="pt-PT"/>
        </w:rPr>
        <w:t>6 </w:t>
      </w:r>
      <w:r w:rsidRPr="00110D6C">
        <w:rPr>
          <w:rFonts w:cs="Times New Roman"/>
          <w:color w:val="auto"/>
          <w:szCs w:val="22"/>
          <w:lang w:val="pt-PT"/>
        </w:rPr>
        <w:t>ml de solução num frasco para injetáveis de vidro tipo</w:t>
      </w:r>
      <w:r w:rsidR="00450C97">
        <w:rPr>
          <w:rFonts w:cs="Times New Roman"/>
          <w:color w:val="auto"/>
          <w:szCs w:val="22"/>
          <w:lang w:val="pt-PT"/>
        </w:rPr>
        <w:t> </w:t>
      </w:r>
      <w:r w:rsidRPr="00110D6C">
        <w:rPr>
          <w:rFonts w:cs="Times New Roman"/>
          <w:color w:val="auto"/>
          <w:szCs w:val="22"/>
          <w:lang w:val="pt-PT"/>
        </w:rPr>
        <w:t>I de 3</w:t>
      </w:r>
      <w:r w:rsidR="00B910F9" w:rsidRPr="00110D6C">
        <w:rPr>
          <w:rFonts w:cs="Times New Roman"/>
          <w:color w:val="auto"/>
          <w:szCs w:val="22"/>
          <w:lang w:val="pt-PT"/>
        </w:rPr>
        <w:t>0 </w:t>
      </w:r>
      <w:r w:rsidRPr="00110D6C">
        <w:rPr>
          <w:rFonts w:cs="Times New Roman"/>
          <w:color w:val="auto"/>
          <w:szCs w:val="22"/>
          <w:lang w:val="pt-PT"/>
        </w:rPr>
        <w:t xml:space="preserve">ml, fechado com uma rolha revestida com borracha </w:t>
      </w:r>
      <w:r w:rsidR="002B7F8B" w:rsidRPr="00AD342C">
        <w:rPr>
          <w:rFonts w:cs="Times New Roman"/>
          <w:color w:val="auto"/>
          <w:szCs w:val="22"/>
          <w:lang w:val="pt-PT"/>
        </w:rPr>
        <w:t>bromobutílica</w:t>
      </w:r>
      <w:r w:rsidRPr="00110D6C">
        <w:rPr>
          <w:rFonts w:cs="Times New Roman"/>
          <w:color w:val="auto"/>
          <w:szCs w:val="22"/>
          <w:lang w:val="pt-PT"/>
        </w:rPr>
        <w:t xml:space="preserve">. </w:t>
      </w:r>
      <w:r w:rsidR="00D05FE6" w:rsidRPr="00110D6C">
        <w:rPr>
          <w:rFonts w:cs="Times New Roman"/>
          <w:color w:val="auto"/>
          <w:szCs w:val="22"/>
          <w:lang w:val="pt-PT"/>
        </w:rPr>
        <w:t>F</w:t>
      </w:r>
      <w:r w:rsidR="002B7F8B" w:rsidRPr="00110D6C">
        <w:rPr>
          <w:rFonts w:cs="Times New Roman"/>
          <w:color w:val="auto"/>
          <w:szCs w:val="22"/>
          <w:lang w:val="pt-PT"/>
        </w:rPr>
        <w:t>ymskina</w:t>
      </w:r>
      <w:r w:rsidRPr="00110D6C">
        <w:rPr>
          <w:rFonts w:cs="Times New Roman"/>
          <w:color w:val="auto"/>
          <w:szCs w:val="22"/>
          <w:lang w:val="pt-PT"/>
        </w:rPr>
        <w:t xml:space="preserve"> está disponível numa embalagem com </w:t>
      </w:r>
      <w:r w:rsidR="00B910F9" w:rsidRPr="00110D6C">
        <w:rPr>
          <w:rFonts w:cs="Times New Roman"/>
          <w:color w:val="auto"/>
          <w:szCs w:val="22"/>
          <w:lang w:val="pt-PT"/>
        </w:rPr>
        <w:t>1 </w:t>
      </w:r>
      <w:r w:rsidRPr="00110D6C">
        <w:rPr>
          <w:rFonts w:cs="Times New Roman"/>
          <w:color w:val="auto"/>
          <w:szCs w:val="22"/>
          <w:lang w:val="pt-PT"/>
        </w:rPr>
        <w:t>frasco para injetáveis.</w:t>
      </w:r>
    </w:p>
    <w:p w14:paraId="073DB8A9" w14:textId="77777777" w:rsidR="00DC3C01" w:rsidRPr="00110D6C" w:rsidRDefault="00DC3C01" w:rsidP="002057DA">
      <w:pPr>
        <w:widowControl/>
        <w:rPr>
          <w:rFonts w:cs="Times New Roman"/>
          <w:bCs/>
          <w:color w:val="auto"/>
          <w:szCs w:val="22"/>
          <w:lang w:val="pt-PT"/>
        </w:rPr>
      </w:pPr>
      <w:bookmarkStart w:id="21" w:name="bookmark40"/>
    </w:p>
    <w:p w14:paraId="65E1F0C7"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6.6</w:t>
      </w:r>
      <w:r w:rsidRPr="00110D6C">
        <w:rPr>
          <w:rFonts w:cs="Times New Roman"/>
          <w:b/>
          <w:bCs/>
          <w:color w:val="auto"/>
          <w:szCs w:val="22"/>
          <w:lang w:val="pt-PT"/>
        </w:rPr>
        <w:tab/>
      </w:r>
      <w:r w:rsidR="00030085" w:rsidRPr="00110D6C">
        <w:rPr>
          <w:rFonts w:cs="Times New Roman"/>
          <w:b/>
          <w:bCs/>
          <w:color w:val="auto"/>
          <w:szCs w:val="22"/>
          <w:lang w:val="pt-PT"/>
        </w:rPr>
        <w:t>Precauções especiais de eliminação e manuseamento</w:t>
      </w:r>
      <w:bookmarkEnd w:id="21"/>
    </w:p>
    <w:p w14:paraId="27DEE3C7" w14:textId="77777777" w:rsidR="0043129A" w:rsidRPr="00110D6C" w:rsidRDefault="0043129A" w:rsidP="00A17623">
      <w:pPr>
        <w:widowControl/>
        <w:rPr>
          <w:rFonts w:cs="Times New Roman"/>
          <w:color w:val="auto"/>
          <w:szCs w:val="22"/>
          <w:lang w:val="pt-PT"/>
        </w:rPr>
      </w:pPr>
    </w:p>
    <w:p w14:paraId="2CD508D5" w14:textId="0DEEB331"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 solução no frasco para injetáveis de </w:t>
      </w:r>
      <w:r w:rsidR="00D05FE6" w:rsidRPr="00110D6C">
        <w:rPr>
          <w:rFonts w:cs="Times New Roman"/>
          <w:color w:val="auto"/>
          <w:szCs w:val="22"/>
          <w:lang w:val="pt-PT"/>
        </w:rPr>
        <w:t>F</w:t>
      </w:r>
      <w:r w:rsidR="002B7F8B" w:rsidRPr="00110D6C">
        <w:rPr>
          <w:rFonts w:cs="Times New Roman"/>
          <w:color w:val="auto"/>
          <w:szCs w:val="22"/>
          <w:lang w:val="pt-PT"/>
        </w:rPr>
        <w:t>ymskina</w:t>
      </w:r>
      <w:r w:rsidRPr="00110D6C">
        <w:rPr>
          <w:rFonts w:cs="Times New Roman"/>
          <w:color w:val="auto"/>
          <w:szCs w:val="22"/>
          <w:lang w:val="pt-PT"/>
        </w:rPr>
        <w:t xml:space="preserve"> não deve ser agitada. A solução deve ser inspecionada visualmente em relação à presença de pequenas partículas ou de descoloração antes da administração. A solução é transparente, incolor a amarel</w:t>
      </w:r>
      <w:r w:rsidR="00A465E5">
        <w:rPr>
          <w:rFonts w:cs="Times New Roman"/>
          <w:color w:val="auto"/>
          <w:szCs w:val="22"/>
          <w:lang w:val="pt-PT"/>
        </w:rPr>
        <w:t>o-acastanhada</w:t>
      </w:r>
      <w:r w:rsidRPr="00110D6C">
        <w:rPr>
          <w:rFonts w:cs="Times New Roman"/>
          <w:color w:val="auto"/>
          <w:szCs w:val="22"/>
          <w:lang w:val="pt-PT"/>
        </w:rPr>
        <w:t>. O medicamento não deve ser utilizado se a solução apresentar descoloração ou turvação, ou se estiverem presentes pequenas partículas estranhas.</w:t>
      </w:r>
    </w:p>
    <w:p w14:paraId="03C0AE6C" w14:textId="77777777" w:rsidR="0043129A" w:rsidRPr="00110D6C" w:rsidRDefault="0043129A" w:rsidP="00A17623">
      <w:pPr>
        <w:widowControl/>
        <w:rPr>
          <w:rFonts w:cs="Times New Roman"/>
          <w:color w:val="auto"/>
          <w:szCs w:val="22"/>
          <w:lang w:val="pt-PT"/>
        </w:rPr>
      </w:pPr>
    </w:p>
    <w:p w14:paraId="11F00CF3"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Diluição</w:t>
      </w:r>
    </w:p>
    <w:p w14:paraId="412D8418" w14:textId="195D0BFC" w:rsidR="0077031F" w:rsidRPr="00110D6C" w:rsidRDefault="00D05FE6" w:rsidP="00A17623">
      <w:pPr>
        <w:widowControl/>
        <w:rPr>
          <w:rFonts w:cs="Times New Roman"/>
          <w:color w:val="auto"/>
          <w:szCs w:val="22"/>
          <w:lang w:val="pt-PT"/>
        </w:rPr>
      </w:pPr>
      <w:r w:rsidRPr="00110D6C">
        <w:rPr>
          <w:rFonts w:cs="Times New Roman"/>
          <w:color w:val="auto"/>
          <w:szCs w:val="22"/>
          <w:lang w:val="pt-PT"/>
        </w:rPr>
        <w:t>F</w:t>
      </w:r>
      <w:r w:rsidR="00A465E5" w:rsidRPr="00110D6C">
        <w:rPr>
          <w:rFonts w:cs="Times New Roman"/>
          <w:color w:val="auto"/>
          <w:szCs w:val="22"/>
          <w:lang w:val="pt-PT"/>
        </w:rPr>
        <w:t>ymskina</w:t>
      </w:r>
      <w:r w:rsidR="00030085" w:rsidRPr="00110D6C">
        <w:rPr>
          <w:rFonts w:cs="Times New Roman"/>
          <w:color w:val="auto"/>
          <w:szCs w:val="22"/>
          <w:lang w:val="pt-PT"/>
        </w:rPr>
        <w:t xml:space="preserve"> concentrado para solução para perfusão deve ser diluído e preparado por um profissional de saúde, utilizando técnica assética.</w:t>
      </w:r>
    </w:p>
    <w:p w14:paraId="0A3160F1" w14:textId="77777777" w:rsidR="0043129A" w:rsidRPr="00110D6C" w:rsidRDefault="0043129A" w:rsidP="00A17623">
      <w:pPr>
        <w:widowControl/>
        <w:rPr>
          <w:rFonts w:cs="Times New Roman"/>
          <w:color w:val="auto"/>
          <w:szCs w:val="22"/>
          <w:lang w:val="pt-PT"/>
        </w:rPr>
      </w:pPr>
    </w:p>
    <w:p w14:paraId="2360B753" w14:textId="5AC0BDF4" w:rsidR="0077031F" w:rsidRPr="00110D6C" w:rsidRDefault="00DC3C01" w:rsidP="00A17623">
      <w:pPr>
        <w:widowControl/>
        <w:ind w:left="567" w:hanging="567"/>
        <w:rPr>
          <w:rFonts w:cs="Times New Roman"/>
          <w:color w:val="auto"/>
          <w:szCs w:val="22"/>
          <w:lang w:val="pt-PT"/>
        </w:rPr>
      </w:pPr>
      <w:r w:rsidRPr="00110D6C">
        <w:rPr>
          <w:rFonts w:cs="Times New Roman"/>
          <w:color w:val="auto"/>
          <w:szCs w:val="22"/>
          <w:lang w:val="pt-PT"/>
        </w:rPr>
        <w:t>1.</w:t>
      </w:r>
      <w:r w:rsidRPr="00110D6C">
        <w:rPr>
          <w:rFonts w:cs="Times New Roman"/>
          <w:color w:val="auto"/>
          <w:szCs w:val="22"/>
          <w:lang w:val="pt-PT"/>
        </w:rPr>
        <w:tab/>
      </w:r>
      <w:r w:rsidR="00030085" w:rsidRPr="00110D6C">
        <w:rPr>
          <w:rFonts w:cs="Times New Roman"/>
          <w:color w:val="auto"/>
          <w:szCs w:val="22"/>
          <w:lang w:val="pt-PT"/>
        </w:rPr>
        <w:t xml:space="preserve">Calcular a dose e o número de frascos para injetáveis de </w:t>
      </w:r>
      <w:r w:rsidR="00450C97">
        <w:rPr>
          <w:rFonts w:cs="Times New Roman"/>
          <w:color w:val="auto"/>
          <w:szCs w:val="22"/>
          <w:lang w:val="pt-PT"/>
        </w:rPr>
        <w:t>F</w:t>
      </w:r>
      <w:r w:rsidR="00A465E5" w:rsidRPr="00110D6C">
        <w:rPr>
          <w:rFonts w:cs="Times New Roman"/>
          <w:color w:val="auto"/>
          <w:szCs w:val="22"/>
          <w:lang w:val="pt-PT"/>
        </w:rPr>
        <w:t xml:space="preserve">ymskina </w:t>
      </w:r>
      <w:r w:rsidR="00030085" w:rsidRPr="00110D6C">
        <w:rPr>
          <w:rFonts w:cs="Times New Roman"/>
          <w:color w:val="auto"/>
          <w:szCs w:val="22"/>
          <w:lang w:val="pt-PT"/>
        </w:rPr>
        <w:t>necessários com base no peso do doente (ver</w:t>
      </w:r>
      <w:r w:rsidR="006A79E5" w:rsidRPr="00110D6C">
        <w:rPr>
          <w:rFonts w:cs="Times New Roman"/>
          <w:color w:val="auto"/>
          <w:szCs w:val="22"/>
          <w:lang w:val="pt-PT"/>
        </w:rPr>
        <w:t> </w:t>
      </w:r>
      <w:r w:rsidR="00030085" w:rsidRPr="00110D6C">
        <w:rPr>
          <w:rFonts w:cs="Times New Roman"/>
          <w:color w:val="auto"/>
          <w:szCs w:val="22"/>
          <w:lang w:val="pt-PT"/>
        </w:rPr>
        <w:t>secção</w:t>
      </w:r>
      <w:r w:rsidR="006A79E5" w:rsidRPr="00110D6C">
        <w:rPr>
          <w:rFonts w:cs="Times New Roman"/>
          <w:color w:val="auto"/>
          <w:szCs w:val="22"/>
          <w:lang w:val="pt-PT"/>
        </w:rPr>
        <w:t> </w:t>
      </w:r>
      <w:r w:rsidR="00030085" w:rsidRPr="00110D6C">
        <w:rPr>
          <w:rFonts w:cs="Times New Roman"/>
          <w:color w:val="auto"/>
          <w:szCs w:val="22"/>
          <w:lang w:val="pt-PT"/>
        </w:rPr>
        <w:t>4.2, Tabela</w:t>
      </w:r>
      <w:r w:rsidR="00982985" w:rsidRPr="00110D6C">
        <w:rPr>
          <w:rFonts w:cs="Times New Roman"/>
          <w:color w:val="auto"/>
          <w:szCs w:val="22"/>
          <w:lang w:val="pt-PT"/>
        </w:rPr>
        <w:t> </w:t>
      </w:r>
      <w:r w:rsidR="00030085" w:rsidRPr="00110D6C">
        <w:rPr>
          <w:rFonts w:cs="Times New Roman"/>
          <w:color w:val="auto"/>
          <w:szCs w:val="22"/>
          <w:lang w:val="pt-PT"/>
        </w:rPr>
        <w:t>1). Cada frasco para injetáveis de 2</w:t>
      </w:r>
      <w:r w:rsidR="00B910F9" w:rsidRPr="00110D6C">
        <w:rPr>
          <w:rFonts w:cs="Times New Roman"/>
          <w:color w:val="auto"/>
          <w:szCs w:val="22"/>
          <w:lang w:val="pt-PT"/>
        </w:rPr>
        <w:t>6 </w:t>
      </w:r>
      <w:r w:rsidR="00030085" w:rsidRPr="00110D6C">
        <w:rPr>
          <w:rFonts w:cs="Times New Roman"/>
          <w:color w:val="auto"/>
          <w:szCs w:val="22"/>
          <w:lang w:val="pt-PT"/>
        </w:rPr>
        <w:t xml:space="preserve">ml de </w:t>
      </w:r>
      <w:r w:rsidR="00D05FE6" w:rsidRPr="00110D6C">
        <w:rPr>
          <w:rFonts w:cs="Times New Roman"/>
          <w:color w:val="auto"/>
          <w:szCs w:val="22"/>
          <w:lang w:val="pt-PT"/>
        </w:rPr>
        <w:t>F</w:t>
      </w:r>
      <w:r w:rsidR="00A465E5" w:rsidRPr="00110D6C">
        <w:rPr>
          <w:rFonts w:cs="Times New Roman"/>
          <w:color w:val="auto"/>
          <w:szCs w:val="22"/>
          <w:lang w:val="pt-PT"/>
        </w:rPr>
        <w:t>ymskina</w:t>
      </w:r>
      <w:r w:rsidR="00030085" w:rsidRPr="00110D6C">
        <w:rPr>
          <w:rFonts w:cs="Times New Roman"/>
          <w:color w:val="auto"/>
          <w:szCs w:val="22"/>
          <w:lang w:val="pt-PT"/>
        </w:rPr>
        <w:t xml:space="preserve"> contém 13</w:t>
      </w:r>
      <w:r w:rsidR="00B910F9" w:rsidRPr="00110D6C">
        <w:rPr>
          <w:rFonts w:cs="Times New Roman"/>
          <w:color w:val="auto"/>
          <w:szCs w:val="22"/>
          <w:lang w:val="pt-PT"/>
        </w:rPr>
        <w:t>0 </w:t>
      </w:r>
      <w:r w:rsidR="00030085" w:rsidRPr="00110D6C">
        <w:rPr>
          <w:rFonts w:cs="Times New Roman"/>
          <w:color w:val="auto"/>
          <w:szCs w:val="22"/>
          <w:lang w:val="pt-PT"/>
        </w:rPr>
        <w:t xml:space="preserve">mg de ustecinumab. Utilizar apenas frascos para injetáveis de </w:t>
      </w:r>
      <w:r w:rsidR="00D05FE6" w:rsidRPr="00110D6C">
        <w:rPr>
          <w:rFonts w:cs="Times New Roman"/>
          <w:color w:val="auto"/>
          <w:szCs w:val="22"/>
          <w:lang w:val="pt-PT"/>
        </w:rPr>
        <w:t>F</w:t>
      </w:r>
      <w:r w:rsidR="00A465E5" w:rsidRPr="00110D6C">
        <w:rPr>
          <w:rFonts w:cs="Times New Roman"/>
          <w:color w:val="auto"/>
          <w:szCs w:val="22"/>
          <w:lang w:val="pt-PT"/>
        </w:rPr>
        <w:t>ymskina</w:t>
      </w:r>
      <w:r w:rsidR="00030085" w:rsidRPr="00110D6C">
        <w:rPr>
          <w:rFonts w:cs="Times New Roman"/>
          <w:color w:val="auto"/>
          <w:szCs w:val="22"/>
          <w:lang w:val="pt-PT"/>
        </w:rPr>
        <w:t xml:space="preserve"> completos.</w:t>
      </w:r>
    </w:p>
    <w:p w14:paraId="5065A05A" w14:textId="63A61098" w:rsidR="0077031F" w:rsidRPr="00110D6C" w:rsidRDefault="00DC3C01" w:rsidP="00A17623">
      <w:pPr>
        <w:widowControl/>
        <w:ind w:left="567" w:hanging="567"/>
        <w:rPr>
          <w:rFonts w:cs="Times New Roman"/>
          <w:color w:val="auto"/>
          <w:szCs w:val="22"/>
          <w:lang w:val="pt-PT"/>
        </w:rPr>
      </w:pPr>
      <w:r w:rsidRPr="00110D6C">
        <w:rPr>
          <w:rFonts w:cs="Times New Roman"/>
          <w:color w:val="auto"/>
          <w:szCs w:val="22"/>
          <w:lang w:val="pt-PT"/>
        </w:rPr>
        <w:t>2.</w:t>
      </w:r>
      <w:r w:rsidRPr="00110D6C">
        <w:rPr>
          <w:rFonts w:cs="Times New Roman"/>
          <w:color w:val="auto"/>
          <w:szCs w:val="22"/>
          <w:lang w:val="pt-PT"/>
        </w:rPr>
        <w:tab/>
      </w:r>
      <w:r w:rsidR="00030085" w:rsidRPr="00110D6C">
        <w:rPr>
          <w:rFonts w:cs="Times New Roman"/>
          <w:color w:val="auto"/>
          <w:szCs w:val="22"/>
          <w:lang w:val="pt-PT"/>
        </w:rPr>
        <w:t xml:space="preserve">Retirar e descartar um volume da solução de cloreto de sódio a </w:t>
      </w:r>
      <w:r w:rsidR="00B910F9" w:rsidRPr="00110D6C">
        <w:rPr>
          <w:rFonts w:cs="Times New Roman"/>
          <w:color w:val="auto"/>
          <w:szCs w:val="22"/>
          <w:lang w:val="pt-PT"/>
        </w:rPr>
        <w:t>9 </w:t>
      </w:r>
      <w:r w:rsidR="00030085" w:rsidRPr="00110D6C">
        <w:rPr>
          <w:rFonts w:cs="Times New Roman"/>
          <w:color w:val="auto"/>
          <w:szCs w:val="22"/>
          <w:lang w:val="pt-PT"/>
        </w:rPr>
        <w:t>mg/ml (0,9%) a partir do saco de perfusão de 25</w:t>
      </w:r>
      <w:r w:rsidR="00B910F9" w:rsidRPr="00110D6C">
        <w:rPr>
          <w:rFonts w:cs="Times New Roman"/>
          <w:color w:val="auto"/>
          <w:szCs w:val="22"/>
          <w:lang w:val="pt-PT"/>
        </w:rPr>
        <w:t>0 </w:t>
      </w:r>
      <w:r w:rsidR="00030085" w:rsidRPr="00110D6C">
        <w:rPr>
          <w:rFonts w:cs="Times New Roman"/>
          <w:color w:val="auto"/>
          <w:szCs w:val="22"/>
          <w:lang w:val="pt-PT"/>
        </w:rPr>
        <w:t xml:space="preserve">ml, igual ao volume de </w:t>
      </w:r>
      <w:r w:rsidR="00D05FE6" w:rsidRPr="00110D6C">
        <w:rPr>
          <w:rFonts w:cs="Times New Roman"/>
          <w:color w:val="auto"/>
          <w:szCs w:val="22"/>
          <w:lang w:val="pt-PT"/>
        </w:rPr>
        <w:t>F</w:t>
      </w:r>
      <w:r w:rsidR="00A465E5" w:rsidRPr="00110D6C">
        <w:rPr>
          <w:rFonts w:cs="Times New Roman"/>
          <w:color w:val="auto"/>
          <w:szCs w:val="22"/>
          <w:lang w:val="pt-PT"/>
        </w:rPr>
        <w:t>ymskina</w:t>
      </w:r>
      <w:r w:rsidR="00030085" w:rsidRPr="00110D6C">
        <w:rPr>
          <w:rFonts w:cs="Times New Roman"/>
          <w:color w:val="auto"/>
          <w:szCs w:val="22"/>
          <w:lang w:val="pt-PT"/>
        </w:rPr>
        <w:t xml:space="preserve"> a ser adicionado. (rejeite 2</w:t>
      </w:r>
      <w:r w:rsidR="00B910F9" w:rsidRPr="00110D6C">
        <w:rPr>
          <w:rFonts w:cs="Times New Roman"/>
          <w:color w:val="auto"/>
          <w:szCs w:val="22"/>
          <w:lang w:val="pt-PT"/>
        </w:rPr>
        <w:t>6 </w:t>
      </w:r>
      <w:r w:rsidR="00030085" w:rsidRPr="00110D6C">
        <w:rPr>
          <w:rFonts w:cs="Times New Roman"/>
          <w:color w:val="auto"/>
          <w:szCs w:val="22"/>
          <w:lang w:val="pt-PT"/>
        </w:rPr>
        <w:t xml:space="preserve">ml de cloreto de sódio por cada frasco para injetáveis de </w:t>
      </w:r>
      <w:r w:rsidR="00D05FE6" w:rsidRPr="00110D6C">
        <w:rPr>
          <w:rFonts w:cs="Times New Roman"/>
          <w:color w:val="auto"/>
          <w:szCs w:val="22"/>
          <w:lang w:val="pt-PT"/>
        </w:rPr>
        <w:t>F</w:t>
      </w:r>
      <w:r w:rsidR="00C73501" w:rsidRPr="00110D6C">
        <w:rPr>
          <w:rFonts w:cs="Times New Roman"/>
          <w:color w:val="auto"/>
          <w:szCs w:val="22"/>
          <w:lang w:val="pt-PT"/>
        </w:rPr>
        <w:t>ymskina</w:t>
      </w:r>
      <w:r w:rsidR="00030085" w:rsidRPr="00110D6C">
        <w:rPr>
          <w:rFonts w:cs="Times New Roman"/>
          <w:color w:val="auto"/>
          <w:szCs w:val="22"/>
          <w:lang w:val="pt-PT"/>
        </w:rPr>
        <w:t xml:space="preserve"> necessário, para </w:t>
      </w:r>
      <w:r w:rsidR="00B910F9" w:rsidRPr="00110D6C">
        <w:rPr>
          <w:rFonts w:cs="Times New Roman"/>
          <w:color w:val="auto"/>
          <w:szCs w:val="22"/>
          <w:lang w:val="pt-PT"/>
        </w:rPr>
        <w:t>2 </w:t>
      </w:r>
      <w:r w:rsidR="00030085" w:rsidRPr="00110D6C">
        <w:rPr>
          <w:rFonts w:cs="Times New Roman"/>
          <w:color w:val="auto"/>
          <w:szCs w:val="22"/>
          <w:lang w:val="pt-PT"/>
        </w:rPr>
        <w:t>frascos para injetáveis rejeite 5</w:t>
      </w:r>
      <w:r w:rsidR="00B910F9" w:rsidRPr="00110D6C">
        <w:rPr>
          <w:rFonts w:cs="Times New Roman"/>
          <w:color w:val="auto"/>
          <w:szCs w:val="22"/>
          <w:lang w:val="pt-PT"/>
        </w:rPr>
        <w:t>2 </w:t>
      </w:r>
      <w:r w:rsidR="00030085" w:rsidRPr="00110D6C">
        <w:rPr>
          <w:rFonts w:cs="Times New Roman"/>
          <w:color w:val="auto"/>
          <w:szCs w:val="22"/>
          <w:lang w:val="pt-PT"/>
        </w:rPr>
        <w:t xml:space="preserve">ml, para </w:t>
      </w:r>
      <w:r w:rsidR="00B910F9" w:rsidRPr="00110D6C">
        <w:rPr>
          <w:rFonts w:cs="Times New Roman"/>
          <w:color w:val="auto"/>
          <w:szCs w:val="22"/>
          <w:lang w:val="pt-PT"/>
        </w:rPr>
        <w:t>3 </w:t>
      </w:r>
      <w:r w:rsidR="00030085" w:rsidRPr="00110D6C">
        <w:rPr>
          <w:rFonts w:cs="Times New Roman"/>
          <w:color w:val="auto"/>
          <w:szCs w:val="22"/>
          <w:lang w:val="pt-PT"/>
        </w:rPr>
        <w:t>frascos para injetáveis rejeite 7</w:t>
      </w:r>
      <w:r w:rsidR="00B910F9" w:rsidRPr="00110D6C">
        <w:rPr>
          <w:rFonts w:cs="Times New Roman"/>
          <w:color w:val="auto"/>
          <w:szCs w:val="22"/>
          <w:lang w:val="pt-PT"/>
        </w:rPr>
        <w:t>8 </w:t>
      </w:r>
      <w:r w:rsidR="00030085" w:rsidRPr="00110D6C">
        <w:rPr>
          <w:rFonts w:cs="Times New Roman"/>
          <w:color w:val="auto"/>
          <w:szCs w:val="22"/>
          <w:lang w:val="pt-PT"/>
        </w:rPr>
        <w:t xml:space="preserve">ml, para </w:t>
      </w:r>
      <w:r w:rsidR="00B910F9" w:rsidRPr="00110D6C">
        <w:rPr>
          <w:rFonts w:cs="Times New Roman"/>
          <w:color w:val="auto"/>
          <w:szCs w:val="22"/>
          <w:lang w:val="pt-PT"/>
        </w:rPr>
        <w:t>4 </w:t>
      </w:r>
      <w:r w:rsidR="00030085" w:rsidRPr="00110D6C">
        <w:rPr>
          <w:rFonts w:cs="Times New Roman"/>
          <w:color w:val="auto"/>
          <w:szCs w:val="22"/>
          <w:lang w:val="pt-PT"/>
        </w:rPr>
        <w:t>frascos para injetáveis rejeite 10</w:t>
      </w:r>
      <w:r w:rsidR="00B910F9" w:rsidRPr="00110D6C">
        <w:rPr>
          <w:rFonts w:cs="Times New Roman"/>
          <w:color w:val="auto"/>
          <w:szCs w:val="22"/>
          <w:lang w:val="pt-PT"/>
        </w:rPr>
        <w:t>4 </w:t>
      </w:r>
      <w:r w:rsidR="00030085" w:rsidRPr="00110D6C">
        <w:rPr>
          <w:rFonts w:cs="Times New Roman"/>
          <w:color w:val="auto"/>
          <w:szCs w:val="22"/>
          <w:lang w:val="pt-PT"/>
        </w:rPr>
        <w:t>ml)</w:t>
      </w:r>
    </w:p>
    <w:p w14:paraId="65C5752F" w14:textId="74D77434" w:rsidR="0077031F" w:rsidRPr="00110D6C" w:rsidRDefault="00DC3C01" w:rsidP="006A79E5">
      <w:pPr>
        <w:widowControl/>
        <w:ind w:left="567" w:hanging="567"/>
        <w:rPr>
          <w:rFonts w:cs="Times New Roman"/>
          <w:color w:val="auto"/>
          <w:szCs w:val="22"/>
          <w:lang w:val="pt-PT"/>
        </w:rPr>
      </w:pPr>
      <w:r w:rsidRPr="00110D6C">
        <w:rPr>
          <w:rFonts w:cs="Times New Roman"/>
          <w:color w:val="auto"/>
          <w:szCs w:val="22"/>
          <w:lang w:val="pt-PT"/>
        </w:rPr>
        <w:t>3.</w:t>
      </w:r>
      <w:r w:rsidRPr="00110D6C">
        <w:rPr>
          <w:rFonts w:cs="Times New Roman"/>
          <w:color w:val="auto"/>
          <w:szCs w:val="22"/>
          <w:lang w:val="pt-PT"/>
        </w:rPr>
        <w:tab/>
      </w:r>
      <w:r w:rsidR="00030085" w:rsidRPr="00110D6C">
        <w:rPr>
          <w:rFonts w:cs="Times New Roman"/>
          <w:color w:val="auto"/>
          <w:szCs w:val="22"/>
          <w:lang w:val="pt-PT"/>
        </w:rPr>
        <w:t>Retirar 2</w:t>
      </w:r>
      <w:r w:rsidR="00B910F9" w:rsidRPr="00110D6C">
        <w:rPr>
          <w:rFonts w:cs="Times New Roman"/>
          <w:color w:val="auto"/>
          <w:szCs w:val="22"/>
          <w:lang w:val="pt-PT"/>
        </w:rPr>
        <w:t>6 </w:t>
      </w:r>
      <w:r w:rsidR="00030085" w:rsidRPr="00110D6C">
        <w:rPr>
          <w:rFonts w:cs="Times New Roman"/>
          <w:color w:val="auto"/>
          <w:szCs w:val="22"/>
          <w:lang w:val="pt-PT"/>
        </w:rPr>
        <w:t xml:space="preserve">ml de </w:t>
      </w:r>
      <w:r w:rsidR="00D05FE6" w:rsidRPr="00110D6C">
        <w:rPr>
          <w:rFonts w:cs="Times New Roman"/>
          <w:color w:val="auto"/>
          <w:szCs w:val="22"/>
          <w:lang w:val="pt-PT"/>
        </w:rPr>
        <w:t>F</w:t>
      </w:r>
      <w:r w:rsidR="00C73501" w:rsidRPr="00110D6C">
        <w:rPr>
          <w:rFonts w:cs="Times New Roman"/>
          <w:color w:val="auto"/>
          <w:szCs w:val="22"/>
          <w:lang w:val="pt-PT"/>
        </w:rPr>
        <w:t>ymskina</w:t>
      </w:r>
      <w:r w:rsidR="00030085" w:rsidRPr="00110D6C">
        <w:rPr>
          <w:rFonts w:cs="Times New Roman"/>
          <w:color w:val="auto"/>
          <w:szCs w:val="22"/>
          <w:lang w:val="pt-PT"/>
        </w:rPr>
        <w:t xml:space="preserve"> de cada frasco para injetáveis necessário e adicione-o ao saco de</w:t>
      </w:r>
      <w:r w:rsidR="006A79E5" w:rsidRPr="00110D6C">
        <w:rPr>
          <w:rFonts w:cs="Times New Roman"/>
          <w:color w:val="auto"/>
          <w:szCs w:val="22"/>
          <w:lang w:val="pt-PT"/>
        </w:rPr>
        <w:t xml:space="preserve"> </w:t>
      </w:r>
      <w:r w:rsidR="00030085" w:rsidRPr="00110D6C">
        <w:rPr>
          <w:rFonts w:cs="Times New Roman"/>
          <w:color w:val="auto"/>
          <w:szCs w:val="22"/>
          <w:lang w:val="pt-PT"/>
        </w:rPr>
        <w:t>perfusão de 25</w:t>
      </w:r>
      <w:r w:rsidR="00B910F9" w:rsidRPr="00110D6C">
        <w:rPr>
          <w:rFonts w:cs="Times New Roman"/>
          <w:color w:val="auto"/>
          <w:szCs w:val="22"/>
          <w:lang w:val="pt-PT"/>
        </w:rPr>
        <w:t>0 </w:t>
      </w:r>
      <w:r w:rsidR="00030085" w:rsidRPr="00110D6C">
        <w:rPr>
          <w:rFonts w:cs="Times New Roman"/>
          <w:color w:val="auto"/>
          <w:szCs w:val="22"/>
          <w:lang w:val="pt-PT"/>
        </w:rPr>
        <w:t>ml. O volume final no saco de perfusão deve ser de 25</w:t>
      </w:r>
      <w:r w:rsidR="00B910F9" w:rsidRPr="00110D6C">
        <w:rPr>
          <w:rFonts w:cs="Times New Roman"/>
          <w:color w:val="auto"/>
          <w:szCs w:val="22"/>
          <w:lang w:val="pt-PT"/>
        </w:rPr>
        <w:t>0 </w:t>
      </w:r>
      <w:r w:rsidR="00030085" w:rsidRPr="00110D6C">
        <w:rPr>
          <w:rFonts w:cs="Times New Roman"/>
          <w:color w:val="auto"/>
          <w:szCs w:val="22"/>
          <w:lang w:val="pt-PT"/>
        </w:rPr>
        <w:t>ml. Misturar suavemente.</w:t>
      </w:r>
    </w:p>
    <w:p w14:paraId="632D79C4" w14:textId="77777777" w:rsidR="0077031F" w:rsidRPr="00110D6C" w:rsidRDefault="00DC3C01" w:rsidP="00A17623">
      <w:pPr>
        <w:widowControl/>
        <w:ind w:left="567" w:hanging="567"/>
        <w:rPr>
          <w:rFonts w:cs="Times New Roman"/>
          <w:color w:val="auto"/>
          <w:szCs w:val="22"/>
          <w:lang w:val="pt-PT"/>
        </w:rPr>
      </w:pPr>
      <w:r w:rsidRPr="00110D6C">
        <w:rPr>
          <w:rFonts w:cs="Times New Roman"/>
          <w:color w:val="auto"/>
          <w:szCs w:val="22"/>
          <w:lang w:val="pt-PT"/>
        </w:rPr>
        <w:t>4.</w:t>
      </w:r>
      <w:r w:rsidRPr="00110D6C">
        <w:rPr>
          <w:rFonts w:cs="Times New Roman"/>
          <w:color w:val="auto"/>
          <w:szCs w:val="22"/>
          <w:lang w:val="pt-PT"/>
        </w:rPr>
        <w:tab/>
      </w:r>
      <w:r w:rsidR="00030085" w:rsidRPr="00110D6C">
        <w:rPr>
          <w:rFonts w:cs="Times New Roman"/>
          <w:color w:val="auto"/>
          <w:szCs w:val="22"/>
          <w:lang w:val="pt-PT"/>
        </w:rPr>
        <w:t>Inspecionar visualmente a solução diluída antes da administração. Não utilizar se observar partículas visivelmente opacas, descoloração ou partículas estranhas.</w:t>
      </w:r>
    </w:p>
    <w:p w14:paraId="62A55168" w14:textId="0891D8B1" w:rsidR="0077031F" w:rsidRPr="00110D6C" w:rsidRDefault="00DC3C01" w:rsidP="00A17623">
      <w:pPr>
        <w:widowControl/>
        <w:ind w:left="567" w:hanging="567"/>
        <w:rPr>
          <w:rFonts w:cs="Times New Roman"/>
          <w:color w:val="auto"/>
          <w:szCs w:val="22"/>
          <w:lang w:val="pt-PT"/>
        </w:rPr>
      </w:pPr>
      <w:r w:rsidRPr="00110D6C">
        <w:rPr>
          <w:rFonts w:cs="Times New Roman"/>
          <w:color w:val="auto"/>
          <w:szCs w:val="22"/>
          <w:lang w:val="pt-PT"/>
        </w:rPr>
        <w:t>5.</w:t>
      </w:r>
      <w:r w:rsidRPr="00110D6C">
        <w:rPr>
          <w:rFonts w:cs="Times New Roman"/>
          <w:color w:val="auto"/>
          <w:szCs w:val="22"/>
          <w:lang w:val="pt-PT"/>
        </w:rPr>
        <w:tab/>
      </w:r>
      <w:r w:rsidR="00030085" w:rsidRPr="00110D6C">
        <w:rPr>
          <w:rFonts w:cs="Times New Roman"/>
          <w:color w:val="auto"/>
          <w:szCs w:val="22"/>
          <w:lang w:val="pt-PT"/>
        </w:rPr>
        <w:t xml:space="preserve">Administrar a solução diluída ao longo de um período de, pelo menos, uma hora. Uma vez diluída, a perfusão deve ser completada dentro de </w:t>
      </w:r>
      <w:r w:rsidR="00C73501">
        <w:rPr>
          <w:rFonts w:cs="Times New Roman"/>
          <w:color w:val="auto"/>
          <w:szCs w:val="22"/>
          <w:lang w:val="pt-PT"/>
        </w:rPr>
        <w:t>24</w:t>
      </w:r>
      <w:r w:rsidR="00B910F9" w:rsidRPr="00110D6C">
        <w:rPr>
          <w:rFonts w:cs="Times New Roman"/>
          <w:color w:val="auto"/>
          <w:szCs w:val="22"/>
          <w:lang w:val="pt-PT"/>
        </w:rPr>
        <w:t> </w:t>
      </w:r>
      <w:r w:rsidR="00030085" w:rsidRPr="00110D6C">
        <w:rPr>
          <w:rFonts w:cs="Times New Roman"/>
          <w:color w:val="auto"/>
          <w:szCs w:val="22"/>
          <w:lang w:val="pt-PT"/>
        </w:rPr>
        <w:t>horas após a diluição no saco de perfusão.</w:t>
      </w:r>
    </w:p>
    <w:p w14:paraId="7B30F09F" w14:textId="77777777" w:rsidR="0077031F" w:rsidRPr="00110D6C" w:rsidRDefault="00DC3C01" w:rsidP="00A17623">
      <w:pPr>
        <w:widowControl/>
        <w:ind w:left="567" w:hanging="567"/>
        <w:rPr>
          <w:rFonts w:cs="Times New Roman"/>
          <w:color w:val="auto"/>
          <w:szCs w:val="22"/>
          <w:lang w:val="pt-PT"/>
        </w:rPr>
      </w:pPr>
      <w:r w:rsidRPr="00110D6C">
        <w:rPr>
          <w:rFonts w:cs="Times New Roman"/>
          <w:color w:val="auto"/>
          <w:szCs w:val="22"/>
          <w:lang w:val="pt-PT"/>
        </w:rPr>
        <w:t>6.</w:t>
      </w:r>
      <w:r w:rsidRPr="00110D6C">
        <w:rPr>
          <w:rFonts w:cs="Times New Roman"/>
          <w:color w:val="auto"/>
          <w:szCs w:val="22"/>
          <w:lang w:val="pt-PT"/>
        </w:rPr>
        <w:tab/>
      </w:r>
      <w:r w:rsidR="00030085" w:rsidRPr="00110D6C">
        <w:rPr>
          <w:rFonts w:cs="Times New Roman"/>
          <w:color w:val="auto"/>
          <w:szCs w:val="22"/>
          <w:lang w:val="pt-PT"/>
        </w:rPr>
        <w:t>Utilizar apenas um sistema de perfusão com um filtro em linha apirogénico, com baixa ligação às proteínas e estéril (tamanho dos poros de 0,</w:t>
      </w:r>
      <w:r w:rsidR="00B910F9" w:rsidRPr="00110D6C">
        <w:rPr>
          <w:rFonts w:cs="Times New Roman"/>
          <w:color w:val="auto"/>
          <w:szCs w:val="22"/>
          <w:lang w:val="pt-PT"/>
        </w:rPr>
        <w:t>2 </w:t>
      </w:r>
      <w:r w:rsidR="00030085" w:rsidRPr="00110D6C">
        <w:rPr>
          <w:rFonts w:cs="Times New Roman"/>
          <w:color w:val="auto"/>
          <w:szCs w:val="22"/>
          <w:lang w:val="pt-PT"/>
        </w:rPr>
        <w:t>micrómetros).</w:t>
      </w:r>
    </w:p>
    <w:p w14:paraId="1F8C0EE8" w14:textId="77777777" w:rsidR="0077031F" w:rsidRPr="00110D6C" w:rsidRDefault="00DC3C01" w:rsidP="00A17623">
      <w:pPr>
        <w:widowControl/>
        <w:ind w:left="567" w:hanging="567"/>
        <w:rPr>
          <w:rFonts w:cs="Times New Roman"/>
          <w:color w:val="auto"/>
          <w:szCs w:val="22"/>
          <w:lang w:val="pt-PT"/>
        </w:rPr>
      </w:pPr>
      <w:r w:rsidRPr="00110D6C">
        <w:rPr>
          <w:rFonts w:cs="Times New Roman"/>
          <w:color w:val="auto"/>
          <w:szCs w:val="22"/>
          <w:lang w:val="pt-PT"/>
        </w:rPr>
        <w:t>7.</w:t>
      </w:r>
      <w:r w:rsidRPr="00110D6C">
        <w:rPr>
          <w:rFonts w:cs="Times New Roman"/>
          <w:color w:val="auto"/>
          <w:szCs w:val="22"/>
          <w:lang w:val="pt-PT"/>
        </w:rPr>
        <w:tab/>
      </w:r>
      <w:r w:rsidR="00030085" w:rsidRPr="00110D6C">
        <w:rPr>
          <w:rFonts w:cs="Times New Roman"/>
          <w:color w:val="auto"/>
          <w:szCs w:val="22"/>
          <w:lang w:val="pt-PT"/>
        </w:rPr>
        <w:t>Cada frasco para injetáveis destina-se a uma única utilização e qualquer medicamento não utilizado deve ser eliminado de acordo com as exigências locais.</w:t>
      </w:r>
    </w:p>
    <w:p w14:paraId="5B249998" w14:textId="77777777" w:rsidR="0043129A" w:rsidRPr="00110D6C" w:rsidRDefault="0043129A" w:rsidP="002057DA">
      <w:pPr>
        <w:widowControl/>
        <w:rPr>
          <w:rFonts w:cs="Times New Roman"/>
          <w:bCs/>
          <w:color w:val="auto"/>
          <w:szCs w:val="22"/>
          <w:lang w:val="pt-PT"/>
        </w:rPr>
      </w:pPr>
      <w:bookmarkStart w:id="22" w:name="bookmark42"/>
    </w:p>
    <w:p w14:paraId="262548B8" w14:textId="77777777" w:rsidR="0043129A" w:rsidRPr="00110D6C" w:rsidRDefault="0043129A" w:rsidP="002057DA">
      <w:pPr>
        <w:widowControl/>
        <w:rPr>
          <w:rFonts w:cs="Times New Roman"/>
          <w:bCs/>
          <w:color w:val="auto"/>
          <w:szCs w:val="22"/>
          <w:lang w:val="pt-PT"/>
        </w:rPr>
      </w:pPr>
    </w:p>
    <w:p w14:paraId="7F636EEA"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7.</w:t>
      </w:r>
      <w:r w:rsidRPr="00110D6C">
        <w:rPr>
          <w:rFonts w:cs="Times New Roman"/>
          <w:b/>
          <w:bCs/>
          <w:color w:val="auto"/>
          <w:szCs w:val="22"/>
          <w:lang w:val="pt-PT"/>
        </w:rPr>
        <w:tab/>
      </w:r>
      <w:r w:rsidR="00030085" w:rsidRPr="00110D6C">
        <w:rPr>
          <w:rFonts w:cs="Times New Roman"/>
          <w:b/>
          <w:bCs/>
          <w:color w:val="auto"/>
          <w:szCs w:val="22"/>
          <w:lang w:val="pt-PT"/>
        </w:rPr>
        <w:t>TITULAR DA AUTORIZAÇÃO DE INTRODUÇÃO NO MERCADO</w:t>
      </w:r>
      <w:bookmarkEnd w:id="22"/>
    </w:p>
    <w:p w14:paraId="24A3106E" w14:textId="77777777" w:rsidR="0043129A" w:rsidRPr="00110D6C" w:rsidRDefault="0043129A" w:rsidP="00A17623">
      <w:pPr>
        <w:widowControl/>
        <w:rPr>
          <w:rFonts w:cs="Times New Roman"/>
          <w:color w:val="auto"/>
          <w:szCs w:val="22"/>
          <w:lang w:val="pt-PT"/>
        </w:rPr>
      </w:pPr>
    </w:p>
    <w:p w14:paraId="6BC45665" w14:textId="77777777" w:rsidR="00C73501" w:rsidRPr="00492A01" w:rsidRDefault="00C73501" w:rsidP="00C73501">
      <w:pPr>
        <w:pStyle w:val="Textkrper"/>
        <w:rPr>
          <w:lang w:val="pt-PT"/>
        </w:rPr>
      </w:pPr>
      <w:r w:rsidRPr="00492A01">
        <w:rPr>
          <w:lang w:val="pt-PT"/>
        </w:rPr>
        <w:t>Formycon AG</w:t>
      </w:r>
    </w:p>
    <w:p w14:paraId="663342FF" w14:textId="77777777" w:rsidR="00C73501" w:rsidRPr="00492A01" w:rsidRDefault="00C73501" w:rsidP="00C73501">
      <w:pPr>
        <w:pStyle w:val="Textkrper"/>
        <w:rPr>
          <w:lang w:val="pt-PT"/>
        </w:rPr>
      </w:pPr>
      <w:r w:rsidRPr="00492A01">
        <w:rPr>
          <w:lang w:val="pt-PT"/>
        </w:rPr>
        <w:t>Fraunhoferstraße 15</w:t>
      </w:r>
    </w:p>
    <w:p w14:paraId="579E1677" w14:textId="77777777" w:rsidR="00C73501" w:rsidRPr="00492A01" w:rsidRDefault="00C73501" w:rsidP="00C73501">
      <w:pPr>
        <w:pStyle w:val="Textkrper"/>
        <w:rPr>
          <w:lang w:val="pt-PT"/>
        </w:rPr>
      </w:pPr>
      <w:r w:rsidRPr="00492A01">
        <w:rPr>
          <w:lang w:val="pt-PT"/>
        </w:rPr>
        <w:t>82152 Martinsried/Planegg</w:t>
      </w:r>
    </w:p>
    <w:p w14:paraId="13B6D08A" w14:textId="77777777" w:rsidR="00C73501" w:rsidRDefault="00C73501" w:rsidP="00A17623">
      <w:pPr>
        <w:widowControl/>
        <w:rPr>
          <w:rFonts w:cs="Times New Roman"/>
          <w:color w:val="auto"/>
          <w:szCs w:val="22"/>
          <w:lang w:val="pt-PT"/>
        </w:rPr>
      </w:pPr>
      <w:r>
        <w:rPr>
          <w:rFonts w:cs="Times New Roman"/>
          <w:color w:val="auto"/>
          <w:szCs w:val="22"/>
          <w:lang w:val="pt-PT"/>
        </w:rPr>
        <w:t>Alemanha</w:t>
      </w:r>
    </w:p>
    <w:p w14:paraId="74AD1E39" w14:textId="77777777" w:rsidR="0043129A" w:rsidRPr="00110D6C" w:rsidRDefault="0043129A" w:rsidP="002057DA">
      <w:pPr>
        <w:widowControl/>
        <w:rPr>
          <w:rFonts w:cs="Times New Roman"/>
          <w:bCs/>
          <w:color w:val="auto"/>
          <w:szCs w:val="22"/>
          <w:lang w:val="pt-PT"/>
        </w:rPr>
      </w:pPr>
      <w:bookmarkStart w:id="23" w:name="bookmark44"/>
    </w:p>
    <w:p w14:paraId="306D7555" w14:textId="77777777" w:rsidR="0043129A" w:rsidRPr="00110D6C" w:rsidRDefault="0043129A" w:rsidP="002057DA">
      <w:pPr>
        <w:widowControl/>
        <w:rPr>
          <w:rFonts w:cs="Times New Roman"/>
          <w:bCs/>
          <w:color w:val="auto"/>
          <w:szCs w:val="22"/>
          <w:lang w:val="pt-PT"/>
        </w:rPr>
      </w:pPr>
    </w:p>
    <w:p w14:paraId="723B04D5"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lastRenderedPageBreak/>
        <w:t>8.</w:t>
      </w:r>
      <w:r w:rsidRPr="00110D6C">
        <w:rPr>
          <w:rFonts w:cs="Times New Roman"/>
          <w:b/>
          <w:bCs/>
          <w:color w:val="auto"/>
          <w:szCs w:val="22"/>
          <w:lang w:val="pt-PT"/>
        </w:rPr>
        <w:tab/>
      </w:r>
      <w:r w:rsidR="00030085" w:rsidRPr="00110D6C">
        <w:rPr>
          <w:rFonts w:cs="Times New Roman"/>
          <w:b/>
          <w:bCs/>
          <w:color w:val="auto"/>
          <w:szCs w:val="22"/>
          <w:lang w:val="pt-PT"/>
        </w:rPr>
        <w:t>NÚMERO(S) DA AUTORIZAÇÃO DE INTRODUÇÃO NO MERCADO</w:t>
      </w:r>
      <w:bookmarkEnd w:id="23"/>
    </w:p>
    <w:p w14:paraId="5D35601B" w14:textId="77777777" w:rsidR="0043129A" w:rsidRPr="00110D6C" w:rsidRDefault="0043129A" w:rsidP="00A17623">
      <w:pPr>
        <w:widowControl/>
        <w:rPr>
          <w:rFonts w:cs="Times New Roman"/>
          <w:color w:val="auto"/>
          <w:szCs w:val="22"/>
          <w:lang w:val="pt-PT"/>
        </w:rPr>
      </w:pPr>
    </w:p>
    <w:p w14:paraId="63B4C80B" w14:textId="3ECB1E35" w:rsidR="0077031F" w:rsidRPr="00110D6C" w:rsidRDefault="00030085" w:rsidP="00A17623">
      <w:pPr>
        <w:widowControl/>
        <w:rPr>
          <w:rFonts w:cs="Times New Roman"/>
          <w:color w:val="auto"/>
          <w:szCs w:val="22"/>
          <w:lang w:val="pt-PT"/>
        </w:rPr>
      </w:pPr>
      <w:r w:rsidRPr="00110D6C">
        <w:rPr>
          <w:rFonts w:cs="Times New Roman"/>
          <w:color w:val="auto"/>
          <w:szCs w:val="22"/>
          <w:lang w:val="pt-PT"/>
        </w:rPr>
        <w:t>EU/1/</w:t>
      </w:r>
      <w:r w:rsidR="00F93229" w:rsidRPr="00F93229">
        <w:rPr>
          <w:rFonts w:cs="Times New Roman"/>
          <w:color w:val="auto"/>
          <w:szCs w:val="22"/>
          <w:lang w:val="pt-PT"/>
        </w:rPr>
        <w:t>24/1862/003</w:t>
      </w:r>
    </w:p>
    <w:p w14:paraId="296B3ED7" w14:textId="77777777" w:rsidR="0043129A" w:rsidRPr="00110D6C" w:rsidRDefault="0043129A" w:rsidP="002057DA">
      <w:pPr>
        <w:widowControl/>
        <w:rPr>
          <w:rFonts w:cs="Times New Roman"/>
          <w:bCs/>
          <w:color w:val="auto"/>
          <w:szCs w:val="22"/>
          <w:lang w:val="pt-PT"/>
        </w:rPr>
      </w:pPr>
      <w:bookmarkStart w:id="24" w:name="bookmark46"/>
    </w:p>
    <w:p w14:paraId="125686B7" w14:textId="77777777" w:rsidR="0043129A" w:rsidRPr="00110D6C" w:rsidRDefault="0043129A" w:rsidP="002057DA">
      <w:pPr>
        <w:widowControl/>
        <w:rPr>
          <w:rFonts w:cs="Times New Roman"/>
          <w:bCs/>
          <w:color w:val="auto"/>
          <w:szCs w:val="22"/>
          <w:lang w:val="pt-PT"/>
        </w:rPr>
      </w:pPr>
    </w:p>
    <w:p w14:paraId="1C7ACE55"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9.</w:t>
      </w:r>
      <w:r w:rsidRPr="00110D6C">
        <w:rPr>
          <w:rFonts w:cs="Times New Roman"/>
          <w:b/>
          <w:bCs/>
          <w:color w:val="auto"/>
          <w:szCs w:val="22"/>
          <w:lang w:val="pt-PT"/>
        </w:rPr>
        <w:tab/>
      </w:r>
      <w:r w:rsidR="00030085" w:rsidRPr="00110D6C">
        <w:rPr>
          <w:rFonts w:cs="Times New Roman"/>
          <w:b/>
          <w:bCs/>
          <w:color w:val="auto"/>
          <w:szCs w:val="22"/>
          <w:lang w:val="pt-PT"/>
        </w:rPr>
        <w:t>DATA DA PRIMEIRA AUTORIZAÇÃO/RENOVAÇÃO DA AUTORIZAÇÃO DE INTRODUÇÃO NO MERCADO</w:t>
      </w:r>
      <w:bookmarkEnd w:id="24"/>
    </w:p>
    <w:p w14:paraId="2E4A6108" w14:textId="77777777" w:rsidR="0043129A" w:rsidRPr="00110D6C" w:rsidRDefault="0043129A" w:rsidP="00A17623">
      <w:pPr>
        <w:widowControl/>
        <w:rPr>
          <w:rFonts w:cs="Times New Roman"/>
          <w:color w:val="auto"/>
          <w:szCs w:val="22"/>
          <w:lang w:val="pt-PT"/>
        </w:rPr>
      </w:pPr>
    </w:p>
    <w:p w14:paraId="767934B0" w14:textId="42A7D58E"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Data da primeira autorização: </w:t>
      </w:r>
      <w:r w:rsidR="00D61844">
        <w:rPr>
          <w:lang w:val="pt-PT"/>
        </w:rPr>
        <w:t>25 de setembro de 2024</w:t>
      </w:r>
    </w:p>
    <w:p w14:paraId="1BB83BA4" w14:textId="77777777" w:rsidR="00272769" w:rsidRPr="00110D6C" w:rsidRDefault="00272769" w:rsidP="002057DA">
      <w:pPr>
        <w:widowControl/>
        <w:rPr>
          <w:rFonts w:cs="Times New Roman"/>
          <w:bCs/>
          <w:color w:val="auto"/>
          <w:szCs w:val="22"/>
          <w:lang w:val="pt-PT"/>
        </w:rPr>
      </w:pPr>
      <w:bookmarkStart w:id="25" w:name="bookmark48"/>
    </w:p>
    <w:p w14:paraId="05D4BB3A" w14:textId="77777777" w:rsidR="00272769" w:rsidRPr="00110D6C" w:rsidRDefault="00272769" w:rsidP="002057DA">
      <w:pPr>
        <w:widowControl/>
        <w:rPr>
          <w:rFonts w:cs="Times New Roman"/>
          <w:bCs/>
          <w:color w:val="auto"/>
          <w:szCs w:val="22"/>
          <w:lang w:val="pt-PT"/>
        </w:rPr>
      </w:pPr>
    </w:p>
    <w:p w14:paraId="4D1F5FD5" w14:textId="77777777" w:rsidR="0077031F" w:rsidRPr="00110D6C" w:rsidRDefault="00272769" w:rsidP="00A17623">
      <w:pPr>
        <w:widowControl/>
        <w:ind w:left="567" w:hanging="567"/>
        <w:rPr>
          <w:rFonts w:cs="Times New Roman"/>
          <w:color w:val="auto"/>
          <w:szCs w:val="22"/>
          <w:lang w:val="pt-PT"/>
        </w:rPr>
      </w:pPr>
      <w:r w:rsidRPr="00110D6C">
        <w:rPr>
          <w:rFonts w:cs="Times New Roman"/>
          <w:b/>
          <w:bCs/>
          <w:color w:val="auto"/>
          <w:szCs w:val="22"/>
          <w:lang w:val="pt-PT"/>
        </w:rPr>
        <w:t>10.</w:t>
      </w:r>
      <w:r w:rsidRPr="00110D6C">
        <w:rPr>
          <w:rFonts w:cs="Times New Roman"/>
          <w:b/>
          <w:bCs/>
          <w:color w:val="auto"/>
          <w:szCs w:val="22"/>
          <w:lang w:val="pt-PT"/>
        </w:rPr>
        <w:tab/>
      </w:r>
      <w:r w:rsidR="00030085" w:rsidRPr="00110D6C">
        <w:rPr>
          <w:rFonts w:cs="Times New Roman"/>
          <w:b/>
          <w:bCs/>
          <w:color w:val="auto"/>
          <w:szCs w:val="22"/>
          <w:lang w:val="pt-PT"/>
        </w:rPr>
        <w:t>DATA DA REVISÃO DO TEXTO</w:t>
      </w:r>
      <w:bookmarkEnd w:id="25"/>
    </w:p>
    <w:p w14:paraId="47AC5E52" w14:textId="77777777" w:rsidR="0043129A" w:rsidRPr="00110D6C" w:rsidRDefault="0043129A" w:rsidP="00A17623">
      <w:pPr>
        <w:widowControl/>
        <w:rPr>
          <w:rFonts w:cs="Times New Roman"/>
          <w:color w:val="auto"/>
          <w:szCs w:val="22"/>
          <w:lang w:val="pt-PT"/>
        </w:rPr>
      </w:pPr>
    </w:p>
    <w:p w14:paraId="3AAB57DD" w14:textId="14758794"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Está disponível informação pormenorizada sobre este medicamento no sítio da internet da Agência Europeia de Medicamentos: </w:t>
      </w:r>
      <w:hyperlink r:id="rId12" w:history="1">
        <w:r w:rsidR="00C73501" w:rsidRPr="00244D49">
          <w:rPr>
            <w:rStyle w:val="Hyperlink"/>
            <w:rFonts w:cs="Times New Roman"/>
            <w:szCs w:val="22"/>
            <w:lang w:val="pt-PT"/>
          </w:rPr>
          <w:t>https://www.ema.europa.eu</w:t>
        </w:r>
      </w:hyperlink>
      <w:r w:rsidRPr="00110D6C">
        <w:rPr>
          <w:rFonts w:cs="Times New Roman"/>
          <w:color w:val="auto"/>
          <w:szCs w:val="22"/>
          <w:lang w:val="pt-PT"/>
        </w:rPr>
        <w:t>.</w:t>
      </w:r>
    </w:p>
    <w:p w14:paraId="5F7B2BF9" w14:textId="77777777" w:rsidR="00C73501" w:rsidRPr="00AD342C" w:rsidRDefault="00C73501" w:rsidP="00C73501">
      <w:pPr>
        <w:widowControl/>
        <w:rPr>
          <w:rFonts w:cs="Times New Roman"/>
          <w:b/>
          <w:bCs/>
          <w:color w:val="auto"/>
          <w:szCs w:val="22"/>
          <w:lang w:val="pt-PT"/>
        </w:rPr>
      </w:pPr>
      <w:bookmarkStart w:id="26" w:name="bookmark50"/>
      <w:r w:rsidRPr="00AD342C">
        <w:rPr>
          <w:noProof/>
          <w:lang w:val="pt-PT" w:eastAsia="en-GB" w:bidi="ar-SA"/>
        </w:rPr>
        <w:drawing>
          <wp:inline distT="0" distB="0" distL="0" distR="0" wp14:anchorId="1352E6AC" wp14:editId="6E680795">
            <wp:extent cx="200025" cy="171450"/>
            <wp:effectExtent l="0" t="0" r="0" b="0"/>
            <wp:docPr id="401717734"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07569" name="Picture 1"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AD342C">
        <w:rPr>
          <w:lang w:val="pt-PT"/>
        </w:rPr>
        <w:t>Este medicamento está sujeito a monitorização adicional. Isto irá permitir a rápida identificação de nova informação de segurança. Pede-se aos profissionais de saúde que notifiquem quaisquer suspeitas de reações adversas. Para saber como notificar reações adversas, ver secção 4.8.</w:t>
      </w:r>
    </w:p>
    <w:p w14:paraId="0BD6F69F" w14:textId="77777777" w:rsidR="00C73501" w:rsidRDefault="00C73501">
      <w:pPr>
        <w:widowControl/>
        <w:rPr>
          <w:rFonts w:cs="Times New Roman"/>
          <w:color w:val="auto"/>
          <w:szCs w:val="22"/>
          <w:lang w:val="pt-PT"/>
        </w:rPr>
      </w:pPr>
    </w:p>
    <w:p w14:paraId="1A240E59" w14:textId="77777777" w:rsidR="00BB1D62" w:rsidRPr="00492A01" w:rsidRDefault="00BB1D62" w:rsidP="00492A01">
      <w:pPr>
        <w:widowControl/>
        <w:rPr>
          <w:rFonts w:cs="Times New Roman"/>
          <w:color w:val="auto"/>
          <w:szCs w:val="22"/>
          <w:lang w:val="pt-PT"/>
        </w:rPr>
      </w:pPr>
    </w:p>
    <w:p w14:paraId="480ED083" w14:textId="60B145FD"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1.</w:t>
      </w:r>
      <w:r w:rsidRPr="00110D6C">
        <w:rPr>
          <w:rFonts w:cs="Times New Roman"/>
          <w:b/>
          <w:bCs/>
          <w:color w:val="auto"/>
          <w:szCs w:val="22"/>
          <w:lang w:val="pt-PT"/>
        </w:rPr>
        <w:tab/>
      </w:r>
      <w:r w:rsidR="00030085" w:rsidRPr="00110D6C">
        <w:rPr>
          <w:rFonts w:cs="Times New Roman"/>
          <w:b/>
          <w:bCs/>
          <w:color w:val="auto"/>
          <w:szCs w:val="22"/>
          <w:lang w:val="pt-PT"/>
        </w:rPr>
        <w:t>NOME DO MEDICAMENTO</w:t>
      </w:r>
      <w:bookmarkEnd w:id="26"/>
    </w:p>
    <w:p w14:paraId="7B61FA44" w14:textId="77777777" w:rsidR="0043129A" w:rsidRPr="00110D6C" w:rsidRDefault="0043129A" w:rsidP="00A17623">
      <w:pPr>
        <w:widowControl/>
        <w:rPr>
          <w:rFonts w:cs="Times New Roman"/>
          <w:color w:val="auto"/>
          <w:szCs w:val="22"/>
          <w:lang w:val="pt-PT"/>
        </w:rPr>
      </w:pPr>
    </w:p>
    <w:p w14:paraId="2055035B" w14:textId="31F3A2BD" w:rsidR="0077031F" w:rsidRPr="00110D6C" w:rsidRDefault="00D05FE6" w:rsidP="00A17623">
      <w:pPr>
        <w:widowControl/>
        <w:rPr>
          <w:rFonts w:cs="Times New Roman"/>
          <w:color w:val="auto"/>
          <w:szCs w:val="22"/>
          <w:lang w:val="pt-PT"/>
        </w:rPr>
      </w:pPr>
      <w:r w:rsidRPr="00110D6C">
        <w:rPr>
          <w:rFonts w:cs="Times New Roman"/>
          <w:color w:val="auto"/>
          <w:szCs w:val="22"/>
          <w:lang w:val="pt-PT"/>
        </w:rPr>
        <w:t>F</w:t>
      </w:r>
      <w:r w:rsidR="00C73501" w:rsidRPr="00110D6C">
        <w:rPr>
          <w:rFonts w:cs="Times New Roman"/>
          <w:color w:val="auto"/>
          <w:szCs w:val="22"/>
          <w:lang w:val="pt-PT"/>
        </w:rPr>
        <w:t>ymskina</w:t>
      </w:r>
      <w:r w:rsidR="00030085" w:rsidRPr="00110D6C">
        <w:rPr>
          <w:rFonts w:cs="Times New Roman"/>
          <w:color w:val="auto"/>
          <w:szCs w:val="22"/>
          <w:lang w:val="pt-PT"/>
        </w:rPr>
        <w:t xml:space="preserve"> 4</w:t>
      </w:r>
      <w:r w:rsidR="00B910F9" w:rsidRPr="00110D6C">
        <w:rPr>
          <w:rFonts w:cs="Times New Roman"/>
          <w:color w:val="auto"/>
          <w:szCs w:val="22"/>
          <w:lang w:val="pt-PT"/>
        </w:rPr>
        <w:t>5 </w:t>
      </w:r>
      <w:r w:rsidR="00030085" w:rsidRPr="00110D6C">
        <w:rPr>
          <w:rFonts w:cs="Times New Roman"/>
          <w:color w:val="auto"/>
          <w:szCs w:val="22"/>
          <w:lang w:val="pt-PT"/>
        </w:rPr>
        <w:t>mg solução injetável em seringa pré-cheia</w:t>
      </w:r>
    </w:p>
    <w:p w14:paraId="786E8642" w14:textId="6AB6F304" w:rsidR="0077031F" w:rsidRPr="00110D6C" w:rsidRDefault="00D05FE6" w:rsidP="00A17623">
      <w:pPr>
        <w:widowControl/>
        <w:rPr>
          <w:rFonts w:cs="Times New Roman"/>
          <w:color w:val="auto"/>
          <w:szCs w:val="22"/>
          <w:lang w:val="pt-PT"/>
        </w:rPr>
      </w:pPr>
      <w:r w:rsidRPr="00110D6C">
        <w:rPr>
          <w:rFonts w:cs="Times New Roman"/>
          <w:color w:val="auto"/>
          <w:szCs w:val="22"/>
          <w:lang w:val="pt-PT"/>
        </w:rPr>
        <w:t>F</w:t>
      </w:r>
      <w:r w:rsidR="00C73501" w:rsidRPr="00110D6C">
        <w:rPr>
          <w:rFonts w:cs="Times New Roman"/>
          <w:color w:val="auto"/>
          <w:szCs w:val="22"/>
          <w:lang w:val="pt-PT"/>
        </w:rPr>
        <w:t>ymskina</w:t>
      </w:r>
      <w:r w:rsidR="00030085" w:rsidRPr="00110D6C">
        <w:rPr>
          <w:rFonts w:cs="Times New Roman"/>
          <w:color w:val="auto"/>
          <w:szCs w:val="22"/>
          <w:lang w:val="pt-PT"/>
        </w:rPr>
        <w:t xml:space="preserve"> 9</w:t>
      </w:r>
      <w:r w:rsidR="00B910F9" w:rsidRPr="00110D6C">
        <w:rPr>
          <w:rFonts w:cs="Times New Roman"/>
          <w:color w:val="auto"/>
          <w:szCs w:val="22"/>
          <w:lang w:val="pt-PT"/>
        </w:rPr>
        <w:t>0 </w:t>
      </w:r>
      <w:r w:rsidR="00030085" w:rsidRPr="00110D6C">
        <w:rPr>
          <w:rFonts w:cs="Times New Roman"/>
          <w:color w:val="auto"/>
          <w:szCs w:val="22"/>
          <w:lang w:val="pt-PT"/>
        </w:rPr>
        <w:t>mg solução injetável em seringa pré-cheia</w:t>
      </w:r>
    </w:p>
    <w:p w14:paraId="432187C4" w14:textId="77777777" w:rsidR="0043129A" w:rsidRPr="00110D6C" w:rsidRDefault="0043129A" w:rsidP="00A17623">
      <w:pPr>
        <w:widowControl/>
        <w:rPr>
          <w:rFonts w:cs="Times New Roman"/>
          <w:color w:val="auto"/>
          <w:szCs w:val="22"/>
          <w:lang w:val="pt-PT"/>
        </w:rPr>
      </w:pPr>
    </w:p>
    <w:p w14:paraId="7862325B" w14:textId="77777777" w:rsidR="0043129A" w:rsidRPr="00110D6C" w:rsidRDefault="0043129A" w:rsidP="00A17623">
      <w:pPr>
        <w:widowControl/>
        <w:rPr>
          <w:rFonts w:cs="Times New Roman"/>
          <w:color w:val="auto"/>
          <w:szCs w:val="22"/>
          <w:lang w:val="pt-PT"/>
        </w:rPr>
      </w:pPr>
    </w:p>
    <w:p w14:paraId="6A32CA30" w14:textId="77777777" w:rsidR="0077031F" w:rsidRPr="00110D6C" w:rsidRDefault="00DC3C01" w:rsidP="00A17623">
      <w:pPr>
        <w:widowControl/>
        <w:ind w:left="567" w:hanging="567"/>
        <w:rPr>
          <w:rFonts w:cs="Times New Roman"/>
          <w:color w:val="auto"/>
          <w:szCs w:val="22"/>
          <w:lang w:val="pt-PT"/>
        </w:rPr>
      </w:pPr>
      <w:bookmarkStart w:id="27" w:name="bookmark52"/>
      <w:r w:rsidRPr="00110D6C">
        <w:rPr>
          <w:rFonts w:cs="Times New Roman"/>
          <w:b/>
          <w:bCs/>
          <w:color w:val="auto"/>
          <w:szCs w:val="22"/>
          <w:lang w:val="pt-PT"/>
        </w:rPr>
        <w:t>2.</w:t>
      </w:r>
      <w:r w:rsidRPr="00110D6C">
        <w:rPr>
          <w:rFonts w:cs="Times New Roman"/>
          <w:b/>
          <w:bCs/>
          <w:color w:val="auto"/>
          <w:szCs w:val="22"/>
          <w:lang w:val="pt-PT"/>
        </w:rPr>
        <w:tab/>
      </w:r>
      <w:r w:rsidR="00030085" w:rsidRPr="00110D6C">
        <w:rPr>
          <w:rFonts w:cs="Times New Roman"/>
          <w:b/>
          <w:bCs/>
          <w:color w:val="auto"/>
          <w:szCs w:val="22"/>
          <w:lang w:val="pt-PT"/>
        </w:rPr>
        <w:t>COMPOSIÇÃO QUALITATIVA E QUANTITATIVA</w:t>
      </w:r>
      <w:bookmarkEnd w:id="27"/>
    </w:p>
    <w:p w14:paraId="4D19F9AC" w14:textId="77777777" w:rsidR="0043129A" w:rsidRPr="00110D6C" w:rsidRDefault="0043129A" w:rsidP="00A17623">
      <w:pPr>
        <w:widowControl/>
        <w:rPr>
          <w:rFonts w:cs="Times New Roman"/>
          <w:color w:val="auto"/>
          <w:szCs w:val="22"/>
          <w:lang w:val="pt-PT"/>
        </w:rPr>
      </w:pPr>
    </w:p>
    <w:p w14:paraId="788C279A" w14:textId="37B8F30E" w:rsidR="0077031F" w:rsidRPr="00110D6C" w:rsidRDefault="00D05FE6" w:rsidP="00A17623">
      <w:pPr>
        <w:widowControl/>
        <w:rPr>
          <w:rFonts w:cs="Times New Roman"/>
          <w:color w:val="auto"/>
          <w:szCs w:val="22"/>
          <w:lang w:val="pt-PT"/>
        </w:rPr>
      </w:pPr>
      <w:r w:rsidRPr="00110D6C">
        <w:rPr>
          <w:rFonts w:cs="Times New Roman"/>
          <w:color w:val="auto"/>
          <w:szCs w:val="22"/>
          <w:u w:val="single"/>
          <w:lang w:val="pt-PT"/>
        </w:rPr>
        <w:t>F</w:t>
      </w:r>
      <w:r w:rsidR="00C73501" w:rsidRPr="00110D6C">
        <w:rPr>
          <w:rFonts w:cs="Times New Roman"/>
          <w:color w:val="auto"/>
          <w:szCs w:val="22"/>
          <w:u w:val="single"/>
          <w:lang w:val="pt-PT"/>
        </w:rPr>
        <w:t>ymskina</w:t>
      </w:r>
      <w:r w:rsidR="00030085" w:rsidRPr="00110D6C">
        <w:rPr>
          <w:rFonts w:cs="Times New Roman"/>
          <w:color w:val="auto"/>
          <w:szCs w:val="22"/>
          <w:u w:val="single"/>
          <w:lang w:val="pt-PT"/>
        </w:rPr>
        <w:t xml:space="preserve"> 4</w:t>
      </w:r>
      <w:r w:rsidR="00B910F9" w:rsidRPr="00110D6C">
        <w:rPr>
          <w:rFonts w:cs="Times New Roman"/>
          <w:color w:val="auto"/>
          <w:szCs w:val="22"/>
          <w:u w:val="single"/>
          <w:lang w:val="pt-PT"/>
        </w:rPr>
        <w:t>5 </w:t>
      </w:r>
      <w:r w:rsidR="00030085" w:rsidRPr="00110D6C">
        <w:rPr>
          <w:rFonts w:cs="Times New Roman"/>
          <w:color w:val="auto"/>
          <w:szCs w:val="22"/>
          <w:u w:val="single"/>
          <w:lang w:val="pt-PT"/>
        </w:rPr>
        <w:t>mg solução injetável em seringa pré-cheia</w:t>
      </w:r>
    </w:p>
    <w:p w14:paraId="33D84345"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Cada seringa pré-cheia de 0,</w:t>
      </w:r>
      <w:r w:rsidR="00B910F9" w:rsidRPr="00110D6C">
        <w:rPr>
          <w:rFonts w:cs="Times New Roman"/>
          <w:color w:val="auto"/>
          <w:szCs w:val="22"/>
          <w:lang w:val="pt-PT"/>
        </w:rPr>
        <w:t>5 </w:t>
      </w:r>
      <w:r w:rsidRPr="00110D6C">
        <w:rPr>
          <w:rFonts w:cs="Times New Roman"/>
          <w:color w:val="auto"/>
          <w:szCs w:val="22"/>
          <w:lang w:val="pt-PT"/>
        </w:rPr>
        <w:t>ml contém 4</w:t>
      </w:r>
      <w:r w:rsidR="00B910F9" w:rsidRPr="00110D6C">
        <w:rPr>
          <w:rFonts w:cs="Times New Roman"/>
          <w:color w:val="auto"/>
          <w:szCs w:val="22"/>
          <w:lang w:val="pt-PT"/>
        </w:rPr>
        <w:t>5 </w:t>
      </w:r>
      <w:r w:rsidRPr="00110D6C">
        <w:rPr>
          <w:rFonts w:cs="Times New Roman"/>
          <w:color w:val="auto"/>
          <w:szCs w:val="22"/>
          <w:lang w:val="pt-PT"/>
        </w:rPr>
        <w:t>mg de ustecinumab.</w:t>
      </w:r>
    </w:p>
    <w:p w14:paraId="0A997F84" w14:textId="3D9540FE" w:rsidR="0043129A" w:rsidRPr="0089076D" w:rsidRDefault="00D61844" w:rsidP="00A17623">
      <w:pPr>
        <w:widowControl/>
        <w:rPr>
          <w:rFonts w:cs="Times New Roman"/>
          <w:color w:val="auto"/>
          <w:szCs w:val="22"/>
          <w:u w:val="single"/>
          <w:lang w:val="pt-PT"/>
        </w:rPr>
      </w:pPr>
      <w:r w:rsidRPr="0089076D">
        <w:rPr>
          <w:rFonts w:cs="Times New Roman"/>
          <w:color w:val="auto"/>
          <w:szCs w:val="22"/>
          <w:u w:val="single"/>
          <w:lang w:val="pt-PT"/>
        </w:rPr>
        <w:t>Excipiente com efeito conhecido</w:t>
      </w:r>
    </w:p>
    <w:p w14:paraId="76202F49" w14:textId="0370750E" w:rsidR="00D61844" w:rsidRDefault="00D61844" w:rsidP="00A17623">
      <w:pPr>
        <w:widowControl/>
        <w:rPr>
          <w:rFonts w:cs="Times New Roman"/>
          <w:color w:val="auto"/>
          <w:szCs w:val="22"/>
          <w:lang w:val="pt-PT"/>
        </w:rPr>
      </w:pPr>
      <w:r>
        <w:rPr>
          <w:rFonts w:cs="Times New Roman"/>
          <w:color w:val="auto"/>
          <w:szCs w:val="22"/>
          <w:lang w:val="pt-PT"/>
        </w:rPr>
        <w:t>Este medicamento contém 0,02 mg de polissorbato 80 em cada seringa pré-cheia, o que é equivalente a 0,04 mg/ml.</w:t>
      </w:r>
    </w:p>
    <w:p w14:paraId="68540BDF" w14:textId="77777777" w:rsidR="00D61844" w:rsidRPr="00110D6C" w:rsidRDefault="00D61844" w:rsidP="00A17623">
      <w:pPr>
        <w:widowControl/>
        <w:rPr>
          <w:rFonts w:cs="Times New Roman"/>
          <w:color w:val="auto"/>
          <w:szCs w:val="22"/>
          <w:lang w:val="pt-PT"/>
        </w:rPr>
      </w:pPr>
    </w:p>
    <w:p w14:paraId="3DBDAF70" w14:textId="4D512A9F" w:rsidR="0077031F" w:rsidRPr="00110D6C" w:rsidRDefault="00D05FE6" w:rsidP="00A17623">
      <w:pPr>
        <w:widowControl/>
        <w:rPr>
          <w:rFonts w:cs="Times New Roman"/>
          <w:color w:val="auto"/>
          <w:szCs w:val="22"/>
          <w:lang w:val="pt-PT"/>
        </w:rPr>
      </w:pPr>
      <w:r w:rsidRPr="00110D6C">
        <w:rPr>
          <w:rFonts w:cs="Times New Roman"/>
          <w:color w:val="auto"/>
          <w:szCs w:val="22"/>
          <w:u w:val="single"/>
          <w:lang w:val="pt-PT"/>
        </w:rPr>
        <w:t>F</w:t>
      </w:r>
      <w:r w:rsidR="00C73501" w:rsidRPr="00110D6C">
        <w:rPr>
          <w:rFonts w:cs="Times New Roman"/>
          <w:color w:val="auto"/>
          <w:szCs w:val="22"/>
          <w:u w:val="single"/>
          <w:lang w:val="pt-PT"/>
        </w:rPr>
        <w:t>ymskina</w:t>
      </w:r>
      <w:r w:rsidR="00030085" w:rsidRPr="00110D6C">
        <w:rPr>
          <w:rFonts w:cs="Times New Roman"/>
          <w:color w:val="auto"/>
          <w:szCs w:val="22"/>
          <w:u w:val="single"/>
          <w:lang w:val="pt-PT"/>
        </w:rPr>
        <w:t xml:space="preserve"> 9</w:t>
      </w:r>
      <w:r w:rsidR="00B910F9" w:rsidRPr="00110D6C">
        <w:rPr>
          <w:rFonts w:cs="Times New Roman"/>
          <w:color w:val="auto"/>
          <w:szCs w:val="22"/>
          <w:u w:val="single"/>
          <w:lang w:val="pt-PT"/>
        </w:rPr>
        <w:t>0 </w:t>
      </w:r>
      <w:r w:rsidR="00030085" w:rsidRPr="00110D6C">
        <w:rPr>
          <w:rFonts w:cs="Times New Roman"/>
          <w:color w:val="auto"/>
          <w:szCs w:val="22"/>
          <w:u w:val="single"/>
          <w:lang w:val="pt-PT"/>
        </w:rPr>
        <w:t>mg solução injetável em seringa pré-cheia</w:t>
      </w:r>
    </w:p>
    <w:p w14:paraId="31003647"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Cada seringa pré-cheia de </w:t>
      </w:r>
      <w:r w:rsidR="00B910F9" w:rsidRPr="00110D6C">
        <w:rPr>
          <w:rFonts w:cs="Times New Roman"/>
          <w:color w:val="auto"/>
          <w:szCs w:val="22"/>
          <w:lang w:val="pt-PT"/>
        </w:rPr>
        <w:t>1 </w:t>
      </w:r>
      <w:r w:rsidRPr="00110D6C">
        <w:rPr>
          <w:rFonts w:cs="Times New Roman"/>
          <w:color w:val="auto"/>
          <w:szCs w:val="22"/>
          <w:lang w:val="pt-PT"/>
        </w:rPr>
        <w:t>ml contém 9</w:t>
      </w:r>
      <w:r w:rsidR="00B910F9" w:rsidRPr="00110D6C">
        <w:rPr>
          <w:rFonts w:cs="Times New Roman"/>
          <w:color w:val="auto"/>
          <w:szCs w:val="22"/>
          <w:lang w:val="pt-PT"/>
        </w:rPr>
        <w:t>0 </w:t>
      </w:r>
      <w:r w:rsidRPr="00110D6C">
        <w:rPr>
          <w:rFonts w:cs="Times New Roman"/>
          <w:color w:val="auto"/>
          <w:szCs w:val="22"/>
          <w:lang w:val="pt-PT"/>
        </w:rPr>
        <w:t>mg de ustecinumab.</w:t>
      </w:r>
    </w:p>
    <w:p w14:paraId="6C811FB4" w14:textId="77777777" w:rsidR="00D61844" w:rsidRPr="00F332DF" w:rsidRDefault="00D61844" w:rsidP="00D61844">
      <w:pPr>
        <w:widowControl/>
        <w:rPr>
          <w:rFonts w:cs="Times New Roman"/>
          <w:color w:val="auto"/>
          <w:szCs w:val="22"/>
          <w:u w:val="single"/>
          <w:lang w:val="pt-PT"/>
        </w:rPr>
      </w:pPr>
      <w:r w:rsidRPr="00F332DF">
        <w:rPr>
          <w:rFonts w:cs="Times New Roman"/>
          <w:color w:val="auto"/>
          <w:szCs w:val="22"/>
          <w:u w:val="single"/>
          <w:lang w:val="pt-PT"/>
        </w:rPr>
        <w:t>Excipiente com efeito conhecido</w:t>
      </w:r>
    </w:p>
    <w:p w14:paraId="30AA34BA" w14:textId="3F459D9F" w:rsidR="00D61844" w:rsidRDefault="00D61844" w:rsidP="00D61844">
      <w:pPr>
        <w:widowControl/>
        <w:rPr>
          <w:rFonts w:cs="Times New Roman"/>
          <w:color w:val="auto"/>
          <w:szCs w:val="22"/>
          <w:lang w:val="pt-PT"/>
        </w:rPr>
      </w:pPr>
      <w:r>
        <w:rPr>
          <w:rFonts w:cs="Times New Roman"/>
          <w:color w:val="auto"/>
          <w:szCs w:val="22"/>
          <w:lang w:val="pt-PT"/>
        </w:rPr>
        <w:t>Este medicamento contém 0,0</w:t>
      </w:r>
      <w:r w:rsidR="0084477A">
        <w:rPr>
          <w:rFonts w:cs="Times New Roman"/>
          <w:color w:val="auto"/>
          <w:szCs w:val="22"/>
          <w:lang w:val="pt-PT"/>
        </w:rPr>
        <w:t>4</w:t>
      </w:r>
      <w:r>
        <w:rPr>
          <w:rFonts w:cs="Times New Roman"/>
          <w:color w:val="auto"/>
          <w:szCs w:val="22"/>
          <w:lang w:val="pt-PT"/>
        </w:rPr>
        <w:t> mg de polissorbato 80 em cada seringa pré-cheia, o que é equivalente a 0,04 mg/ml.</w:t>
      </w:r>
    </w:p>
    <w:p w14:paraId="702F0C6B" w14:textId="77777777" w:rsidR="0043129A" w:rsidRPr="00110D6C" w:rsidRDefault="0043129A" w:rsidP="00A17623">
      <w:pPr>
        <w:widowControl/>
        <w:rPr>
          <w:rFonts w:cs="Times New Roman"/>
          <w:color w:val="auto"/>
          <w:szCs w:val="22"/>
          <w:lang w:val="pt-PT"/>
        </w:rPr>
      </w:pPr>
    </w:p>
    <w:p w14:paraId="57FC61C7" w14:textId="6CF84C62"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O ustecinumab é um anticorpo monoclonal IgG1κ anti interleucina (IL)-12/23, totalmente humano produzido numa linhagem de células de </w:t>
      </w:r>
      <w:r w:rsidR="00D05FE6" w:rsidRPr="00110D6C">
        <w:rPr>
          <w:rFonts w:cs="Times New Roman"/>
          <w:color w:val="auto"/>
          <w:szCs w:val="22"/>
          <w:lang w:val="pt-PT"/>
        </w:rPr>
        <w:t>ovário de hamster chinês</w:t>
      </w:r>
      <w:r w:rsidRPr="00110D6C">
        <w:rPr>
          <w:rFonts w:cs="Times New Roman"/>
          <w:color w:val="auto"/>
          <w:szCs w:val="22"/>
          <w:lang w:val="pt-PT"/>
        </w:rPr>
        <w:t xml:space="preserve"> utilizando a tecnologia de DN</w:t>
      </w:r>
      <w:r w:rsidR="00203E85">
        <w:rPr>
          <w:rFonts w:cs="Times New Roman"/>
          <w:color w:val="auto"/>
          <w:szCs w:val="22"/>
          <w:lang w:val="pt-PT"/>
        </w:rPr>
        <w:t>A</w:t>
      </w:r>
      <w:r w:rsidRPr="00110D6C">
        <w:rPr>
          <w:rFonts w:cs="Times New Roman"/>
          <w:color w:val="auto"/>
          <w:szCs w:val="22"/>
          <w:lang w:val="pt-PT"/>
        </w:rPr>
        <w:t xml:space="preserve"> recombinante.</w:t>
      </w:r>
    </w:p>
    <w:p w14:paraId="083FE158" w14:textId="77777777" w:rsidR="0068685B" w:rsidRPr="00110D6C" w:rsidRDefault="0068685B" w:rsidP="00A17623">
      <w:pPr>
        <w:widowControl/>
        <w:rPr>
          <w:rFonts w:cs="Times New Roman"/>
          <w:color w:val="auto"/>
          <w:szCs w:val="22"/>
          <w:lang w:val="pt-PT"/>
        </w:rPr>
      </w:pPr>
    </w:p>
    <w:p w14:paraId="15B49C7A"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Lista completa de excipientes,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6.1.</w:t>
      </w:r>
    </w:p>
    <w:p w14:paraId="4CE3ADF1" w14:textId="77777777" w:rsidR="0043129A" w:rsidRPr="00110D6C" w:rsidRDefault="0043129A" w:rsidP="00A17623">
      <w:pPr>
        <w:widowControl/>
        <w:rPr>
          <w:rFonts w:cs="Times New Roman"/>
          <w:color w:val="auto"/>
          <w:szCs w:val="22"/>
          <w:lang w:val="pt-PT"/>
        </w:rPr>
      </w:pPr>
    </w:p>
    <w:p w14:paraId="5594C42D" w14:textId="77777777" w:rsidR="0043129A" w:rsidRPr="00110D6C" w:rsidRDefault="0043129A" w:rsidP="00A17623">
      <w:pPr>
        <w:widowControl/>
        <w:rPr>
          <w:rFonts w:cs="Times New Roman"/>
          <w:color w:val="auto"/>
          <w:szCs w:val="22"/>
          <w:lang w:val="pt-PT"/>
        </w:rPr>
      </w:pPr>
    </w:p>
    <w:p w14:paraId="4736D314" w14:textId="77777777" w:rsidR="0077031F" w:rsidRPr="00110D6C" w:rsidRDefault="00DC3C01" w:rsidP="00A17623">
      <w:pPr>
        <w:widowControl/>
        <w:ind w:left="567" w:hanging="567"/>
        <w:rPr>
          <w:rFonts w:cs="Times New Roman"/>
          <w:color w:val="auto"/>
          <w:szCs w:val="22"/>
          <w:lang w:val="pt-PT"/>
        </w:rPr>
      </w:pPr>
      <w:bookmarkStart w:id="28" w:name="bookmark54"/>
      <w:r w:rsidRPr="00110D6C">
        <w:rPr>
          <w:rFonts w:cs="Times New Roman"/>
          <w:b/>
          <w:bCs/>
          <w:color w:val="auto"/>
          <w:szCs w:val="22"/>
          <w:lang w:val="pt-PT"/>
        </w:rPr>
        <w:t>3.</w:t>
      </w:r>
      <w:r w:rsidRPr="00110D6C">
        <w:rPr>
          <w:rFonts w:cs="Times New Roman"/>
          <w:b/>
          <w:bCs/>
          <w:color w:val="auto"/>
          <w:szCs w:val="22"/>
          <w:lang w:val="pt-PT"/>
        </w:rPr>
        <w:tab/>
      </w:r>
      <w:r w:rsidR="00030085" w:rsidRPr="00110D6C">
        <w:rPr>
          <w:rFonts w:cs="Times New Roman"/>
          <w:b/>
          <w:bCs/>
          <w:color w:val="auto"/>
          <w:szCs w:val="22"/>
          <w:lang w:val="pt-PT"/>
        </w:rPr>
        <w:t>FORMA FARMACÊUTICA</w:t>
      </w:r>
      <w:bookmarkEnd w:id="28"/>
    </w:p>
    <w:p w14:paraId="5005B7D5" w14:textId="77777777" w:rsidR="0043129A" w:rsidRPr="00110D6C" w:rsidRDefault="0043129A" w:rsidP="00A17623">
      <w:pPr>
        <w:widowControl/>
        <w:rPr>
          <w:rFonts w:cs="Times New Roman"/>
          <w:color w:val="auto"/>
          <w:szCs w:val="22"/>
          <w:lang w:val="pt-PT"/>
        </w:rPr>
      </w:pPr>
    </w:p>
    <w:p w14:paraId="066A48D7" w14:textId="0CF001A4" w:rsidR="0077031F" w:rsidRPr="00110D6C" w:rsidRDefault="00D05FE6" w:rsidP="00A17623">
      <w:pPr>
        <w:widowControl/>
        <w:rPr>
          <w:rFonts w:cs="Times New Roman"/>
          <w:color w:val="auto"/>
          <w:szCs w:val="22"/>
          <w:lang w:val="pt-PT"/>
        </w:rPr>
      </w:pPr>
      <w:r w:rsidRPr="00110D6C">
        <w:rPr>
          <w:rFonts w:cs="Times New Roman"/>
          <w:color w:val="auto"/>
          <w:szCs w:val="22"/>
          <w:u w:val="single"/>
          <w:lang w:val="pt-PT"/>
        </w:rPr>
        <w:t>F</w:t>
      </w:r>
      <w:r w:rsidR="00C73501" w:rsidRPr="00110D6C">
        <w:rPr>
          <w:rFonts w:cs="Times New Roman"/>
          <w:color w:val="auto"/>
          <w:szCs w:val="22"/>
          <w:u w:val="single"/>
          <w:lang w:val="pt-PT"/>
        </w:rPr>
        <w:t>ymskina</w:t>
      </w:r>
      <w:r w:rsidR="00030085" w:rsidRPr="00110D6C">
        <w:rPr>
          <w:rFonts w:cs="Times New Roman"/>
          <w:color w:val="auto"/>
          <w:szCs w:val="22"/>
          <w:u w:val="single"/>
          <w:lang w:val="pt-PT"/>
        </w:rPr>
        <w:t xml:space="preserve"> 4</w:t>
      </w:r>
      <w:r w:rsidR="00B910F9" w:rsidRPr="00110D6C">
        <w:rPr>
          <w:rFonts w:cs="Times New Roman"/>
          <w:color w:val="auto"/>
          <w:szCs w:val="22"/>
          <w:u w:val="single"/>
          <w:lang w:val="pt-PT"/>
        </w:rPr>
        <w:t>5 </w:t>
      </w:r>
      <w:r w:rsidR="00030085" w:rsidRPr="00110D6C">
        <w:rPr>
          <w:rFonts w:cs="Times New Roman"/>
          <w:color w:val="auto"/>
          <w:szCs w:val="22"/>
          <w:u w:val="single"/>
          <w:lang w:val="pt-PT"/>
        </w:rPr>
        <w:t>mg solução injetável em seringa pré-cheia</w:t>
      </w:r>
    </w:p>
    <w:p w14:paraId="36790725" w14:textId="4947FACE" w:rsidR="0077031F" w:rsidRPr="00110D6C" w:rsidRDefault="00030085" w:rsidP="00A17623">
      <w:pPr>
        <w:widowControl/>
        <w:rPr>
          <w:rFonts w:cs="Times New Roman"/>
          <w:color w:val="auto"/>
          <w:szCs w:val="22"/>
          <w:lang w:val="pt-PT"/>
        </w:rPr>
      </w:pPr>
      <w:r w:rsidRPr="00110D6C">
        <w:rPr>
          <w:rFonts w:cs="Times New Roman"/>
          <w:color w:val="auto"/>
          <w:szCs w:val="22"/>
          <w:lang w:val="pt-PT"/>
        </w:rPr>
        <w:t>Solução injetável</w:t>
      </w:r>
      <w:r w:rsidR="005C68E7">
        <w:rPr>
          <w:rFonts w:cs="Times New Roman"/>
          <w:color w:val="auto"/>
          <w:szCs w:val="22"/>
          <w:lang w:val="pt-PT"/>
        </w:rPr>
        <w:t xml:space="preserve"> (injetável)</w:t>
      </w:r>
      <w:r w:rsidRPr="00110D6C">
        <w:rPr>
          <w:rFonts w:cs="Times New Roman"/>
          <w:color w:val="auto"/>
          <w:szCs w:val="22"/>
          <w:lang w:val="pt-PT"/>
        </w:rPr>
        <w:t>.</w:t>
      </w:r>
    </w:p>
    <w:p w14:paraId="5C13E244" w14:textId="77777777" w:rsidR="0043129A" w:rsidRPr="00110D6C" w:rsidRDefault="0043129A" w:rsidP="00A17623">
      <w:pPr>
        <w:widowControl/>
        <w:rPr>
          <w:rFonts w:cs="Times New Roman"/>
          <w:color w:val="auto"/>
          <w:szCs w:val="22"/>
          <w:lang w:val="pt-PT"/>
        </w:rPr>
      </w:pPr>
    </w:p>
    <w:p w14:paraId="01DC4404" w14:textId="6E7BB9EE" w:rsidR="0077031F" w:rsidRPr="00110D6C" w:rsidRDefault="00D05FE6" w:rsidP="00A17623">
      <w:pPr>
        <w:widowControl/>
        <w:rPr>
          <w:rFonts w:cs="Times New Roman"/>
          <w:color w:val="auto"/>
          <w:szCs w:val="22"/>
          <w:lang w:val="pt-PT"/>
        </w:rPr>
      </w:pPr>
      <w:r w:rsidRPr="00110D6C">
        <w:rPr>
          <w:rFonts w:cs="Times New Roman"/>
          <w:color w:val="auto"/>
          <w:szCs w:val="22"/>
          <w:u w:val="single"/>
          <w:lang w:val="pt-PT"/>
        </w:rPr>
        <w:t>F</w:t>
      </w:r>
      <w:r w:rsidR="00C73501" w:rsidRPr="00110D6C">
        <w:rPr>
          <w:rFonts w:cs="Times New Roman"/>
          <w:color w:val="auto"/>
          <w:szCs w:val="22"/>
          <w:u w:val="single"/>
          <w:lang w:val="pt-PT"/>
        </w:rPr>
        <w:t>ymskina</w:t>
      </w:r>
      <w:r w:rsidR="00030085" w:rsidRPr="00110D6C">
        <w:rPr>
          <w:rFonts w:cs="Times New Roman"/>
          <w:color w:val="auto"/>
          <w:szCs w:val="22"/>
          <w:u w:val="single"/>
          <w:lang w:val="pt-PT"/>
        </w:rPr>
        <w:t xml:space="preserve"> 9</w:t>
      </w:r>
      <w:r w:rsidR="00B910F9" w:rsidRPr="00110D6C">
        <w:rPr>
          <w:rFonts w:cs="Times New Roman"/>
          <w:color w:val="auto"/>
          <w:szCs w:val="22"/>
          <w:u w:val="single"/>
          <w:lang w:val="pt-PT"/>
        </w:rPr>
        <w:t>0 </w:t>
      </w:r>
      <w:r w:rsidR="00030085" w:rsidRPr="00110D6C">
        <w:rPr>
          <w:rFonts w:cs="Times New Roman"/>
          <w:color w:val="auto"/>
          <w:szCs w:val="22"/>
          <w:u w:val="single"/>
          <w:lang w:val="pt-PT"/>
        </w:rPr>
        <w:t>mg solução injetável em seringa pré-cheia</w:t>
      </w:r>
    </w:p>
    <w:p w14:paraId="7A2A03D9" w14:textId="57955526" w:rsidR="0077031F" w:rsidRPr="00110D6C" w:rsidRDefault="00030085" w:rsidP="00A17623">
      <w:pPr>
        <w:widowControl/>
        <w:rPr>
          <w:rFonts w:cs="Times New Roman"/>
          <w:color w:val="auto"/>
          <w:szCs w:val="22"/>
          <w:lang w:val="pt-PT"/>
        </w:rPr>
      </w:pPr>
      <w:r w:rsidRPr="00110D6C">
        <w:rPr>
          <w:rFonts w:cs="Times New Roman"/>
          <w:color w:val="auto"/>
          <w:szCs w:val="22"/>
          <w:lang w:val="pt-PT"/>
        </w:rPr>
        <w:t>Solução injetável</w:t>
      </w:r>
      <w:r w:rsidR="005C68E7">
        <w:rPr>
          <w:rFonts w:cs="Times New Roman"/>
          <w:color w:val="auto"/>
          <w:szCs w:val="22"/>
          <w:lang w:val="pt-PT"/>
        </w:rPr>
        <w:t xml:space="preserve"> (injetável)</w:t>
      </w:r>
      <w:r w:rsidRPr="00110D6C">
        <w:rPr>
          <w:rFonts w:cs="Times New Roman"/>
          <w:color w:val="auto"/>
          <w:szCs w:val="22"/>
          <w:lang w:val="pt-PT"/>
        </w:rPr>
        <w:t>.</w:t>
      </w:r>
    </w:p>
    <w:p w14:paraId="38E29718" w14:textId="77777777" w:rsidR="0043129A" w:rsidRPr="00110D6C" w:rsidRDefault="0043129A" w:rsidP="00A17623">
      <w:pPr>
        <w:widowControl/>
        <w:rPr>
          <w:rFonts w:cs="Times New Roman"/>
          <w:color w:val="auto"/>
          <w:szCs w:val="22"/>
          <w:lang w:val="pt-PT"/>
        </w:rPr>
      </w:pPr>
    </w:p>
    <w:p w14:paraId="67CB367A" w14:textId="51C97A17"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 solução é transparente e incolor a </w:t>
      </w:r>
      <w:r w:rsidR="00C73501">
        <w:rPr>
          <w:rFonts w:cs="Times New Roman"/>
          <w:color w:val="auto"/>
          <w:szCs w:val="22"/>
          <w:lang w:val="pt-PT"/>
        </w:rPr>
        <w:t xml:space="preserve">ligeiramente </w:t>
      </w:r>
      <w:r w:rsidRPr="00110D6C">
        <w:rPr>
          <w:rFonts w:cs="Times New Roman"/>
          <w:color w:val="auto"/>
          <w:szCs w:val="22"/>
          <w:lang w:val="pt-PT"/>
        </w:rPr>
        <w:t>amarel</w:t>
      </w:r>
      <w:r w:rsidR="00C73501">
        <w:rPr>
          <w:rFonts w:cs="Times New Roman"/>
          <w:color w:val="auto"/>
          <w:szCs w:val="22"/>
          <w:lang w:val="pt-PT"/>
        </w:rPr>
        <w:t>o-acastanhada</w:t>
      </w:r>
      <w:r w:rsidRPr="00110D6C">
        <w:rPr>
          <w:rFonts w:cs="Times New Roman"/>
          <w:color w:val="auto"/>
          <w:szCs w:val="22"/>
          <w:lang w:val="pt-PT"/>
        </w:rPr>
        <w:t>.</w:t>
      </w:r>
    </w:p>
    <w:p w14:paraId="79F5E073" w14:textId="77777777" w:rsidR="0043129A" w:rsidRPr="00110D6C" w:rsidRDefault="0043129A" w:rsidP="00A17623">
      <w:pPr>
        <w:widowControl/>
        <w:rPr>
          <w:rFonts w:cs="Times New Roman"/>
          <w:color w:val="auto"/>
          <w:szCs w:val="22"/>
          <w:lang w:val="pt-PT"/>
        </w:rPr>
      </w:pPr>
    </w:p>
    <w:p w14:paraId="68B09ED3" w14:textId="77777777" w:rsidR="0043129A" w:rsidRPr="00110D6C" w:rsidRDefault="0043129A" w:rsidP="00A17623">
      <w:pPr>
        <w:widowControl/>
        <w:rPr>
          <w:rFonts w:cs="Times New Roman"/>
          <w:color w:val="auto"/>
          <w:szCs w:val="22"/>
          <w:lang w:val="pt-PT"/>
        </w:rPr>
      </w:pPr>
    </w:p>
    <w:p w14:paraId="5AC9F904"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4.</w:t>
      </w:r>
      <w:r w:rsidRPr="00110D6C">
        <w:rPr>
          <w:rFonts w:cs="Times New Roman"/>
          <w:b/>
          <w:bCs/>
          <w:color w:val="auto"/>
          <w:szCs w:val="22"/>
          <w:lang w:val="pt-PT"/>
        </w:rPr>
        <w:tab/>
      </w:r>
      <w:r w:rsidR="00030085" w:rsidRPr="00110D6C">
        <w:rPr>
          <w:rFonts w:cs="Times New Roman"/>
          <w:b/>
          <w:bCs/>
          <w:color w:val="auto"/>
          <w:szCs w:val="22"/>
          <w:lang w:val="pt-PT"/>
        </w:rPr>
        <w:t>INFORMAÇÕES CLÍNICAS</w:t>
      </w:r>
    </w:p>
    <w:p w14:paraId="1162EBAB" w14:textId="77777777" w:rsidR="00DC3C01" w:rsidRPr="00110D6C" w:rsidRDefault="00DC3C01" w:rsidP="002057DA">
      <w:pPr>
        <w:widowControl/>
        <w:rPr>
          <w:rFonts w:cs="Times New Roman"/>
          <w:bCs/>
          <w:color w:val="auto"/>
          <w:szCs w:val="22"/>
          <w:lang w:val="pt-PT"/>
        </w:rPr>
      </w:pPr>
      <w:bookmarkStart w:id="29" w:name="bookmark56"/>
    </w:p>
    <w:p w14:paraId="1AF7B11A"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4.1</w:t>
      </w:r>
      <w:r w:rsidRPr="00110D6C">
        <w:rPr>
          <w:rFonts w:cs="Times New Roman"/>
          <w:b/>
          <w:bCs/>
          <w:color w:val="auto"/>
          <w:szCs w:val="22"/>
          <w:lang w:val="pt-PT"/>
        </w:rPr>
        <w:tab/>
      </w:r>
      <w:r w:rsidR="00030085" w:rsidRPr="00110D6C">
        <w:rPr>
          <w:rFonts w:cs="Times New Roman"/>
          <w:b/>
          <w:bCs/>
          <w:color w:val="auto"/>
          <w:szCs w:val="22"/>
          <w:lang w:val="pt-PT"/>
        </w:rPr>
        <w:t>Indicações terapêuticas</w:t>
      </w:r>
      <w:bookmarkEnd w:id="29"/>
    </w:p>
    <w:p w14:paraId="2B51EBD8" w14:textId="77777777" w:rsidR="0043129A" w:rsidRPr="00110D6C" w:rsidRDefault="0043129A" w:rsidP="00A17623">
      <w:pPr>
        <w:widowControl/>
        <w:rPr>
          <w:rFonts w:cs="Times New Roman"/>
          <w:color w:val="auto"/>
          <w:szCs w:val="22"/>
          <w:lang w:val="pt-PT"/>
        </w:rPr>
      </w:pPr>
    </w:p>
    <w:p w14:paraId="00D17632"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Psoríase em placas</w:t>
      </w:r>
    </w:p>
    <w:p w14:paraId="7EAFFC88" w14:textId="395D9AD3" w:rsidR="0077031F" w:rsidRPr="00110D6C" w:rsidRDefault="00D05FE6" w:rsidP="00A17623">
      <w:pPr>
        <w:widowControl/>
        <w:rPr>
          <w:rFonts w:cs="Times New Roman"/>
          <w:color w:val="auto"/>
          <w:szCs w:val="22"/>
          <w:lang w:val="pt-PT"/>
        </w:rPr>
      </w:pPr>
      <w:r w:rsidRPr="00110D6C">
        <w:rPr>
          <w:rFonts w:cs="Times New Roman"/>
          <w:color w:val="auto"/>
          <w:szCs w:val="22"/>
          <w:lang w:val="pt-PT"/>
        </w:rPr>
        <w:t>F</w:t>
      </w:r>
      <w:r w:rsidR="00C73501" w:rsidRPr="00110D6C">
        <w:rPr>
          <w:rFonts w:cs="Times New Roman"/>
          <w:color w:val="auto"/>
          <w:szCs w:val="22"/>
          <w:lang w:val="pt-PT"/>
        </w:rPr>
        <w:t>ymskina</w:t>
      </w:r>
      <w:r w:rsidR="00030085" w:rsidRPr="00110D6C">
        <w:rPr>
          <w:rFonts w:cs="Times New Roman"/>
          <w:color w:val="auto"/>
          <w:szCs w:val="22"/>
          <w:lang w:val="pt-PT"/>
        </w:rPr>
        <w:t xml:space="preserve"> é indicado no tratamento da psoríase em placas, moderada a grave, em adultos que não responderam, ou que têm uma contraindicação, ou que são intolerantes a outras terapêuticas sistémicas, incluindo ciclosporina, metotrexato (MTX) ou PUVA (psoraleno e radiação ultravioleta A) (ver</w:t>
      </w:r>
      <w:r w:rsidR="006A79E5" w:rsidRPr="00110D6C">
        <w:rPr>
          <w:rFonts w:cs="Times New Roman"/>
          <w:color w:val="auto"/>
          <w:szCs w:val="22"/>
          <w:lang w:val="pt-PT"/>
        </w:rPr>
        <w:t> </w:t>
      </w:r>
      <w:r w:rsidR="00030085" w:rsidRPr="00110D6C">
        <w:rPr>
          <w:rFonts w:cs="Times New Roman"/>
          <w:color w:val="auto"/>
          <w:szCs w:val="22"/>
          <w:lang w:val="pt-PT"/>
        </w:rPr>
        <w:t>secção</w:t>
      </w:r>
      <w:r w:rsidR="006A79E5" w:rsidRPr="00110D6C">
        <w:rPr>
          <w:rFonts w:cs="Times New Roman"/>
          <w:color w:val="auto"/>
          <w:szCs w:val="22"/>
          <w:lang w:val="pt-PT"/>
        </w:rPr>
        <w:t> </w:t>
      </w:r>
      <w:r w:rsidR="00030085" w:rsidRPr="00110D6C">
        <w:rPr>
          <w:rFonts w:cs="Times New Roman"/>
          <w:color w:val="auto"/>
          <w:szCs w:val="22"/>
          <w:lang w:val="pt-PT"/>
        </w:rPr>
        <w:t>5.1).</w:t>
      </w:r>
    </w:p>
    <w:p w14:paraId="4077D93B" w14:textId="77777777" w:rsidR="0043129A" w:rsidRPr="00110D6C" w:rsidRDefault="0043129A" w:rsidP="00A17623">
      <w:pPr>
        <w:widowControl/>
        <w:rPr>
          <w:rFonts w:cs="Times New Roman"/>
          <w:color w:val="auto"/>
          <w:szCs w:val="22"/>
          <w:lang w:val="pt-PT"/>
        </w:rPr>
      </w:pPr>
    </w:p>
    <w:p w14:paraId="50D57A22"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Psoríase em placas pediátrica</w:t>
      </w:r>
    </w:p>
    <w:p w14:paraId="28BB520E" w14:textId="1D0E0F0E" w:rsidR="0077031F" w:rsidRPr="00110D6C" w:rsidRDefault="00D05FE6" w:rsidP="00A17623">
      <w:pPr>
        <w:widowControl/>
        <w:rPr>
          <w:rFonts w:cs="Times New Roman"/>
          <w:color w:val="auto"/>
          <w:szCs w:val="22"/>
          <w:lang w:val="pt-PT"/>
        </w:rPr>
      </w:pPr>
      <w:r w:rsidRPr="00110D6C">
        <w:rPr>
          <w:rFonts w:cs="Times New Roman"/>
          <w:color w:val="auto"/>
          <w:szCs w:val="22"/>
          <w:lang w:val="pt-PT"/>
        </w:rPr>
        <w:t>F</w:t>
      </w:r>
      <w:r w:rsidR="00C73501" w:rsidRPr="00110D6C">
        <w:rPr>
          <w:rFonts w:cs="Times New Roman"/>
          <w:color w:val="auto"/>
          <w:szCs w:val="22"/>
          <w:lang w:val="pt-PT"/>
        </w:rPr>
        <w:t>ymskina</w:t>
      </w:r>
      <w:r w:rsidR="00030085" w:rsidRPr="00110D6C">
        <w:rPr>
          <w:rFonts w:cs="Times New Roman"/>
          <w:color w:val="auto"/>
          <w:szCs w:val="22"/>
          <w:lang w:val="pt-PT"/>
        </w:rPr>
        <w:t xml:space="preserve"> é indicado para o tratamento de psoríase em placas moderada a grave em crianças e doentes adolescentes com idade igual ou superior a </w:t>
      </w:r>
      <w:r w:rsidR="00B910F9" w:rsidRPr="00110D6C">
        <w:rPr>
          <w:rFonts w:cs="Times New Roman"/>
          <w:color w:val="auto"/>
          <w:szCs w:val="22"/>
          <w:lang w:val="pt-PT"/>
        </w:rPr>
        <w:t>6 </w:t>
      </w:r>
      <w:r w:rsidR="00030085" w:rsidRPr="00110D6C">
        <w:rPr>
          <w:rFonts w:cs="Times New Roman"/>
          <w:color w:val="auto"/>
          <w:szCs w:val="22"/>
          <w:lang w:val="pt-PT"/>
        </w:rPr>
        <w:t>anos</w:t>
      </w:r>
      <w:r w:rsidR="005C68E7">
        <w:rPr>
          <w:rFonts w:cs="Times New Roman"/>
          <w:color w:val="auto"/>
          <w:szCs w:val="22"/>
          <w:lang w:val="pt-PT"/>
        </w:rPr>
        <w:t>,</w:t>
      </w:r>
      <w:r w:rsidR="00C73501">
        <w:rPr>
          <w:rFonts w:cs="Times New Roman"/>
          <w:color w:val="auto"/>
          <w:szCs w:val="22"/>
          <w:lang w:val="pt-PT"/>
        </w:rPr>
        <w:t xml:space="preserve"> e</w:t>
      </w:r>
      <w:r w:rsidR="00030085" w:rsidRPr="00110D6C">
        <w:rPr>
          <w:rFonts w:cs="Times New Roman"/>
          <w:color w:val="auto"/>
          <w:szCs w:val="22"/>
          <w:lang w:val="pt-PT"/>
        </w:rPr>
        <w:t xml:space="preserve"> que são inadequadamente controlados por, ou são intolerantes a outras terapêuticas sistémicas ou fototerapias (ver</w:t>
      </w:r>
      <w:r w:rsidR="006A79E5" w:rsidRPr="00110D6C">
        <w:rPr>
          <w:rFonts w:cs="Times New Roman"/>
          <w:color w:val="auto"/>
          <w:szCs w:val="22"/>
          <w:lang w:val="pt-PT"/>
        </w:rPr>
        <w:t> </w:t>
      </w:r>
      <w:r w:rsidR="00030085" w:rsidRPr="00110D6C">
        <w:rPr>
          <w:rFonts w:cs="Times New Roman"/>
          <w:color w:val="auto"/>
          <w:szCs w:val="22"/>
          <w:lang w:val="pt-PT"/>
        </w:rPr>
        <w:t>secção</w:t>
      </w:r>
      <w:r w:rsidR="006A79E5" w:rsidRPr="00110D6C">
        <w:rPr>
          <w:rFonts w:cs="Times New Roman"/>
          <w:color w:val="auto"/>
          <w:szCs w:val="22"/>
          <w:lang w:val="pt-PT"/>
        </w:rPr>
        <w:t> </w:t>
      </w:r>
      <w:r w:rsidR="00030085" w:rsidRPr="00110D6C">
        <w:rPr>
          <w:rFonts w:cs="Times New Roman"/>
          <w:color w:val="auto"/>
          <w:szCs w:val="22"/>
          <w:lang w:val="pt-PT"/>
        </w:rPr>
        <w:t>5.1).</w:t>
      </w:r>
    </w:p>
    <w:p w14:paraId="3547A58C" w14:textId="77777777" w:rsidR="0043129A" w:rsidRPr="00110D6C" w:rsidRDefault="0043129A" w:rsidP="00A17623">
      <w:pPr>
        <w:widowControl/>
        <w:rPr>
          <w:rFonts w:cs="Times New Roman"/>
          <w:color w:val="auto"/>
          <w:szCs w:val="22"/>
          <w:lang w:val="pt-PT"/>
        </w:rPr>
      </w:pPr>
    </w:p>
    <w:p w14:paraId="18A6CA1F"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Artrite psoriática (AP)</w:t>
      </w:r>
    </w:p>
    <w:p w14:paraId="51A4CE11" w14:textId="0562B7EB" w:rsidR="0077031F" w:rsidRPr="00110D6C" w:rsidRDefault="00D05FE6" w:rsidP="00A17623">
      <w:pPr>
        <w:widowControl/>
        <w:rPr>
          <w:rFonts w:cs="Times New Roman"/>
          <w:color w:val="auto"/>
          <w:szCs w:val="22"/>
          <w:lang w:val="pt-PT"/>
        </w:rPr>
      </w:pPr>
      <w:r w:rsidRPr="00110D6C">
        <w:rPr>
          <w:rFonts w:cs="Times New Roman"/>
          <w:color w:val="auto"/>
          <w:szCs w:val="22"/>
          <w:lang w:val="pt-PT"/>
        </w:rPr>
        <w:t>F</w:t>
      </w:r>
      <w:r w:rsidR="00C73501" w:rsidRPr="00110D6C">
        <w:rPr>
          <w:rFonts w:cs="Times New Roman"/>
          <w:color w:val="auto"/>
          <w:szCs w:val="22"/>
          <w:lang w:val="pt-PT"/>
        </w:rPr>
        <w:t>ymskina</w:t>
      </w:r>
      <w:r w:rsidR="00030085" w:rsidRPr="00110D6C">
        <w:rPr>
          <w:rFonts w:cs="Times New Roman"/>
          <w:color w:val="auto"/>
          <w:szCs w:val="22"/>
          <w:lang w:val="pt-PT"/>
        </w:rPr>
        <w:t>, isoladamente ou em associação com MTX, é indicado no tratamento da artrite psoriática ativa em doentes adultos quando a resposta terapêutica a medicamentos anti</w:t>
      </w:r>
      <w:r w:rsidR="008D1ADD">
        <w:rPr>
          <w:rFonts w:cs="Times New Roman"/>
          <w:color w:val="auto"/>
          <w:szCs w:val="22"/>
          <w:lang w:val="pt-PT"/>
        </w:rPr>
        <w:t>r</w:t>
      </w:r>
      <w:r w:rsidR="00030085" w:rsidRPr="00110D6C">
        <w:rPr>
          <w:rFonts w:cs="Times New Roman"/>
          <w:color w:val="auto"/>
          <w:szCs w:val="22"/>
          <w:lang w:val="pt-PT"/>
        </w:rPr>
        <w:t>reumáticos modificadores da doença (DMARDs) não biológicos tenha sido inadequada (ver</w:t>
      </w:r>
      <w:r w:rsidR="006A79E5" w:rsidRPr="00110D6C">
        <w:rPr>
          <w:rFonts w:cs="Times New Roman"/>
          <w:color w:val="auto"/>
          <w:szCs w:val="22"/>
          <w:lang w:val="pt-PT"/>
        </w:rPr>
        <w:t> </w:t>
      </w:r>
      <w:r w:rsidR="00030085" w:rsidRPr="00110D6C">
        <w:rPr>
          <w:rFonts w:cs="Times New Roman"/>
          <w:color w:val="auto"/>
          <w:szCs w:val="22"/>
          <w:lang w:val="pt-PT"/>
        </w:rPr>
        <w:t>secção</w:t>
      </w:r>
      <w:r w:rsidR="006A79E5" w:rsidRPr="00110D6C">
        <w:rPr>
          <w:rFonts w:cs="Times New Roman"/>
          <w:color w:val="auto"/>
          <w:szCs w:val="22"/>
          <w:lang w:val="pt-PT"/>
        </w:rPr>
        <w:t> </w:t>
      </w:r>
      <w:r w:rsidR="00030085" w:rsidRPr="00110D6C">
        <w:rPr>
          <w:rFonts w:cs="Times New Roman"/>
          <w:color w:val="auto"/>
          <w:szCs w:val="22"/>
          <w:lang w:val="pt-PT"/>
        </w:rPr>
        <w:t>5.1).</w:t>
      </w:r>
    </w:p>
    <w:p w14:paraId="3A8254F7" w14:textId="77777777" w:rsidR="0043129A" w:rsidRPr="00110D6C" w:rsidRDefault="0043129A" w:rsidP="00A17623">
      <w:pPr>
        <w:widowControl/>
        <w:rPr>
          <w:rFonts w:cs="Times New Roman"/>
          <w:color w:val="auto"/>
          <w:szCs w:val="22"/>
          <w:lang w:val="pt-PT"/>
        </w:rPr>
      </w:pPr>
    </w:p>
    <w:p w14:paraId="35026C0F"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Doença de Crohn</w:t>
      </w:r>
    </w:p>
    <w:p w14:paraId="38F85D9B" w14:textId="37365E81" w:rsidR="0077031F" w:rsidRPr="00110D6C" w:rsidRDefault="00D05FE6" w:rsidP="00A17623">
      <w:pPr>
        <w:widowControl/>
        <w:rPr>
          <w:rFonts w:cs="Times New Roman"/>
          <w:color w:val="auto"/>
          <w:szCs w:val="22"/>
          <w:lang w:val="pt-PT"/>
        </w:rPr>
      </w:pPr>
      <w:r w:rsidRPr="00110D6C">
        <w:rPr>
          <w:rFonts w:cs="Times New Roman"/>
          <w:color w:val="auto"/>
          <w:szCs w:val="22"/>
          <w:lang w:val="pt-PT"/>
        </w:rPr>
        <w:t>F</w:t>
      </w:r>
      <w:r w:rsidR="00C73501" w:rsidRPr="00110D6C">
        <w:rPr>
          <w:rFonts w:cs="Times New Roman"/>
          <w:color w:val="auto"/>
          <w:szCs w:val="22"/>
          <w:lang w:val="pt-PT"/>
        </w:rPr>
        <w:t>ymskina</w:t>
      </w:r>
      <w:r w:rsidR="00030085" w:rsidRPr="00110D6C">
        <w:rPr>
          <w:rFonts w:cs="Times New Roman"/>
          <w:color w:val="auto"/>
          <w:szCs w:val="22"/>
          <w:lang w:val="pt-PT"/>
        </w:rPr>
        <w:t xml:space="preserve"> está indicado para o tratamento de doentes adultos com doença de Crohn ativa moderada a grave que apresentaram uma resposta inadequada, deixaram de responder ou demonstraram ser intolerantes à terapêutica convencional ou a um antagonista do TNFα ou têm contraindicações médicas para essas terapêuticas.</w:t>
      </w:r>
    </w:p>
    <w:p w14:paraId="2B601812" w14:textId="77777777" w:rsidR="00DC3C01" w:rsidRPr="00110D6C" w:rsidRDefault="00DC3C01" w:rsidP="002057DA">
      <w:pPr>
        <w:widowControl/>
        <w:rPr>
          <w:rFonts w:cs="Times New Roman"/>
          <w:bCs/>
          <w:color w:val="auto"/>
          <w:szCs w:val="22"/>
          <w:lang w:val="pt-PT"/>
        </w:rPr>
      </w:pPr>
      <w:bookmarkStart w:id="30" w:name="bookmark58"/>
    </w:p>
    <w:p w14:paraId="20884521"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4.2</w:t>
      </w:r>
      <w:r w:rsidRPr="00110D6C">
        <w:rPr>
          <w:rFonts w:cs="Times New Roman"/>
          <w:b/>
          <w:bCs/>
          <w:color w:val="auto"/>
          <w:szCs w:val="22"/>
          <w:lang w:val="pt-PT"/>
        </w:rPr>
        <w:tab/>
      </w:r>
      <w:r w:rsidR="00030085" w:rsidRPr="00110D6C">
        <w:rPr>
          <w:rFonts w:cs="Times New Roman"/>
          <w:b/>
          <w:bCs/>
          <w:color w:val="auto"/>
          <w:szCs w:val="22"/>
          <w:lang w:val="pt-PT"/>
        </w:rPr>
        <w:t>Posologia e modo de administração</w:t>
      </w:r>
      <w:bookmarkEnd w:id="30"/>
    </w:p>
    <w:p w14:paraId="26D0CD9E" w14:textId="77777777" w:rsidR="0043129A" w:rsidRPr="00110D6C" w:rsidRDefault="0043129A" w:rsidP="00A17623">
      <w:pPr>
        <w:widowControl/>
        <w:rPr>
          <w:rFonts w:cs="Times New Roman"/>
          <w:color w:val="auto"/>
          <w:szCs w:val="22"/>
          <w:lang w:val="pt-PT"/>
        </w:rPr>
      </w:pPr>
    </w:p>
    <w:p w14:paraId="336CFCF1" w14:textId="44730CF8" w:rsidR="0077031F" w:rsidRPr="00110D6C" w:rsidRDefault="00D05FE6" w:rsidP="00A17623">
      <w:pPr>
        <w:widowControl/>
        <w:rPr>
          <w:rFonts w:cs="Times New Roman"/>
          <w:color w:val="auto"/>
          <w:szCs w:val="22"/>
          <w:lang w:val="pt-PT"/>
        </w:rPr>
      </w:pPr>
      <w:r w:rsidRPr="00110D6C">
        <w:rPr>
          <w:rFonts w:cs="Times New Roman"/>
          <w:color w:val="auto"/>
          <w:szCs w:val="22"/>
          <w:lang w:val="pt-PT"/>
        </w:rPr>
        <w:t>F</w:t>
      </w:r>
      <w:r w:rsidR="00C73501" w:rsidRPr="00110D6C">
        <w:rPr>
          <w:rFonts w:cs="Times New Roman"/>
          <w:color w:val="auto"/>
          <w:szCs w:val="22"/>
          <w:lang w:val="pt-PT"/>
        </w:rPr>
        <w:t>ymskina</w:t>
      </w:r>
      <w:r w:rsidR="00030085" w:rsidRPr="00110D6C">
        <w:rPr>
          <w:rFonts w:cs="Times New Roman"/>
          <w:color w:val="auto"/>
          <w:szCs w:val="22"/>
          <w:lang w:val="pt-PT"/>
        </w:rPr>
        <w:t xml:space="preserve"> deverá ser utilizado sob a orientação e supervisão de médicos com experiência no diagnóstico e tratamento das doenças para as quais </w:t>
      </w:r>
      <w:r w:rsidRPr="00110D6C">
        <w:rPr>
          <w:rFonts w:cs="Times New Roman"/>
          <w:color w:val="auto"/>
          <w:szCs w:val="22"/>
          <w:lang w:val="pt-PT"/>
        </w:rPr>
        <w:t>F</w:t>
      </w:r>
      <w:r w:rsidR="00C73501" w:rsidRPr="00110D6C">
        <w:rPr>
          <w:rFonts w:cs="Times New Roman"/>
          <w:color w:val="auto"/>
          <w:szCs w:val="22"/>
          <w:lang w:val="pt-PT"/>
        </w:rPr>
        <w:t>ymskina</w:t>
      </w:r>
      <w:r w:rsidR="00030085" w:rsidRPr="00110D6C">
        <w:rPr>
          <w:rFonts w:cs="Times New Roman"/>
          <w:color w:val="auto"/>
          <w:szCs w:val="22"/>
          <w:lang w:val="pt-PT"/>
        </w:rPr>
        <w:t xml:space="preserve"> é indicado.</w:t>
      </w:r>
    </w:p>
    <w:p w14:paraId="77307B85" w14:textId="77777777" w:rsidR="0043129A" w:rsidRPr="00110D6C" w:rsidRDefault="0043129A" w:rsidP="00A17623">
      <w:pPr>
        <w:widowControl/>
        <w:rPr>
          <w:rFonts w:cs="Times New Roman"/>
          <w:color w:val="auto"/>
          <w:szCs w:val="22"/>
          <w:lang w:val="pt-PT"/>
        </w:rPr>
      </w:pPr>
    </w:p>
    <w:p w14:paraId="19FF9295" w14:textId="77777777" w:rsidR="0077031F" w:rsidRPr="00110D6C" w:rsidRDefault="00030085" w:rsidP="00A17623">
      <w:pPr>
        <w:widowControl/>
        <w:rPr>
          <w:rFonts w:cs="Times New Roman"/>
          <w:color w:val="auto"/>
          <w:szCs w:val="22"/>
          <w:u w:val="single"/>
          <w:lang w:val="pt-PT"/>
        </w:rPr>
      </w:pPr>
      <w:r w:rsidRPr="00110D6C">
        <w:rPr>
          <w:rFonts w:cs="Times New Roman"/>
          <w:color w:val="auto"/>
          <w:szCs w:val="22"/>
          <w:u w:val="single"/>
          <w:lang w:val="pt-PT"/>
        </w:rPr>
        <w:t>Posologia</w:t>
      </w:r>
    </w:p>
    <w:p w14:paraId="7CA71BF1" w14:textId="77777777" w:rsidR="0043129A" w:rsidRPr="00110D6C" w:rsidRDefault="0043129A" w:rsidP="00A17623">
      <w:pPr>
        <w:widowControl/>
        <w:rPr>
          <w:rFonts w:cs="Times New Roman"/>
          <w:color w:val="auto"/>
          <w:szCs w:val="22"/>
          <w:lang w:val="pt-PT"/>
        </w:rPr>
      </w:pPr>
    </w:p>
    <w:p w14:paraId="31E7E722"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Psoríase em placas</w:t>
      </w:r>
    </w:p>
    <w:p w14:paraId="289AE37C" w14:textId="0CC551B3"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 posologia recomendada de </w:t>
      </w:r>
      <w:r w:rsidR="00D05FE6" w:rsidRPr="00110D6C">
        <w:rPr>
          <w:rFonts w:cs="Times New Roman"/>
          <w:color w:val="auto"/>
          <w:szCs w:val="22"/>
          <w:lang w:val="pt-PT"/>
        </w:rPr>
        <w:t>F</w:t>
      </w:r>
      <w:r w:rsidR="00C73501" w:rsidRPr="00110D6C">
        <w:rPr>
          <w:rFonts w:cs="Times New Roman"/>
          <w:color w:val="auto"/>
          <w:szCs w:val="22"/>
          <w:lang w:val="pt-PT"/>
        </w:rPr>
        <w:t>ymskina</w:t>
      </w:r>
      <w:r w:rsidRPr="00110D6C">
        <w:rPr>
          <w:rFonts w:cs="Times New Roman"/>
          <w:color w:val="auto"/>
          <w:szCs w:val="22"/>
          <w:lang w:val="pt-PT"/>
        </w:rPr>
        <w:t xml:space="preserve"> consiste numa dose inicial de 4</w:t>
      </w:r>
      <w:r w:rsidR="00B910F9" w:rsidRPr="00110D6C">
        <w:rPr>
          <w:rFonts w:cs="Times New Roman"/>
          <w:color w:val="auto"/>
          <w:szCs w:val="22"/>
          <w:lang w:val="pt-PT"/>
        </w:rPr>
        <w:t>5 </w:t>
      </w:r>
      <w:r w:rsidRPr="00110D6C">
        <w:rPr>
          <w:rFonts w:cs="Times New Roman"/>
          <w:color w:val="auto"/>
          <w:szCs w:val="22"/>
          <w:lang w:val="pt-PT"/>
        </w:rPr>
        <w:t>mg administrada por via subcutânea, seguida de uma dose de 4</w:t>
      </w:r>
      <w:r w:rsidR="00B910F9" w:rsidRPr="00110D6C">
        <w:rPr>
          <w:rFonts w:cs="Times New Roman"/>
          <w:color w:val="auto"/>
          <w:szCs w:val="22"/>
          <w:lang w:val="pt-PT"/>
        </w:rPr>
        <w:t>5 </w:t>
      </w:r>
      <w:r w:rsidRPr="00110D6C">
        <w:rPr>
          <w:rFonts w:cs="Times New Roman"/>
          <w:color w:val="auto"/>
          <w:szCs w:val="22"/>
          <w:lang w:val="pt-PT"/>
        </w:rPr>
        <w:t xml:space="preserve">mg, </w:t>
      </w:r>
      <w:r w:rsidR="00B910F9" w:rsidRPr="00110D6C">
        <w:rPr>
          <w:rFonts w:cs="Times New Roman"/>
          <w:color w:val="auto"/>
          <w:szCs w:val="22"/>
          <w:lang w:val="pt-PT"/>
        </w:rPr>
        <w:t>4 </w:t>
      </w:r>
      <w:r w:rsidRPr="00110D6C">
        <w:rPr>
          <w:rFonts w:cs="Times New Roman"/>
          <w:color w:val="auto"/>
          <w:szCs w:val="22"/>
          <w:lang w:val="pt-PT"/>
        </w:rPr>
        <w:t>semanas mais tarde, e depois repetida cada 1</w:t>
      </w:r>
      <w:r w:rsidR="00B910F9" w:rsidRPr="00110D6C">
        <w:rPr>
          <w:rFonts w:cs="Times New Roman"/>
          <w:color w:val="auto"/>
          <w:szCs w:val="22"/>
          <w:lang w:val="pt-PT"/>
        </w:rPr>
        <w:t>2 </w:t>
      </w:r>
      <w:r w:rsidRPr="00110D6C">
        <w:rPr>
          <w:rFonts w:cs="Times New Roman"/>
          <w:color w:val="auto"/>
          <w:szCs w:val="22"/>
          <w:lang w:val="pt-PT"/>
        </w:rPr>
        <w:t>semanas.</w:t>
      </w:r>
    </w:p>
    <w:p w14:paraId="5915E79C" w14:textId="77777777" w:rsidR="0043129A" w:rsidRPr="00110D6C" w:rsidRDefault="0043129A" w:rsidP="00A17623">
      <w:pPr>
        <w:widowControl/>
        <w:rPr>
          <w:rFonts w:cs="Times New Roman"/>
          <w:color w:val="auto"/>
          <w:szCs w:val="22"/>
          <w:lang w:val="pt-PT"/>
        </w:rPr>
      </w:pPr>
    </w:p>
    <w:p w14:paraId="3863242A"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 interrupção do tratamento deve ser considerada em doentes que não apresentem qualquer resposta ao tratamento até às 2</w:t>
      </w:r>
      <w:r w:rsidR="00B910F9" w:rsidRPr="00110D6C">
        <w:rPr>
          <w:rFonts w:cs="Times New Roman"/>
          <w:color w:val="auto"/>
          <w:szCs w:val="22"/>
          <w:lang w:val="pt-PT"/>
        </w:rPr>
        <w:t>8 </w:t>
      </w:r>
      <w:r w:rsidRPr="00110D6C">
        <w:rPr>
          <w:rFonts w:cs="Times New Roman"/>
          <w:color w:val="auto"/>
          <w:szCs w:val="22"/>
          <w:lang w:val="pt-PT"/>
        </w:rPr>
        <w:t>semanas.</w:t>
      </w:r>
    </w:p>
    <w:p w14:paraId="4E6F2697" w14:textId="77777777" w:rsidR="0043129A" w:rsidRPr="00110D6C" w:rsidRDefault="0043129A" w:rsidP="00A17623">
      <w:pPr>
        <w:widowControl/>
        <w:rPr>
          <w:rFonts w:cs="Times New Roman"/>
          <w:iCs/>
          <w:color w:val="auto"/>
          <w:szCs w:val="22"/>
          <w:lang w:val="pt-PT"/>
        </w:rPr>
      </w:pPr>
    </w:p>
    <w:p w14:paraId="192845B3" w14:textId="77777777" w:rsidR="0077031F" w:rsidRPr="00110D6C" w:rsidRDefault="00030085" w:rsidP="00A17623">
      <w:pPr>
        <w:widowControl/>
        <w:rPr>
          <w:rFonts w:cs="Times New Roman"/>
          <w:color w:val="auto"/>
          <w:szCs w:val="22"/>
          <w:lang w:val="pt-PT"/>
        </w:rPr>
      </w:pPr>
      <w:r w:rsidRPr="00110D6C">
        <w:rPr>
          <w:rFonts w:cs="Times New Roman"/>
          <w:i/>
          <w:iCs/>
          <w:color w:val="auto"/>
          <w:szCs w:val="22"/>
          <w:lang w:val="pt-PT"/>
        </w:rPr>
        <w:t>Doentes com peso corporal &gt;</w:t>
      </w:r>
      <w:r w:rsidR="00F5387C" w:rsidRPr="00110D6C">
        <w:rPr>
          <w:rFonts w:cs="Times New Roman"/>
          <w:i/>
          <w:iCs/>
          <w:color w:val="auto"/>
          <w:szCs w:val="22"/>
          <w:lang w:val="pt-PT"/>
        </w:rPr>
        <w:t> </w:t>
      </w:r>
      <w:r w:rsidRPr="00110D6C">
        <w:rPr>
          <w:rFonts w:cs="Times New Roman"/>
          <w:i/>
          <w:iCs/>
          <w:color w:val="auto"/>
          <w:szCs w:val="22"/>
          <w:lang w:val="pt-PT"/>
        </w:rPr>
        <w:t>10</w:t>
      </w:r>
      <w:r w:rsidR="00B910F9" w:rsidRPr="00110D6C">
        <w:rPr>
          <w:rFonts w:cs="Times New Roman"/>
          <w:i/>
          <w:iCs/>
          <w:color w:val="auto"/>
          <w:szCs w:val="22"/>
          <w:lang w:val="pt-PT"/>
        </w:rPr>
        <w:t>0 </w:t>
      </w:r>
      <w:r w:rsidRPr="00110D6C">
        <w:rPr>
          <w:rFonts w:cs="Times New Roman"/>
          <w:i/>
          <w:iCs/>
          <w:color w:val="auto"/>
          <w:szCs w:val="22"/>
          <w:lang w:val="pt-PT"/>
        </w:rPr>
        <w:t>kg</w:t>
      </w:r>
    </w:p>
    <w:p w14:paraId="3906AB82" w14:textId="08DBFE12" w:rsidR="0077031F" w:rsidRPr="00110D6C" w:rsidRDefault="00030085" w:rsidP="00A17623">
      <w:pPr>
        <w:widowControl/>
        <w:rPr>
          <w:rFonts w:cs="Times New Roman"/>
          <w:color w:val="auto"/>
          <w:szCs w:val="22"/>
          <w:lang w:val="pt-PT"/>
        </w:rPr>
      </w:pPr>
      <w:r w:rsidRPr="00110D6C">
        <w:rPr>
          <w:rFonts w:cs="Times New Roman"/>
          <w:color w:val="auto"/>
          <w:szCs w:val="22"/>
          <w:lang w:val="pt-PT"/>
        </w:rPr>
        <w:t>Em doentes com peso corporal &gt;</w:t>
      </w:r>
      <w:r w:rsidR="00F5387C" w:rsidRPr="00110D6C">
        <w:rPr>
          <w:rFonts w:cs="Times New Roman"/>
          <w:color w:val="auto"/>
          <w:szCs w:val="22"/>
          <w:lang w:val="pt-PT"/>
        </w:rPr>
        <w:t> </w:t>
      </w:r>
      <w:r w:rsidRPr="00110D6C">
        <w:rPr>
          <w:rFonts w:cs="Times New Roman"/>
          <w:color w:val="auto"/>
          <w:szCs w:val="22"/>
          <w:lang w:val="pt-PT"/>
        </w:rPr>
        <w:t>10</w:t>
      </w:r>
      <w:r w:rsidR="00B910F9" w:rsidRPr="00110D6C">
        <w:rPr>
          <w:rFonts w:cs="Times New Roman"/>
          <w:color w:val="auto"/>
          <w:szCs w:val="22"/>
          <w:lang w:val="pt-PT"/>
        </w:rPr>
        <w:t>0 </w:t>
      </w:r>
      <w:r w:rsidRPr="00110D6C">
        <w:rPr>
          <w:rFonts w:cs="Times New Roman"/>
          <w:color w:val="auto"/>
          <w:szCs w:val="22"/>
          <w:lang w:val="pt-PT"/>
        </w:rPr>
        <w:t>kg a dose inicial é de 9</w:t>
      </w:r>
      <w:r w:rsidR="00B910F9" w:rsidRPr="00110D6C">
        <w:rPr>
          <w:rFonts w:cs="Times New Roman"/>
          <w:color w:val="auto"/>
          <w:szCs w:val="22"/>
          <w:lang w:val="pt-PT"/>
        </w:rPr>
        <w:t>0 </w:t>
      </w:r>
      <w:r w:rsidRPr="00110D6C">
        <w:rPr>
          <w:rFonts w:cs="Times New Roman"/>
          <w:color w:val="auto"/>
          <w:szCs w:val="22"/>
          <w:lang w:val="pt-PT"/>
        </w:rPr>
        <w:t>mg administrada por via subcutânea, seguida de uma dose de 9</w:t>
      </w:r>
      <w:r w:rsidR="00B910F9" w:rsidRPr="00110D6C">
        <w:rPr>
          <w:rFonts w:cs="Times New Roman"/>
          <w:color w:val="auto"/>
          <w:szCs w:val="22"/>
          <w:lang w:val="pt-PT"/>
        </w:rPr>
        <w:t>0 </w:t>
      </w:r>
      <w:r w:rsidRPr="00110D6C">
        <w:rPr>
          <w:rFonts w:cs="Times New Roman"/>
          <w:color w:val="auto"/>
          <w:szCs w:val="22"/>
          <w:lang w:val="pt-PT"/>
        </w:rPr>
        <w:t xml:space="preserve">mg, </w:t>
      </w:r>
      <w:r w:rsidR="00B910F9" w:rsidRPr="00110D6C">
        <w:rPr>
          <w:rFonts w:cs="Times New Roman"/>
          <w:color w:val="auto"/>
          <w:szCs w:val="22"/>
          <w:lang w:val="pt-PT"/>
        </w:rPr>
        <w:t>4 </w:t>
      </w:r>
      <w:r w:rsidRPr="00110D6C">
        <w:rPr>
          <w:rFonts w:cs="Times New Roman"/>
          <w:color w:val="auto"/>
          <w:szCs w:val="22"/>
          <w:lang w:val="pt-PT"/>
        </w:rPr>
        <w:t>semanas mais tarde, e depois repetida cada 1</w:t>
      </w:r>
      <w:r w:rsidR="00B910F9" w:rsidRPr="00110D6C">
        <w:rPr>
          <w:rFonts w:cs="Times New Roman"/>
          <w:color w:val="auto"/>
          <w:szCs w:val="22"/>
          <w:lang w:val="pt-PT"/>
        </w:rPr>
        <w:t>2 </w:t>
      </w:r>
      <w:r w:rsidRPr="00110D6C">
        <w:rPr>
          <w:rFonts w:cs="Times New Roman"/>
          <w:color w:val="auto"/>
          <w:szCs w:val="22"/>
          <w:lang w:val="pt-PT"/>
        </w:rPr>
        <w:t>semanas. Nestes doentes, a dose de 4</w:t>
      </w:r>
      <w:r w:rsidR="00B910F9" w:rsidRPr="00110D6C">
        <w:rPr>
          <w:rFonts w:cs="Times New Roman"/>
          <w:color w:val="auto"/>
          <w:szCs w:val="22"/>
          <w:lang w:val="pt-PT"/>
        </w:rPr>
        <w:t>5 </w:t>
      </w:r>
      <w:r w:rsidRPr="00110D6C">
        <w:rPr>
          <w:rFonts w:cs="Times New Roman"/>
          <w:color w:val="auto"/>
          <w:szCs w:val="22"/>
          <w:lang w:val="pt-PT"/>
        </w:rPr>
        <w:t>mg também demonstrou ser eficaz. No entanto, a administração de 9</w:t>
      </w:r>
      <w:r w:rsidR="00B910F9" w:rsidRPr="00110D6C">
        <w:rPr>
          <w:rFonts w:cs="Times New Roman"/>
          <w:color w:val="auto"/>
          <w:szCs w:val="22"/>
          <w:lang w:val="pt-PT"/>
        </w:rPr>
        <w:t>0 </w:t>
      </w:r>
      <w:r w:rsidRPr="00110D6C">
        <w:rPr>
          <w:rFonts w:cs="Times New Roman"/>
          <w:color w:val="auto"/>
          <w:szCs w:val="22"/>
          <w:lang w:val="pt-PT"/>
        </w:rPr>
        <w:t>mg resultou numa maior eficácia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5.1, Tabela</w:t>
      </w:r>
      <w:r w:rsidR="00982985" w:rsidRPr="00110D6C">
        <w:rPr>
          <w:rFonts w:cs="Times New Roman"/>
          <w:color w:val="auto"/>
          <w:szCs w:val="22"/>
          <w:lang w:val="pt-PT"/>
        </w:rPr>
        <w:t> </w:t>
      </w:r>
      <w:r w:rsidR="00037D45">
        <w:rPr>
          <w:rFonts w:cs="Times New Roman"/>
          <w:color w:val="auto"/>
          <w:szCs w:val="22"/>
          <w:lang w:val="pt-PT"/>
        </w:rPr>
        <w:t>3</w:t>
      </w:r>
      <w:r w:rsidRPr="00110D6C">
        <w:rPr>
          <w:rFonts w:cs="Times New Roman"/>
          <w:color w:val="auto"/>
          <w:szCs w:val="22"/>
          <w:lang w:val="pt-PT"/>
        </w:rPr>
        <w:t>).</w:t>
      </w:r>
    </w:p>
    <w:p w14:paraId="4FEE7F01" w14:textId="77777777" w:rsidR="0043129A" w:rsidRPr="00110D6C" w:rsidRDefault="0043129A" w:rsidP="00A17623">
      <w:pPr>
        <w:widowControl/>
        <w:rPr>
          <w:rFonts w:cs="Times New Roman"/>
          <w:color w:val="auto"/>
          <w:szCs w:val="22"/>
          <w:lang w:val="pt-PT"/>
        </w:rPr>
      </w:pPr>
    </w:p>
    <w:p w14:paraId="0B8B2EF8"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Artrite psoriática (AP)</w:t>
      </w:r>
    </w:p>
    <w:p w14:paraId="75959F41" w14:textId="7AAEBB4C"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 posologia recomendada de </w:t>
      </w:r>
      <w:r w:rsidR="00D05FE6" w:rsidRPr="00110D6C">
        <w:rPr>
          <w:rFonts w:cs="Times New Roman"/>
          <w:color w:val="auto"/>
          <w:szCs w:val="22"/>
          <w:lang w:val="pt-PT"/>
        </w:rPr>
        <w:t>F</w:t>
      </w:r>
      <w:r w:rsidR="00037D45" w:rsidRPr="00110D6C">
        <w:rPr>
          <w:rFonts w:cs="Times New Roman"/>
          <w:color w:val="auto"/>
          <w:szCs w:val="22"/>
          <w:lang w:val="pt-PT"/>
        </w:rPr>
        <w:t>ymskina</w:t>
      </w:r>
      <w:r w:rsidRPr="00110D6C">
        <w:rPr>
          <w:rFonts w:cs="Times New Roman"/>
          <w:color w:val="auto"/>
          <w:szCs w:val="22"/>
          <w:lang w:val="pt-PT"/>
        </w:rPr>
        <w:t xml:space="preserve"> consiste numa dose inicial de 4</w:t>
      </w:r>
      <w:r w:rsidR="00B910F9" w:rsidRPr="00110D6C">
        <w:rPr>
          <w:rFonts w:cs="Times New Roman"/>
          <w:color w:val="auto"/>
          <w:szCs w:val="22"/>
          <w:lang w:val="pt-PT"/>
        </w:rPr>
        <w:t>5 </w:t>
      </w:r>
      <w:r w:rsidRPr="00110D6C">
        <w:rPr>
          <w:rFonts w:cs="Times New Roman"/>
          <w:color w:val="auto"/>
          <w:szCs w:val="22"/>
          <w:lang w:val="pt-PT"/>
        </w:rPr>
        <w:t>mg administrada por via subcutânea, seguida de uma dose de 4</w:t>
      </w:r>
      <w:r w:rsidR="00B910F9" w:rsidRPr="00110D6C">
        <w:rPr>
          <w:rFonts w:cs="Times New Roman"/>
          <w:color w:val="auto"/>
          <w:szCs w:val="22"/>
          <w:lang w:val="pt-PT"/>
        </w:rPr>
        <w:t>5 </w:t>
      </w:r>
      <w:r w:rsidRPr="00110D6C">
        <w:rPr>
          <w:rFonts w:cs="Times New Roman"/>
          <w:color w:val="auto"/>
          <w:szCs w:val="22"/>
          <w:lang w:val="pt-PT"/>
        </w:rPr>
        <w:t xml:space="preserve">mg, </w:t>
      </w:r>
      <w:r w:rsidR="00B910F9" w:rsidRPr="00110D6C">
        <w:rPr>
          <w:rFonts w:cs="Times New Roman"/>
          <w:color w:val="auto"/>
          <w:szCs w:val="22"/>
          <w:lang w:val="pt-PT"/>
        </w:rPr>
        <w:t>4 </w:t>
      </w:r>
      <w:r w:rsidRPr="00110D6C">
        <w:rPr>
          <w:rFonts w:cs="Times New Roman"/>
          <w:color w:val="auto"/>
          <w:szCs w:val="22"/>
          <w:lang w:val="pt-PT"/>
        </w:rPr>
        <w:t>semanas mais tarde, e depois repetida cada 1</w:t>
      </w:r>
      <w:r w:rsidR="00B910F9" w:rsidRPr="00110D6C">
        <w:rPr>
          <w:rFonts w:cs="Times New Roman"/>
          <w:color w:val="auto"/>
          <w:szCs w:val="22"/>
          <w:lang w:val="pt-PT"/>
        </w:rPr>
        <w:t>2 </w:t>
      </w:r>
      <w:r w:rsidRPr="00110D6C">
        <w:rPr>
          <w:rFonts w:cs="Times New Roman"/>
          <w:color w:val="auto"/>
          <w:szCs w:val="22"/>
          <w:lang w:val="pt-PT"/>
        </w:rPr>
        <w:t>semanas. Em alternativa, em doentes com peso corporal &gt;</w:t>
      </w:r>
      <w:r w:rsidR="00F5387C" w:rsidRPr="00110D6C">
        <w:rPr>
          <w:rFonts w:cs="Times New Roman"/>
          <w:color w:val="auto"/>
          <w:szCs w:val="22"/>
          <w:lang w:val="pt-PT"/>
        </w:rPr>
        <w:t> </w:t>
      </w:r>
      <w:r w:rsidRPr="00110D6C">
        <w:rPr>
          <w:rFonts w:cs="Times New Roman"/>
          <w:color w:val="auto"/>
          <w:szCs w:val="22"/>
          <w:lang w:val="pt-PT"/>
        </w:rPr>
        <w:t>10</w:t>
      </w:r>
      <w:r w:rsidR="00B910F9" w:rsidRPr="00110D6C">
        <w:rPr>
          <w:rFonts w:cs="Times New Roman"/>
          <w:color w:val="auto"/>
          <w:szCs w:val="22"/>
          <w:lang w:val="pt-PT"/>
        </w:rPr>
        <w:t>0 </w:t>
      </w:r>
      <w:r w:rsidRPr="00110D6C">
        <w:rPr>
          <w:rFonts w:cs="Times New Roman"/>
          <w:color w:val="auto"/>
          <w:szCs w:val="22"/>
          <w:lang w:val="pt-PT"/>
        </w:rPr>
        <w:t>kg, poderá ser administrada uma dose de 9</w:t>
      </w:r>
      <w:r w:rsidR="00B910F9" w:rsidRPr="00110D6C">
        <w:rPr>
          <w:rFonts w:cs="Times New Roman"/>
          <w:color w:val="auto"/>
          <w:szCs w:val="22"/>
          <w:lang w:val="pt-PT"/>
        </w:rPr>
        <w:t>0 </w:t>
      </w:r>
      <w:r w:rsidRPr="00110D6C">
        <w:rPr>
          <w:rFonts w:cs="Times New Roman"/>
          <w:color w:val="auto"/>
          <w:szCs w:val="22"/>
          <w:lang w:val="pt-PT"/>
        </w:rPr>
        <w:t>mg.</w:t>
      </w:r>
    </w:p>
    <w:p w14:paraId="080B858A" w14:textId="77777777" w:rsidR="0043129A" w:rsidRPr="00110D6C" w:rsidRDefault="0043129A" w:rsidP="00A17623">
      <w:pPr>
        <w:widowControl/>
        <w:rPr>
          <w:rFonts w:cs="Times New Roman"/>
          <w:color w:val="auto"/>
          <w:szCs w:val="22"/>
          <w:lang w:val="pt-PT"/>
        </w:rPr>
      </w:pPr>
    </w:p>
    <w:p w14:paraId="3D0EBB9A"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 interrupção do tratamento deve ser considerada em doentes que não apresentem qualquer resposta ao tratamento até às 2</w:t>
      </w:r>
      <w:r w:rsidR="00B910F9" w:rsidRPr="00110D6C">
        <w:rPr>
          <w:rFonts w:cs="Times New Roman"/>
          <w:color w:val="auto"/>
          <w:szCs w:val="22"/>
          <w:lang w:val="pt-PT"/>
        </w:rPr>
        <w:t>8 </w:t>
      </w:r>
      <w:r w:rsidRPr="00110D6C">
        <w:rPr>
          <w:rFonts w:cs="Times New Roman"/>
          <w:color w:val="auto"/>
          <w:szCs w:val="22"/>
          <w:lang w:val="pt-PT"/>
        </w:rPr>
        <w:t>semanas.</w:t>
      </w:r>
    </w:p>
    <w:p w14:paraId="793FCCD2" w14:textId="77777777" w:rsidR="0043129A" w:rsidRPr="00110D6C" w:rsidRDefault="0043129A" w:rsidP="00A17623">
      <w:pPr>
        <w:widowControl/>
        <w:rPr>
          <w:rFonts w:cs="Times New Roman"/>
          <w:iCs/>
          <w:color w:val="auto"/>
          <w:szCs w:val="22"/>
          <w:lang w:val="pt-PT"/>
        </w:rPr>
      </w:pPr>
    </w:p>
    <w:p w14:paraId="1FA1983D" w14:textId="77777777" w:rsidR="0077031F" w:rsidRPr="00110D6C" w:rsidRDefault="00030085" w:rsidP="00A17623">
      <w:pPr>
        <w:widowControl/>
        <w:rPr>
          <w:rFonts w:cs="Times New Roman"/>
          <w:color w:val="auto"/>
          <w:szCs w:val="22"/>
          <w:lang w:val="pt-PT"/>
        </w:rPr>
      </w:pPr>
      <w:r w:rsidRPr="00110D6C">
        <w:rPr>
          <w:rFonts w:cs="Times New Roman"/>
          <w:i/>
          <w:iCs/>
          <w:color w:val="auto"/>
          <w:szCs w:val="22"/>
          <w:lang w:val="pt-PT"/>
        </w:rPr>
        <w:t>Idosos (≥</w:t>
      </w:r>
      <w:r w:rsidR="00F5387C" w:rsidRPr="00110D6C">
        <w:rPr>
          <w:rFonts w:cs="Times New Roman"/>
          <w:i/>
          <w:iCs/>
          <w:color w:val="auto"/>
          <w:szCs w:val="22"/>
          <w:lang w:val="pt-PT"/>
        </w:rPr>
        <w:t> </w:t>
      </w:r>
      <w:r w:rsidRPr="00110D6C">
        <w:rPr>
          <w:rFonts w:cs="Times New Roman"/>
          <w:i/>
          <w:iCs/>
          <w:color w:val="auto"/>
          <w:szCs w:val="22"/>
          <w:lang w:val="pt-PT"/>
        </w:rPr>
        <w:t>6</w:t>
      </w:r>
      <w:r w:rsidR="00B910F9" w:rsidRPr="00110D6C">
        <w:rPr>
          <w:rFonts w:cs="Times New Roman"/>
          <w:i/>
          <w:iCs/>
          <w:color w:val="auto"/>
          <w:szCs w:val="22"/>
          <w:lang w:val="pt-PT"/>
        </w:rPr>
        <w:t>5 </w:t>
      </w:r>
      <w:r w:rsidRPr="00110D6C">
        <w:rPr>
          <w:rFonts w:cs="Times New Roman"/>
          <w:i/>
          <w:iCs/>
          <w:color w:val="auto"/>
          <w:szCs w:val="22"/>
          <w:lang w:val="pt-PT"/>
        </w:rPr>
        <w:t>anos)</w:t>
      </w:r>
    </w:p>
    <w:p w14:paraId="155A310F"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Não são necessários ajustes posológicos em doentes idosos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4.4).</w:t>
      </w:r>
    </w:p>
    <w:p w14:paraId="4018B835" w14:textId="77777777" w:rsidR="0043129A" w:rsidRPr="00110D6C" w:rsidRDefault="0043129A" w:rsidP="00A17623">
      <w:pPr>
        <w:widowControl/>
        <w:rPr>
          <w:rFonts w:cs="Times New Roman"/>
          <w:iCs/>
          <w:color w:val="auto"/>
          <w:szCs w:val="22"/>
          <w:lang w:val="pt-PT"/>
        </w:rPr>
      </w:pPr>
    </w:p>
    <w:p w14:paraId="0F5FA618" w14:textId="77777777" w:rsidR="0077031F" w:rsidRPr="00110D6C" w:rsidRDefault="00030085" w:rsidP="00A17623">
      <w:pPr>
        <w:widowControl/>
        <w:rPr>
          <w:rFonts w:cs="Times New Roman"/>
          <w:color w:val="auto"/>
          <w:szCs w:val="22"/>
          <w:lang w:val="pt-PT"/>
        </w:rPr>
      </w:pPr>
      <w:r w:rsidRPr="00110D6C">
        <w:rPr>
          <w:rFonts w:cs="Times New Roman"/>
          <w:i/>
          <w:iCs/>
          <w:color w:val="auto"/>
          <w:szCs w:val="22"/>
          <w:lang w:val="pt-PT"/>
        </w:rPr>
        <w:t>Compromisso renal e afeção hepática</w:t>
      </w:r>
    </w:p>
    <w:p w14:paraId="63739C37" w14:textId="1C544CBF" w:rsidR="0077031F" w:rsidRPr="00110D6C" w:rsidRDefault="00037D45" w:rsidP="00A17623">
      <w:pPr>
        <w:widowControl/>
        <w:rPr>
          <w:rFonts w:cs="Times New Roman"/>
          <w:color w:val="auto"/>
          <w:szCs w:val="22"/>
          <w:lang w:val="pt-PT"/>
        </w:rPr>
      </w:pPr>
      <w:r w:rsidRPr="00AD342C">
        <w:rPr>
          <w:rFonts w:cs="Times New Roman"/>
          <w:color w:val="auto"/>
          <w:szCs w:val="22"/>
          <w:lang w:val="pt-PT"/>
        </w:rPr>
        <w:t>Ustecinumab</w:t>
      </w:r>
      <w:r w:rsidR="00030085" w:rsidRPr="00110D6C">
        <w:rPr>
          <w:rFonts w:cs="Times New Roman"/>
          <w:color w:val="auto"/>
          <w:szCs w:val="22"/>
          <w:lang w:val="pt-PT"/>
        </w:rPr>
        <w:t xml:space="preserve"> não foi estudado nestas populações de doentes. Não podem ser efetuadas quaisquer recomendações posológicas.</w:t>
      </w:r>
    </w:p>
    <w:p w14:paraId="653CDE58" w14:textId="77777777" w:rsidR="0043129A" w:rsidRPr="00110D6C" w:rsidRDefault="0043129A" w:rsidP="00A17623">
      <w:pPr>
        <w:widowControl/>
        <w:rPr>
          <w:rFonts w:cs="Times New Roman"/>
          <w:iCs/>
          <w:color w:val="auto"/>
          <w:szCs w:val="22"/>
          <w:lang w:val="pt-PT"/>
        </w:rPr>
      </w:pPr>
    </w:p>
    <w:p w14:paraId="6B2AB32D" w14:textId="77777777" w:rsidR="0077031F" w:rsidRPr="00110D6C" w:rsidRDefault="00030085" w:rsidP="00A17623">
      <w:pPr>
        <w:widowControl/>
        <w:rPr>
          <w:rFonts w:cs="Times New Roman"/>
          <w:color w:val="auto"/>
          <w:szCs w:val="22"/>
          <w:lang w:val="pt-PT"/>
        </w:rPr>
      </w:pPr>
      <w:r w:rsidRPr="00110D6C">
        <w:rPr>
          <w:rFonts w:cs="Times New Roman"/>
          <w:i/>
          <w:iCs/>
          <w:color w:val="auto"/>
          <w:szCs w:val="22"/>
          <w:lang w:val="pt-PT"/>
        </w:rPr>
        <w:t>População Pediátrica</w:t>
      </w:r>
    </w:p>
    <w:p w14:paraId="6028C40D" w14:textId="6910F1DB"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 segurança e eficácia de </w:t>
      </w:r>
      <w:r w:rsidR="00037D45" w:rsidRPr="00AD342C">
        <w:rPr>
          <w:rFonts w:cs="Times New Roman"/>
          <w:color w:val="auto"/>
          <w:szCs w:val="22"/>
          <w:lang w:val="pt-PT"/>
        </w:rPr>
        <w:t>ustecinumab</w:t>
      </w:r>
      <w:r w:rsidRPr="00110D6C">
        <w:rPr>
          <w:rFonts w:cs="Times New Roman"/>
          <w:color w:val="auto"/>
          <w:szCs w:val="22"/>
          <w:lang w:val="pt-PT"/>
        </w:rPr>
        <w:t xml:space="preserve"> em crianças com psoríase com idade inferior a </w:t>
      </w:r>
      <w:r w:rsidR="00B910F9" w:rsidRPr="00110D6C">
        <w:rPr>
          <w:rFonts w:cs="Times New Roman"/>
          <w:color w:val="auto"/>
          <w:szCs w:val="22"/>
          <w:lang w:val="pt-PT"/>
        </w:rPr>
        <w:t>6 </w:t>
      </w:r>
      <w:r w:rsidRPr="00110D6C">
        <w:rPr>
          <w:rFonts w:cs="Times New Roman"/>
          <w:color w:val="auto"/>
          <w:szCs w:val="22"/>
          <w:lang w:val="pt-PT"/>
        </w:rPr>
        <w:t>anos ou em crianças com artrite psoriática com idade inferior a 1</w:t>
      </w:r>
      <w:r w:rsidR="00B910F9" w:rsidRPr="00110D6C">
        <w:rPr>
          <w:rFonts w:cs="Times New Roman"/>
          <w:color w:val="auto"/>
          <w:szCs w:val="22"/>
          <w:lang w:val="pt-PT"/>
        </w:rPr>
        <w:t>8 </w:t>
      </w:r>
      <w:r w:rsidRPr="00110D6C">
        <w:rPr>
          <w:rFonts w:cs="Times New Roman"/>
          <w:color w:val="auto"/>
          <w:szCs w:val="22"/>
          <w:lang w:val="pt-PT"/>
        </w:rPr>
        <w:t>anos não foram ainda estabelecidas.</w:t>
      </w:r>
    </w:p>
    <w:p w14:paraId="16F6068F" w14:textId="77777777" w:rsidR="0043129A" w:rsidRPr="00110D6C" w:rsidRDefault="0043129A" w:rsidP="00A17623">
      <w:pPr>
        <w:widowControl/>
        <w:rPr>
          <w:rFonts w:cs="Times New Roman"/>
          <w:color w:val="auto"/>
          <w:szCs w:val="22"/>
          <w:lang w:val="pt-PT"/>
        </w:rPr>
      </w:pPr>
    </w:p>
    <w:p w14:paraId="77665BA3"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 xml:space="preserve">Psoríase em placas pediátrica (idade igual ou superior a </w:t>
      </w:r>
      <w:r w:rsidR="00B910F9" w:rsidRPr="00110D6C">
        <w:rPr>
          <w:rFonts w:cs="Times New Roman"/>
          <w:color w:val="auto"/>
          <w:szCs w:val="22"/>
          <w:u w:val="single"/>
          <w:lang w:val="pt-PT"/>
        </w:rPr>
        <w:t>6 </w:t>
      </w:r>
      <w:r w:rsidRPr="00110D6C">
        <w:rPr>
          <w:rFonts w:cs="Times New Roman"/>
          <w:color w:val="auto"/>
          <w:szCs w:val="22"/>
          <w:u w:val="single"/>
          <w:lang w:val="pt-PT"/>
        </w:rPr>
        <w:t>anos)</w:t>
      </w:r>
    </w:p>
    <w:p w14:paraId="2CD66531" w14:textId="58A3D7DC"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 dose recomendada de </w:t>
      </w:r>
      <w:r w:rsidR="00D05FE6" w:rsidRPr="00110D6C">
        <w:rPr>
          <w:rFonts w:cs="Times New Roman"/>
          <w:color w:val="auto"/>
          <w:szCs w:val="22"/>
          <w:lang w:val="pt-PT"/>
        </w:rPr>
        <w:t>F</w:t>
      </w:r>
      <w:r w:rsidR="00037D45" w:rsidRPr="00110D6C">
        <w:rPr>
          <w:rFonts w:cs="Times New Roman"/>
          <w:color w:val="auto"/>
          <w:szCs w:val="22"/>
          <w:lang w:val="pt-PT"/>
        </w:rPr>
        <w:t>ymskina</w:t>
      </w:r>
      <w:r w:rsidRPr="00110D6C">
        <w:rPr>
          <w:rFonts w:cs="Times New Roman"/>
          <w:color w:val="auto"/>
          <w:szCs w:val="22"/>
          <w:lang w:val="pt-PT"/>
        </w:rPr>
        <w:t xml:space="preserve"> com base no peso corporal é apresentada na tabela abaixo (Tabela</w:t>
      </w:r>
      <w:r w:rsidR="00982985" w:rsidRPr="00110D6C">
        <w:rPr>
          <w:rFonts w:cs="Times New Roman"/>
          <w:color w:val="auto"/>
          <w:szCs w:val="22"/>
          <w:lang w:val="pt-PT"/>
        </w:rPr>
        <w:t> </w:t>
      </w:r>
      <w:r w:rsidR="00B910F9" w:rsidRPr="00110D6C">
        <w:rPr>
          <w:rFonts w:cs="Times New Roman"/>
          <w:color w:val="auto"/>
          <w:szCs w:val="22"/>
          <w:lang w:val="pt-PT"/>
        </w:rPr>
        <w:t>1</w:t>
      </w:r>
      <w:r w:rsidRPr="00110D6C">
        <w:rPr>
          <w:rFonts w:cs="Times New Roman"/>
          <w:color w:val="auto"/>
          <w:szCs w:val="22"/>
          <w:lang w:val="pt-PT"/>
        </w:rPr>
        <w:t xml:space="preserve">). </w:t>
      </w:r>
      <w:r w:rsidR="00D05FE6" w:rsidRPr="00110D6C">
        <w:rPr>
          <w:rFonts w:cs="Times New Roman"/>
          <w:color w:val="auto"/>
          <w:szCs w:val="22"/>
          <w:lang w:val="pt-PT"/>
        </w:rPr>
        <w:t>F</w:t>
      </w:r>
      <w:r w:rsidR="00037D45" w:rsidRPr="00110D6C">
        <w:rPr>
          <w:rFonts w:cs="Times New Roman"/>
          <w:color w:val="auto"/>
          <w:szCs w:val="22"/>
          <w:lang w:val="pt-PT"/>
        </w:rPr>
        <w:t>ymskina</w:t>
      </w:r>
      <w:r w:rsidRPr="00110D6C">
        <w:rPr>
          <w:rFonts w:cs="Times New Roman"/>
          <w:color w:val="auto"/>
          <w:szCs w:val="22"/>
          <w:lang w:val="pt-PT"/>
        </w:rPr>
        <w:t xml:space="preserve"> deve ser administrado nas Semanas</w:t>
      </w:r>
      <w:r w:rsidR="005B2D5C" w:rsidRPr="00110D6C">
        <w:rPr>
          <w:rFonts w:cs="Times New Roman"/>
          <w:color w:val="auto"/>
          <w:szCs w:val="22"/>
          <w:lang w:val="pt-PT"/>
        </w:rPr>
        <w:t> </w:t>
      </w:r>
      <w:r w:rsidR="00B910F9" w:rsidRPr="00110D6C">
        <w:rPr>
          <w:rFonts w:cs="Times New Roman"/>
          <w:color w:val="auto"/>
          <w:szCs w:val="22"/>
          <w:lang w:val="pt-PT"/>
        </w:rPr>
        <w:t>0</w:t>
      </w:r>
      <w:r w:rsidR="005B2D5C" w:rsidRPr="00110D6C">
        <w:rPr>
          <w:rFonts w:cs="Times New Roman"/>
          <w:color w:val="auto"/>
          <w:szCs w:val="22"/>
          <w:lang w:val="pt-PT"/>
        </w:rPr>
        <w:t xml:space="preserve"> </w:t>
      </w:r>
      <w:r w:rsidRPr="00110D6C">
        <w:rPr>
          <w:rFonts w:cs="Times New Roman"/>
          <w:color w:val="auto"/>
          <w:szCs w:val="22"/>
          <w:lang w:val="pt-PT"/>
        </w:rPr>
        <w:t>e 4, posteriormente a cada 1</w:t>
      </w:r>
      <w:r w:rsidR="00B910F9" w:rsidRPr="00110D6C">
        <w:rPr>
          <w:rFonts w:cs="Times New Roman"/>
          <w:color w:val="auto"/>
          <w:szCs w:val="22"/>
          <w:lang w:val="pt-PT"/>
        </w:rPr>
        <w:t>2 </w:t>
      </w:r>
      <w:r w:rsidRPr="00110D6C">
        <w:rPr>
          <w:rFonts w:cs="Times New Roman"/>
          <w:color w:val="auto"/>
          <w:szCs w:val="22"/>
          <w:lang w:val="pt-PT"/>
        </w:rPr>
        <w:t>semanas.</w:t>
      </w:r>
    </w:p>
    <w:p w14:paraId="4DC37DEE" w14:textId="77777777" w:rsidR="00037D45" w:rsidRPr="00110D6C" w:rsidRDefault="00037D45" w:rsidP="00A17623">
      <w:pPr>
        <w:widowControl/>
        <w:rPr>
          <w:rFonts w:cs="Times New Roman"/>
          <w:color w:val="auto"/>
          <w:szCs w:val="22"/>
          <w:lang w:val="pt-PT"/>
        </w:rPr>
      </w:pPr>
    </w:p>
    <w:p w14:paraId="45AAE1A7" w14:textId="209CF202" w:rsidR="0077031F" w:rsidRPr="00110D6C" w:rsidRDefault="00030085" w:rsidP="0043129A">
      <w:pPr>
        <w:keepNext/>
        <w:keepLines/>
        <w:widowControl/>
        <w:ind w:left="1134" w:hanging="1134"/>
        <w:rPr>
          <w:rFonts w:cs="Times New Roman"/>
          <w:color w:val="auto"/>
          <w:szCs w:val="22"/>
          <w:lang w:val="pt-PT"/>
        </w:rPr>
      </w:pPr>
      <w:r w:rsidRPr="00110D6C">
        <w:rPr>
          <w:rFonts w:cs="Times New Roman"/>
          <w:i/>
          <w:iCs/>
          <w:color w:val="auto"/>
          <w:szCs w:val="22"/>
          <w:lang w:val="pt-PT"/>
        </w:rPr>
        <w:t>Tabela</w:t>
      </w:r>
      <w:r w:rsidR="00982985" w:rsidRPr="00110D6C">
        <w:rPr>
          <w:rFonts w:cs="Times New Roman"/>
          <w:color w:val="auto"/>
          <w:szCs w:val="22"/>
          <w:lang w:val="pt-PT"/>
        </w:rPr>
        <w:t> </w:t>
      </w:r>
      <w:r w:rsidR="00B910F9" w:rsidRPr="00110D6C">
        <w:rPr>
          <w:rFonts w:cs="Times New Roman"/>
          <w:color w:val="auto"/>
          <w:szCs w:val="22"/>
          <w:lang w:val="pt-PT"/>
        </w:rPr>
        <w:t>1</w:t>
      </w:r>
      <w:r w:rsidR="0043129A" w:rsidRPr="00110D6C">
        <w:rPr>
          <w:rFonts w:cs="Times New Roman"/>
          <w:color w:val="auto"/>
          <w:szCs w:val="22"/>
          <w:lang w:val="pt-PT"/>
        </w:rPr>
        <w:tab/>
      </w:r>
      <w:r w:rsidRPr="00110D6C">
        <w:rPr>
          <w:rFonts w:cs="Times New Roman"/>
          <w:i/>
          <w:iCs/>
          <w:color w:val="auto"/>
          <w:szCs w:val="22"/>
          <w:lang w:val="pt-PT"/>
        </w:rPr>
        <w:t xml:space="preserve">Dose recomendada de </w:t>
      </w:r>
      <w:r w:rsidR="00D05FE6" w:rsidRPr="00110D6C">
        <w:rPr>
          <w:rFonts w:cs="Times New Roman"/>
          <w:i/>
          <w:iCs/>
          <w:color w:val="auto"/>
          <w:szCs w:val="22"/>
          <w:lang w:val="pt-PT"/>
        </w:rPr>
        <w:t>F</w:t>
      </w:r>
      <w:r w:rsidR="00037D45" w:rsidRPr="00110D6C">
        <w:rPr>
          <w:rFonts w:cs="Times New Roman"/>
          <w:i/>
          <w:iCs/>
          <w:color w:val="auto"/>
          <w:szCs w:val="22"/>
          <w:lang w:val="pt-PT"/>
        </w:rPr>
        <w:t>ymskina</w:t>
      </w:r>
      <w:r w:rsidRPr="00110D6C">
        <w:rPr>
          <w:rFonts w:cs="Times New Roman"/>
          <w:i/>
          <w:iCs/>
          <w:color w:val="auto"/>
          <w:szCs w:val="22"/>
          <w:lang w:val="pt-PT"/>
        </w:rPr>
        <w:t xml:space="preserve"> para a psoríase pediátrica</w:t>
      </w:r>
    </w:p>
    <w:tbl>
      <w:tblPr>
        <w:tblOverlap w:val="never"/>
        <w:tblW w:w="0" w:type="auto"/>
        <w:tblLayout w:type="fixed"/>
        <w:tblLook w:val="04A0" w:firstRow="1" w:lastRow="0" w:firstColumn="1" w:lastColumn="0" w:noHBand="0" w:noVBand="1"/>
      </w:tblPr>
      <w:tblGrid>
        <w:gridCol w:w="5059"/>
        <w:gridCol w:w="4013"/>
      </w:tblGrid>
      <w:tr w:rsidR="0077031F" w:rsidRPr="00110D6C" w14:paraId="79D18A6F" w14:textId="77777777" w:rsidTr="0043129A">
        <w:tc>
          <w:tcPr>
            <w:tcW w:w="5059" w:type="dxa"/>
            <w:tcBorders>
              <w:top w:val="single" w:sz="4" w:space="0" w:color="auto"/>
              <w:left w:val="single" w:sz="4" w:space="0" w:color="auto"/>
            </w:tcBorders>
            <w:shd w:val="clear" w:color="auto" w:fill="auto"/>
            <w:vAlign w:val="bottom"/>
          </w:tcPr>
          <w:p w14:paraId="479F8CB9" w14:textId="77777777" w:rsidR="0077031F" w:rsidRPr="00110D6C" w:rsidRDefault="00030085" w:rsidP="0043129A">
            <w:pPr>
              <w:keepNext/>
              <w:keepLines/>
              <w:widowControl/>
              <w:jc w:val="center"/>
              <w:rPr>
                <w:rFonts w:cs="Times New Roman"/>
                <w:color w:val="auto"/>
                <w:szCs w:val="22"/>
                <w:lang w:val="pt-PT"/>
              </w:rPr>
            </w:pPr>
            <w:r w:rsidRPr="00110D6C">
              <w:rPr>
                <w:rFonts w:cs="Times New Roman"/>
                <w:b/>
                <w:bCs/>
                <w:color w:val="auto"/>
                <w:szCs w:val="22"/>
                <w:lang w:val="pt-PT"/>
              </w:rPr>
              <w:t>Peso corporal no momento da administração</w:t>
            </w:r>
          </w:p>
        </w:tc>
        <w:tc>
          <w:tcPr>
            <w:tcW w:w="4013" w:type="dxa"/>
            <w:tcBorders>
              <w:top w:val="single" w:sz="4" w:space="0" w:color="auto"/>
              <w:left w:val="single" w:sz="4" w:space="0" w:color="auto"/>
              <w:right w:val="single" w:sz="4" w:space="0" w:color="auto"/>
            </w:tcBorders>
            <w:shd w:val="clear" w:color="auto" w:fill="auto"/>
            <w:vAlign w:val="bottom"/>
          </w:tcPr>
          <w:p w14:paraId="4EE672DE" w14:textId="77777777" w:rsidR="0077031F" w:rsidRPr="00110D6C" w:rsidRDefault="00030085" w:rsidP="0043129A">
            <w:pPr>
              <w:keepNext/>
              <w:keepLines/>
              <w:widowControl/>
              <w:jc w:val="center"/>
              <w:rPr>
                <w:rFonts w:cs="Times New Roman"/>
                <w:color w:val="auto"/>
                <w:szCs w:val="22"/>
                <w:lang w:val="pt-PT"/>
              </w:rPr>
            </w:pPr>
            <w:r w:rsidRPr="00110D6C">
              <w:rPr>
                <w:rFonts w:cs="Times New Roman"/>
                <w:b/>
                <w:bCs/>
                <w:color w:val="auto"/>
                <w:szCs w:val="22"/>
                <w:lang w:val="pt-PT"/>
              </w:rPr>
              <w:t>Dose Recomendada</w:t>
            </w:r>
          </w:p>
        </w:tc>
      </w:tr>
      <w:tr w:rsidR="0077031F" w:rsidRPr="00110D6C" w14:paraId="1AADB364" w14:textId="77777777" w:rsidTr="0043129A">
        <w:tc>
          <w:tcPr>
            <w:tcW w:w="5059" w:type="dxa"/>
            <w:tcBorders>
              <w:top w:val="single" w:sz="4" w:space="0" w:color="auto"/>
              <w:left w:val="single" w:sz="4" w:space="0" w:color="auto"/>
            </w:tcBorders>
            <w:shd w:val="clear" w:color="auto" w:fill="auto"/>
            <w:vAlign w:val="bottom"/>
          </w:tcPr>
          <w:p w14:paraId="76B8B1B7" w14:textId="2C6EB4C8" w:rsidR="0077031F" w:rsidRPr="00110D6C" w:rsidRDefault="00030085" w:rsidP="00F5387C">
            <w:pPr>
              <w:widowControl/>
              <w:jc w:val="center"/>
              <w:rPr>
                <w:rFonts w:cs="Times New Roman"/>
                <w:color w:val="auto"/>
                <w:szCs w:val="22"/>
                <w:lang w:val="pt-PT"/>
              </w:rPr>
            </w:pPr>
            <w:r w:rsidRPr="00110D6C">
              <w:rPr>
                <w:rFonts w:cs="Times New Roman"/>
                <w:color w:val="auto"/>
                <w:szCs w:val="22"/>
                <w:lang w:val="pt-PT"/>
              </w:rPr>
              <w:t>&lt;</w:t>
            </w:r>
            <w:r w:rsidR="00F5387C" w:rsidRPr="00110D6C">
              <w:rPr>
                <w:rFonts w:cs="Times New Roman"/>
                <w:color w:val="auto"/>
                <w:szCs w:val="22"/>
                <w:lang w:val="pt-PT"/>
              </w:rPr>
              <w:t> </w:t>
            </w:r>
            <w:r w:rsidRPr="00110D6C">
              <w:rPr>
                <w:rFonts w:cs="Times New Roman"/>
                <w:color w:val="auto"/>
                <w:szCs w:val="22"/>
                <w:lang w:val="pt-PT"/>
              </w:rPr>
              <w:t>6</w:t>
            </w:r>
            <w:r w:rsidR="00B910F9" w:rsidRPr="00110D6C">
              <w:rPr>
                <w:rFonts w:cs="Times New Roman"/>
                <w:color w:val="auto"/>
                <w:szCs w:val="22"/>
                <w:lang w:val="pt-PT"/>
              </w:rPr>
              <w:t>0 </w:t>
            </w:r>
            <w:r w:rsidRPr="00110D6C">
              <w:rPr>
                <w:rFonts w:cs="Times New Roman"/>
                <w:color w:val="auto"/>
                <w:szCs w:val="22"/>
                <w:lang w:val="pt-PT"/>
              </w:rPr>
              <w:t>kg</w:t>
            </w:r>
            <w:r w:rsidR="00037D45">
              <w:rPr>
                <w:rFonts w:cs="Times New Roman"/>
                <w:color w:val="auto"/>
                <w:szCs w:val="22"/>
                <w:lang w:val="pt-PT"/>
              </w:rPr>
              <w:t>*</w:t>
            </w:r>
          </w:p>
        </w:tc>
        <w:tc>
          <w:tcPr>
            <w:tcW w:w="4013" w:type="dxa"/>
            <w:tcBorders>
              <w:top w:val="single" w:sz="4" w:space="0" w:color="auto"/>
              <w:left w:val="single" w:sz="4" w:space="0" w:color="auto"/>
              <w:right w:val="single" w:sz="4" w:space="0" w:color="auto"/>
            </w:tcBorders>
            <w:shd w:val="clear" w:color="auto" w:fill="auto"/>
            <w:vAlign w:val="bottom"/>
          </w:tcPr>
          <w:p w14:paraId="2686C12D" w14:textId="41CD219A" w:rsidR="0077031F" w:rsidRPr="00110D6C" w:rsidRDefault="00450C97" w:rsidP="0043129A">
            <w:pPr>
              <w:widowControl/>
              <w:jc w:val="center"/>
              <w:rPr>
                <w:rFonts w:cs="Times New Roman"/>
                <w:color w:val="auto"/>
                <w:szCs w:val="22"/>
                <w:lang w:val="pt-PT"/>
              </w:rPr>
            </w:pPr>
            <w:r w:rsidRPr="00A9610F">
              <w:t>-</w:t>
            </w:r>
          </w:p>
        </w:tc>
      </w:tr>
      <w:tr w:rsidR="0077031F" w:rsidRPr="00110D6C" w14:paraId="5887C0AC" w14:textId="77777777" w:rsidTr="0043129A">
        <w:tc>
          <w:tcPr>
            <w:tcW w:w="5059" w:type="dxa"/>
            <w:tcBorders>
              <w:top w:val="single" w:sz="4" w:space="0" w:color="auto"/>
              <w:left w:val="single" w:sz="4" w:space="0" w:color="auto"/>
            </w:tcBorders>
            <w:shd w:val="clear" w:color="auto" w:fill="auto"/>
            <w:vAlign w:val="bottom"/>
          </w:tcPr>
          <w:p w14:paraId="14C7C737" w14:textId="77777777" w:rsidR="0077031F" w:rsidRPr="00110D6C" w:rsidRDefault="00030085" w:rsidP="00F5387C">
            <w:pPr>
              <w:widowControl/>
              <w:jc w:val="center"/>
              <w:rPr>
                <w:rFonts w:cs="Times New Roman"/>
                <w:color w:val="auto"/>
                <w:szCs w:val="22"/>
                <w:lang w:val="pt-PT"/>
              </w:rPr>
            </w:pPr>
            <w:r w:rsidRPr="00110D6C">
              <w:rPr>
                <w:rFonts w:cs="Times New Roman"/>
                <w:color w:val="auto"/>
                <w:szCs w:val="22"/>
                <w:lang w:val="pt-PT"/>
              </w:rPr>
              <w:t>≥</w:t>
            </w:r>
            <w:r w:rsidR="00F5387C" w:rsidRPr="00110D6C">
              <w:rPr>
                <w:rFonts w:cs="Times New Roman"/>
                <w:color w:val="auto"/>
                <w:szCs w:val="22"/>
                <w:lang w:val="pt-PT"/>
              </w:rPr>
              <w:t> </w:t>
            </w:r>
            <w:r w:rsidRPr="00110D6C">
              <w:rPr>
                <w:rFonts w:cs="Times New Roman"/>
                <w:color w:val="auto"/>
                <w:szCs w:val="22"/>
                <w:lang w:val="pt-PT"/>
              </w:rPr>
              <w:t>60-≤</w:t>
            </w:r>
            <w:r w:rsidR="00F5387C" w:rsidRPr="00110D6C">
              <w:rPr>
                <w:rFonts w:cs="Times New Roman"/>
                <w:color w:val="auto"/>
                <w:szCs w:val="22"/>
                <w:lang w:val="pt-PT"/>
              </w:rPr>
              <w:t> </w:t>
            </w:r>
            <w:r w:rsidRPr="00110D6C">
              <w:rPr>
                <w:rFonts w:cs="Times New Roman"/>
                <w:color w:val="auto"/>
                <w:szCs w:val="22"/>
                <w:lang w:val="pt-PT"/>
              </w:rPr>
              <w:t>10</w:t>
            </w:r>
            <w:r w:rsidR="00B910F9" w:rsidRPr="00110D6C">
              <w:rPr>
                <w:rFonts w:cs="Times New Roman"/>
                <w:color w:val="auto"/>
                <w:szCs w:val="22"/>
                <w:lang w:val="pt-PT"/>
              </w:rPr>
              <w:t>0 </w:t>
            </w:r>
            <w:r w:rsidRPr="00110D6C">
              <w:rPr>
                <w:rFonts w:cs="Times New Roman"/>
                <w:color w:val="auto"/>
                <w:szCs w:val="22"/>
                <w:lang w:val="pt-PT"/>
              </w:rPr>
              <w:t>kg</w:t>
            </w:r>
          </w:p>
        </w:tc>
        <w:tc>
          <w:tcPr>
            <w:tcW w:w="4013" w:type="dxa"/>
            <w:tcBorders>
              <w:top w:val="single" w:sz="4" w:space="0" w:color="auto"/>
              <w:left w:val="single" w:sz="4" w:space="0" w:color="auto"/>
              <w:right w:val="single" w:sz="4" w:space="0" w:color="auto"/>
            </w:tcBorders>
            <w:shd w:val="clear" w:color="auto" w:fill="auto"/>
            <w:vAlign w:val="bottom"/>
          </w:tcPr>
          <w:p w14:paraId="4F32522F"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4</w:t>
            </w:r>
            <w:r w:rsidR="00B910F9" w:rsidRPr="00110D6C">
              <w:rPr>
                <w:rFonts w:cs="Times New Roman"/>
                <w:color w:val="auto"/>
                <w:szCs w:val="22"/>
                <w:lang w:val="pt-PT"/>
              </w:rPr>
              <w:t>5 </w:t>
            </w:r>
            <w:r w:rsidRPr="00110D6C">
              <w:rPr>
                <w:rFonts w:cs="Times New Roman"/>
                <w:color w:val="auto"/>
                <w:szCs w:val="22"/>
                <w:lang w:val="pt-PT"/>
              </w:rPr>
              <w:t>mg</w:t>
            </w:r>
          </w:p>
        </w:tc>
      </w:tr>
      <w:tr w:rsidR="0077031F" w:rsidRPr="00110D6C" w14:paraId="41FEB660" w14:textId="77777777" w:rsidTr="0043129A">
        <w:tc>
          <w:tcPr>
            <w:tcW w:w="5059" w:type="dxa"/>
            <w:tcBorders>
              <w:top w:val="single" w:sz="4" w:space="0" w:color="auto"/>
              <w:left w:val="single" w:sz="4" w:space="0" w:color="auto"/>
              <w:bottom w:val="single" w:sz="4" w:space="0" w:color="auto"/>
            </w:tcBorders>
            <w:shd w:val="clear" w:color="auto" w:fill="auto"/>
            <w:vAlign w:val="bottom"/>
          </w:tcPr>
          <w:p w14:paraId="6AF75A07" w14:textId="77777777" w:rsidR="0077031F" w:rsidRPr="00110D6C" w:rsidRDefault="00030085" w:rsidP="00F5387C">
            <w:pPr>
              <w:widowControl/>
              <w:jc w:val="center"/>
              <w:rPr>
                <w:rFonts w:cs="Times New Roman"/>
                <w:color w:val="auto"/>
                <w:szCs w:val="22"/>
                <w:lang w:val="pt-PT"/>
              </w:rPr>
            </w:pPr>
            <w:r w:rsidRPr="00110D6C">
              <w:rPr>
                <w:rFonts w:cs="Times New Roman"/>
                <w:color w:val="auto"/>
                <w:szCs w:val="22"/>
                <w:lang w:val="pt-PT"/>
              </w:rPr>
              <w:t>&gt;</w:t>
            </w:r>
            <w:r w:rsidR="00F5387C" w:rsidRPr="00110D6C">
              <w:rPr>
                <w:rFonts w:cs="Times New Roman"/>
                <w:color w:val="auto"/>
                <w:szCs w:val="22"/>
                <w:lang w:val="pt-PT"/>
              </w:rPr>
              <w:t> </w:t>
            </w:r>
            <w:r w:rsidRPr="00110D6C">
              <w:rPr>
                <w:rFonts w:cs="Times New Roman"/>
                <w:color w:val="auto"/>
                <w:szCs w:val="22"/>
                <w:lang w:val="pt-PT"/>
              </w:rPr>
              <w:t>10</w:t>
            </w:r>
            <w:r w:rsidR="00B910F9" w:rsidRPr="00110D6C">
              <w:rPr>
                <w:rFonts w:cs="Times New Roman"/>
                <w:color w:val="auto"/>
                <w:szCs w:val="22"/>
                <w:lang w:val="pt-PT"/>
              </w:rPr>
              <w:t>0 </w:t>
            </w:r>
            <w:r w:rsidRPr="00110D6C">
              <w:rPr>
                <w:rFonts w:cs="Times New Roman"/>
                <w:color w:val="auto"/>
                <w:szCs w:val="22"/>
                <w:lang w:val="pt-PT"/>
              </w:rPr>
              <w:t>kg</w:t>
            </w:r>
          </w:p>
        </w:tc>
        <w:tc>
          <w:tcPr>
            <w:tcW w:w="4013" w:type="dxa"/>
            <w:tcBorders>
              <w:top w:val="single" w:sz="4" w:space="0" w:color="auto"/>
              <w:left w:val="single" w:sz="4" w:space="0" w:color="auto"/>
              <w:bottom w:val="single" w:sz="4" w:space="0" w:color="auto"/>
              <w:right w:val="single" w:sz="4" w:space="0" w:color="auto"/>
            </w:tcBorders>
            <w:shd w:val="clear" w:color="auto" w:fill="auto"/>
            <w:vAlign w:val="bottom"/>
          </w:tcPr>
          <w:p w14:paraId="2E45ACB0"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9</w:t>
            </w:r>
            <w:r w:rsidR="00B910F9" w:rsidRPr="00110D6C">
              <w:rPr>
                <w:rFonts w:cs="Times New Roman"/>
                <w:color w:val="auto"/>
                <w:szCs w:val="22"/>
                <w:lang w:val="pt-PT"/>
              </w:rPr>
              <w:t>0 </w:t>
            </w:r>
            <w:r w:rsidRPr="00110D6C">
              <w:rPr>
                <w:rFonts w:cs="Times New Roman"/>
                <w:color w:val="auto"/>
                <w:szCs w:val="22"/>
                <w:lang w:val="pt-PT"/>
              </w:rPr>
              <w:t>mg</w:t>
            </w:r>
          </w:p>
        </w:tc>
      </w:tr>
    </w:tbl>
    <w:p w14:paraId="503812B9" w14:textId="77777777" w:rsidR="00037D45" w:rsidRPr="00967AD6" w:rsidRDefault="00037D45" w:rsidP="00037D45">
      <w:pPr>
        <w:widowControl/>
        <w:ind w:left="284" w:hanging="284"/>
        <w:rPr>
          <w:rFonts w:cs="Times New Roman"/>
          <w:color w:val="auto"/>
          <w:sz w:val="20"/>
          <w:szCs w:val="20"/>
          <w:lang w:val="pt-PT"/>
        </w:rPr>
      </w:pPr>
      <w:r w:rsidRPr="00967AD6">
        <w:rPr>
          <w:rFonts w:cs="Times New Roman"/>
          <w:color w:val="auto"/>
          <w:sz w:val="20"/>
          <w:szCs w:val="20"/>
          <w:lang w:val="pt-PT"/>
        </w:rPr>
        <w:t>*</w:t>
      </w:r>
      <w:r w:rsidRPr="00967AD6">
        <w:rPr>
          <w:rFonts w:cs="Times New Roman"/>
          <w:color w:val="auto"/>
          <w:sz w:val="20"/>
          <w:szCs w:val="20"/>
          <w:lang w:val="pt-PT"/>
        </w:rPr>
        <w:tab/>
      </w:r>
      <w:r>
        <w:rPr>
          <w:rFonts w:cs="Times New Roman"/>
          <w:color w:val="auto"/>
          <w:sz w:val="20"/>
          <w:szCs w:val="20"/>
          <w:lang w:val="pt-PT"/>
        </w:rPr>
        <w:t>Fymskina</w:t>
      </w:r>
      <w:r w:rsidRPr="00967AD6">
        <w:rPr>
          <w:rFonts w:cs="Times New Roman"/>
          <w:color w:val="auto"/>
          <w:sz w:val="20"/>
          <w:szCs w:val="20"/>
          <w:lang w:val="pt-PT"/>
        </w:rPr>
        <w:t xml:space="preserve"> não está disponível para doentes que necessitam de </w:t>
      </w:r>
      <w:r>
        <w:rPr>
          <w:rFonts w:cs="Times New Roman"/>
          <w:color w:val="auto"/>
          <w:sz w:val="20"/>
          <w:szCs w:val="20"/>
          <w:lang w:val="pt-PT"/>
        </w:rPr>
        <w:t xml:space="preserve">menos do que </w:t>
      </w:r>
      <w:r w:rsidRPr="00967AD6">
        <w:rPr>
          <w:rFonts w:cs="Times New Roman"/>
          <w:color w:val="auto"/>
          <w:sz w:val="20"/>
          <w:szCs w:val="20"/>
          <w:lang w:val="pt-PT"/>
        </w:rPr>
        <w:t>uma dose completa de 45 mg. Se for necessária uma dose alternativa, devem ser utilizadas outras formulações de ustecinumab que permitem esse tipo de opção.</w:t>
      </w:r>
    </w:p>
    <w:p w14:paraId="63A763EE" w14:textId="457C161D" w:rsidR="0043129A" w:rsidRPr="00110D6C" w:rsidRDefault="0043129A" w:rsidP="00A17623">
      <w:pPr>
        <w:widowControl/>
        <w:rPr>
          <w:rFonts w:cs="Times New Roman"/>
          <w:color w:val="auto"/>
          <w:szCs w:val="22"/>
          <w:lang w:val="pt-PT"/>
        </w:rPr>
      </w:pPr>
    </w:p>
    <w:p w14:paraId="4E827779" w14:textId="329413F0" w:rsidR="00037D45" w:rsidRPr="00AD342C" w:rsidRDefault="00037D45" w:rsidP="00037D45">
      <w:pPr>
        <w:widowControl/>
        <w:rPr>
          <w:rFonts w:cs="Times New Roman"/>
          <w:color w:val="auto"/>
          <w:szCs w:val="22"/>
          <w:lang w:val="pt-PT"/>
        </w:rPr>
      </w:pPr>
      <w:r w:rsidRPr="00AD342C">
        <w:rPr>
          <w:rFonts w:cs="Times New Roman"/>
          <w:color w:val="auto"/>
          <w:szCs w:val="22"/>
          <w:lang w:val="pt-PT"/>
        </w:rPr>
        <w:t xml:space="preserve">Não existe qualquer formulação de </w:t>
      </w:r>
      <w:r>
        <w:rPr>
          <w:rFonts w:cs="Times New Roman"/>
          <w:color w:val="auto"/>
          <w:szCs w:val="22"/>
          <w:lang w:val="pt-PT"/>
        </w:rPr>
        <w:t>Fymskina</w:t>
      </w:r>
      <w:r w:rsidRPr="00AD342C">
        <w:rPr>
          <w:rFonts w:cs="Times New Roman"/>
          <w:color w:val="auto"/>
          <w:szCs w:val="22"/>
          <w:lang w:val="pt-PT"/>
        </w:rPr>
        <w:t xml:space="preserve"> que permita ajustar a dose com base no peso para doentes pediátricos com menos de 60 kg de peso. Para os doentes que pesam menos de 60 kg</w:t>
      </w:r>
      <w:r>
        <w:rPr>
          <w:rFonts w:cs="Times New Roman"/>
          <w:color w:val="auto"/>
          <w:szCs w:val="22"/>
          <w:lang w:val="pt-PT"/>
        </w:rPr>
        <w:t>,</w:t>
      </w:r>
      <w:r w:rsidRPr="00AD342C">
        <w:rPr>
          <w:rFonts w:cs="Times New Roman"/>
          <w:color w:val="auto"/>
          <w:szCs w:val="22"/>
          <w:lang w:val="pt-PT"/>
        </w:rPr>
        <w:t xml:space="preserve"> a dose deve ser determinada com exatidão num</w:t>
      </w:r>
      <w:r w:rsidR="00450C97">
        <w:rPr>
          <w:rFonts w:cs="Times New Roman"/>
          <w:color w:val="auto"/>
          <w:szCs w:val="22"/>
          <w:lang w:val="pt-PT"/>
        </w:rPr>
        <w:t>a de</w:t>
      </w:r>
      <w:r w:rsidRPr="00AD342C">
        <w:rPr>
          <w:rFonts w:cs="Times New Roman"/>
          <w:color w:val="auto"/>
          <w:szCs w:val="22"/>
          <w:lang w:val="pt-PT"/>
        </w:rPr>
        <w:t xml:space="preserve"> base mg/kg, utilizando outra formulação de ustecinumab: 45 mg solução injetável em frascos para injetáveis que permite obter doses com base no peso.</w:t>
      </w:r>
    </w:p>
    <w:p w14:paraId="34D0367B" w14:textId="043B04C0" w:rsidR="0043129A" w:rsidRPr="00110D6C" w:rsidRDefault="0043129A" w:rsidP="00A17623">
      <w:pPr>
        <w:widowControl/>
        <w:rPr>
          <w:rFonts w:cs="Times New Roman"/>
          <w:color w:val="auto"/>
          <w:szCs w:val="22"/>
          <w:lang w:val="pt-PT"/>
        </w:rPr>
      </w:pPr>
    </w:p>
    <w:p w14:paraId="32C6D3CB"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Deve ser considerada a descontinuação do tratamento em doentes que não tenham demonstrado resposta até às 2</w:t>
      </w:r>
      <w:r w:rsidR="00B910F9" w:rsidRPr="00110D6C">
        <w:rPr>
          <w:rFonts w:cs="Times New Roman"/>
          <w:color w:val="auto"/>
          <w:szCs w:val="22"/>
          <w:lang w:val="pt-PT"/>
        </w:rPr>
        <w:t>8 </w:t>
      </w:r>
      <w:r w:rsidRPr="00110D6C">
        <w:rPr>
          <w:rFonts w:cs="Times New Roman"/>
          <w:color w:val="auto"/>
          <w:szCs w:val="22"/>
          <w:lang w:val="pt-PT"/>
        </w:rPr>
        <w:t>semanas de tratamento.</w:t>
      </w:r>
    </w:p>
    <w:p w14:paraId="10B7D4B0" w14:textId="77777777" w:rsidR="0043129A" w:rsidRPr="00110D6C" w:rsidRDefault="0043129A" w:rsidP="00A17623">
      <w:pPr>
        <w:widowControl/>
        <w:rPr>
          <w:rFonts w:cs="Times New Roman"/>
          <w:color w:val="auto"/>
          <w:szCs w:val="22"/>
          <w:lang w:val="pt-PT"/>
        </w:rPr>
      </w:pPr>
    </w:p>
    <w:p w14:paraId="7767116A" w14:textId="17D305CC"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Doença de Crohn</w:t>
      </w:r>
    </w:p>
    <w:p w14:paraId="48141987" w14:textId="20186BF3"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No regime de tratamento, a primeira dose de </w:t>
      </w:r>
      <w:r w:rsidR="00D05FE6" w:rsidRPr="00110D6C">
        <w:rPr>
          <w:rFonts w:cs="Times New Roman"/>
          <w:color w:val="auto"/>
          <w:szCs w:val="22"/>
          <w:lang w:val="pt-PT"/>
        </w:rPr>
        <w:t>F</w:t>
      </w:r>
      <w:r w:rsidR="006F3CD8" w:rsidRPr="00110D6C">
        <w:rPr>
          <w:rFonts w:cs="Times New Roman"/>
          <w:color w:val="auto"/>
          <w:szCs w:val="22"/>
          <w:lang w:val="pt-PT"/>
        </w:rPr>
        <w:t>ymskina</w:t>
      </w:r>
      <w:r w:rsidRPr="00110D6C">
        <w:rPr>
          <w:rFonts w:cs="Times New Roman"/>
          <w:color w:val="auto"/>
          <w:szCs w:val="22"/>
          <w:lang w:val="pt-PT"/>
        </w:rPr>
        <w:t xml:space="preserve"> é administrada por via intravenosa. Para a posologia do regime de administração intravenoso,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w:t>
      </w:r>
      <w:r w:rsidR="00B910F9" w:rsidRPr="00110D6C">
        <w:rPr>
          <w:rFonts w:cs="Times New Roman"/>
          <w:color w:val="auto"/>
          <w:szCs w:val="22"/>
          <w:lang w:val="pt-PT"/>
        </w:rPr>
        <w:t>2 </w:t>
      </w:r>
      <w:r w:rsidRPr="00110D6C">
        <w:rPr>
          <w:rFonts w:cs="Times New Roman"/>
          <w:color w:val="auto"/>
          <w:szCs w:val="22"/>
          <w:lang w:val="pt-PT"/>
        </w:rPr>
        <w:t xml:space="preserve">do RCM de </w:t>
      </w:r>
      <w:r w:rsidR="00D05FE6" w:rsidRPr="00110D6C">
        <w:rPr>
          <w:rFonts w:cs="Times New Roman"/>
          <w:color w:val="auto"/>
          <w:szCs w:val="22"/>
          <w:lang w:val="pt-PT"/>
        </w:rPr>
        <w:t>F</w:t>
      </w:r>
      <w:r w:rsidR="006F3CD8" w:rsidRPr="00110D6C">
        <w:rPr>
          <w:rFonts w:cs="Times New Roman"/>
          <w:color w:val="auto"/>
          <w:szCs w:val="22"/>
          <w:lang w:val="pt-PT"/>
        </w:rPr>
        <w:t>ymskina</w:t>
      </w:r>
      <w:r w:rsidRPr="00110D6C">
        <w:rPr>
          <w:rFonts w:cs="Times New Roman"/>
          <w:color w:val="auto"/>
          <w:szCs w:val="22"/>
          <w:lang w:val="pt-PT"/>
        </w:rPr>
        <w:t xml:space="preserve"> 13</w:t>
      </w:r>
      <w:r w:rsidR="00B910F9" w:rsidRPr="00110D6C">
        <w:rPr>
          <w:rFonts w:cs="Times New Roman"/>
          <w:color w:val="auto"/>
          <w:szCs w:val="22"/>
          <w:lang w:val="pt-PT"/>
        </w:rPr>
        <w:t>0 </w:t>
      </w:r>
      <w:r w:rsidRPr="00110D6C">
        <w:rPr>
          <w:rFonts w:cs="Times New Roman"/>
          <w:color w:val="auto"/>
          <w:szCs w:val="22"/>
          <w:lang w:val="pt-PT"/>
        </w:rPr>
        <w:t>mg concentrado para solução para perfusão.</w:t>
      </w:r>
    </w:p>
    <w:p w14:paraId="4C4E5076" w14:textId="77777777" w:rsidR="006F3CD8" w:rsidRDefault="006F3CD8" w:rsidP="00A17623">
      <w:pPr>
        <w:widowControl/>
        <w:rPr>
          <w:rFonts w:cs="Times New Roman"/>
          <w:color w:val="auto"/>
          <w:szCs w:val="22"/>
          <w:lang w:val="pt-PT"/>
        </w:rPr>
      </w:pPr>
    </w:p>
    <w:p w14:paraId="462419FF" w14:textId="63F20FC8" w:rsidR="0077031F" w:rsidRPr="00110D6C" w:rsidRDefault="00030085" w:rsidP="00A17623">
      <w:pPr>
        <w:widowControl/>
        <w:rPr>
          <w:rFonts w:cs="Times New Roman"/>
          <w:color w:val="auto"/>
          <w:szCs w:val="22"/>
          <w:lang w:val="pt-PT"/>
        </w:rPr>
      </w:pPr>
      <w:r w:rsidRPr="00110D6C">
        <w:rPr>
          <w:rFonts w:cs="Times New Roman"/>
          <w:color w:val="auto"/>
          <w:szCs w:val="22"/>
          <w:lang w:val="pt-PT"/>
        </w:rPr>
        <w:t>A primeira administração subcutânea de 9</w:t>
      </w:r>
      <w:r w:rsidR="00B910F9" w:rsidRPr="00110D6C">
        <w:rPr>
          <w:rFonts w:cs="Times New Roman"/>
          <w:color w:val="auto"/>
          <w:szCs w:val="22"/>
          <w:lang w:val="pt-PT"/>
        </w:rPr>
        <w:t>0 </w:t>
      </w:r>
      <w:r w:rsidRPr="00110D6C">
        <w:rPr>
          <w:rFonts w:cs="Times New Roman"/>
          <w:color w:val="auto"/>
          <w:szCs w:val="22"/>
          <w:lang w:val="pt-PT"/>
        </w:rPr>
        <w:t xml:space="preserve">mg de </w:t>
      </w:r>
      <w:r w:rsidR="00D05FE6" w:rsidRPr="00110D6C">
        <w:rPr>
          <w:rFonts w:cs="Times New Roman"/>
          <w:color w:val="auto"/>
          <w:szCs w:val="22"/>
          <w:lang w:val="pt-PT"/>
        </w:rPr>
        <w:t>F</w:t>
      </w:r>
      <w:r w:rsidR="006F3CD8" w:rsidRPr="00110D6C">
        <w:rPr>
          <w:rFonts w:cs="Times New Roman"/>
          <w:color w:val="auto"/>
          <w:szCs w:val="22"/>
          <w:lang w:val="pt-PT"/>
        </w:rPr>
        <w:t>ymskina</w:t>
      </w:r>
      <w:r w:rsidRPr="00110D6C">
        <w:rPr>
          <w:rFonts w:cs="Times New Roman"/>
          <w:color w:val="auto"/>
          <w:szCs w:val="22"/>
          <w:lang w:val="pt-PT"/>
        </w:rPr>
        <w:t xml:space="preserve"> deve ocorrer na semana</w:t>
      </w:r>
      <w:r w:rsidR="005B2D5C" w:rsidRPr="00110D6C">
        <w:rPr>
          <w:rFonts w:cs="Times New Roman"/>
          <w:color w:val="auto"/>
          <w:szCs w:val="22"/>
          <w:lang w:val="pt-PT"/>
        </w:rPr>
        <w:t> </w:t>
      </w:r>
      <w:r w:rsidR="00B910F9" w:rsidRPr="00110D6C">
        <w:rPr>
          <w:rFonts w:cs="Times New Roman"/>
          <w:color w:val="auto"/>
          <w:szCs w:val="22"/>
          <w:lang w:val="pt-PT"/>
        </w:rPr>
        <w:t>8</w:t>
      </w:r>
      <w:r w:rsidR="005B2D5C" w:rsidRPr="00110D6C">
        <w:rPr>
          <w:rFonts w:cs="Times New Roman"/>
          <w:color w:val="auto"/>
          <w:szCs w:val="22"/>
          <w:lang w:val="pt-PT"/>
        </w:rPr>
        <w:t xml:space="preserve"> </w:t>
      </w:r>
      <w:r w:rsidRPr="00110D6C">
        <w:rPr>
          <w:rFonts w:cs="Times New Roman"/>
          <w:color w:val="auto"/>
          <w:szCs w:val="22"/>
          <w:lang w:val="pt-PT"/>
        </w:rPr>
        <w:t>após a dose intravenosa. Para as seguintes, recomenda-se uma administração em intervalos de 1</w:t>
      </w:r>
      <w:r w:rsidR="00B910F9" w:rsidRPr="00110D6C">
        <w:rPr>
          <w:rFonts w:cs="Times New Roman"/>
          <w:color w:val="auto"/>
          <w:szCs w:val="22"/>
          <w:lang w:val="pt-PT"/>
        </w:rPr>
        <w:t>2 </w:t>
      </w:r>
      <w:r w:rsidRPr="00110D6C">
        <w:rPr>
          <w:rFonts w:cs="Times New Roman"/>
          <w:color w:val="auto"/>
          <w:szCs w:val="22"/>
          <w:lang w:val="pt-PT"/>
        </w:rPr>
        <w:t>semanas.</w:t>
      </w:r>
    </w:p>
    <w:p w14:paraId="72063030" w14:textId="77777777" w:rsidR="0043129A" w:rsidRPr="00110D6C" w:rsidRDefault="0043129A" w:rsidP="00A17623">
      <w:pPr>
        <w:widowControl/>
        <w:rPr>
          <w:rFonts w:cs="Times New Roman"/>
          <w:color w:val="auto"/>
          <w:szCs w:val="22"/>
          <w:lang w:val="pt-PT"/>
        </w:rPr>
      </w:pPr>
    </w:p>
    <w:p w14:paraId="7273987F"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Os doentes que não apresentam uma resposta adequada às </w:t>
      </w:r>
      <w:r w:rsidR="00B910F9" w:rsidRPr="00110D6C">
        <w:rPr>
          <w:rFonts w:cs="Times New Roman"/>
          <w:color w:val="auto"/>
          <w:szCs w:val="22"/>
          <w:lang w:val="pt-PT"/>
        </w:rPr>
        <w:t>8 </w:t>
      </w:r>
      <w:r w:rsidRPr="00110D6C">
        <w:rPr>
          <w:rFonts w:cs="Times New Roman"/>
          <w:color w:val="auto"/>
          <w:szCs w:val="22"/>
          <w:lang w:val="pt-PT"/>
        </w:rPr>
        <w:t>semanas após a primeira dose subcutânea, podem receber uma segunda dose subcutânea nesta altura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5.1).</w:t>
      </w:r>
    </w:p>
    <w:p w14:paraId="57AE321A" w14:textId="77777777" w:rsidR="0043129A" w:rsidRPr="00110D6C" w:rsidRDefault="0043129A" w:rsidP="00A17623">
      <w:pPr>
        <w:widowControl/>
        <w:rPr>
          <w:rFonts w:cs="Times New Roman"/>
          <w:color w:val="auto"/>
          <w:szCs w:val="22"/>
          <w:lang w:val="pt-PT"/>
        </w:rPr>
      </w:pPr>
    </w:p>
    <w:p w14:paraId="50C4F3EC"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Os doentes que perdem a resposta com a administração em intervalos de 1</w:t>
      </w:r>
      <w:r w:rsidR="00B910F9" w:rsidRPr="00110D6C">
        <w:rPr>
          <w:rFonts w:cs="Times New Roman"/>
          <w:color w:val="auto"/>
          <w:szCs w:val="22"/>
          <w:lang w:val="pt-PT"/>
        </w:rPr>
        <w:t>2 </w:t>
      </w:r>
      <w:r w:rsidRPr="00110D6C">
        <w:rPr>
          <w:rFonts w:cs="Times New Roman"/>
          <w:color w:val="auto"/>
          <w:szCs w:val="22"/>
          <w:lang w:val="pt-PT"/>
        </w:rPr>
        <w:t xml:space="preserve">semanas podem beneficiar de um aumento da frequência de administração para intervalos de </w:t>
      </w:r>
      <w:r w:rsidR="00B910F9" w:rsidRPr="00110D6C">
        <w:rPr>
          <w:rFonts w:cs="Times New Roman"/>
          <w:color w:val="auto"/>
          <w:szCs w:val="22"/>
          <w:lang w:val="pt-PT"/>
        </w:rPr>
        <w:t>8 </w:t>
      </w:r>
      <w:r w:rsidRPr="00110D6C">
        <w:rPr>
          <w:rFonts w:cs="Times New Roman"/>
          <w:color w:val="auto"/>
          <w:szCs w:val="22"/>
          <w:lang w:val="pt-PT"/>
        </w:rPr>
        <w:t>semanas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5.1, secção</w:t>
      </w:r>
      <w:r w:rsidR="006A79E5" w:rsidRPr="00110D6C">
        <w:rPr>
          <w:rFonts w:cs="Times New Roman"/>
          <w:color w:val="auto"/>
          <w:szCs w:val="22"/>
          <w:lang w:val="pt-PT"/>
        </w:rPr>
        <w:t> </w:t>
      </w:r>
      <w:r w:rsidRPr="00110D6C">
        <w:rPr>
          <w:rFonts w:cs="Times New Roman"/>
          <w:color w:val="auto"/>
          <w:szCs w:val="22"/>
          <w:lang w:val="pt-PT"/>
        </w:rPr>
        <w:t>5.2).</w:t>
      </w:r>
    </w:p>
    <w:p w14:paraId="2ECE94D4" w14:textId="77777777" w:rsidR="0043129A" w:rsidRPr="00110D6C" w:rsidRDefault="0043129A" w:rsidP="00A17623">
      <w:pPr>
        <w:widowControl/>
        <w:rPr>
          <w:rFonts w:cs="Times New Roman"/>
          <w:color w:val="auto"/>
          <w:szCs w:val="22"/>
          <w:lang w:val="pt-PT"/>
        </w:rPr>
      </w:pPr>
    </w:p>
    <w:p w14:paraId="463058AA"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Os doentes podem subsequentemente receber uma administração em intervalos de </w:t>
      </w:r>
      <w:r w:rsidR="00B910F9" w:rsidRPr="00110D6C">
        <w:rPr>
          <w:rFonts w:cs="Times New Roman"/>
          <w:color w:val="auto"/>
          <w:szCs w:val="22"/>
          <w:lang w:val="pt-PT"/>
        </w:rPr>
        <w:t>8 </w:t>
      </w:r>
      <w:r w:rsidRPr="00110D6C">
        <w:rPr>
          <w:rFonts w:cs="Times New Roman"/>
          <w:color w:val="auto"/>
          <w:szCs w:val="22"/>
          <w:lang w:val="pt-PT"/>
        </w:rPr>
        <w:t>semanas ou 1</w:t>
      </w:r>
      <w:r w:rsidR="00B910F9" w:rsidRPr="00110D6C">
        <w:rPr>
          <w:rFonts w:cs="Times New Roman"/>
          <w:color w:val="auto"/>
          <w:szCs w:val="22"/>
          <w:lang w:val="pt-PT"/>
        </w:rPr>
        <w:t>2 </w:t>
      </w:r>
      <w:r w:rsidRPr="00110D6C">
        <w:rPr>
          <w:rFonts w:cs="Times New Roman"/>
          <w:color w:val="auto"/>
          <w:szCs w:val="22"/>
          <w:lang w:val="pt-PT"/>
        </w:rPr>
        <w:t>semanas conforme seja a decisão clínica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5.1).</w:t>
      </w:r>
    </w:p>
    <w:p w14:paraId="47C64ED2" w14:textId="77777777" w:rsidR="0043129A" w:rsidRPr="00110D6C" w:rsidRDefault="0043129A" w:rsidP="00A17623">
      <w:pPr>
        <w:widowControl/>
        <w:rPr>
          <w:rFonts w:cs="Times New Roman"/>
          <w:color w:val="auto"/>
          <w:szCs w:val="22"/>
          <w:lang w:val="pt-PT"/>
        </w:rPr>
      </w:pPr>
    </w:p>
    <w:p w14:paraId="1DCA98B2"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Deve ser considerada a interrupção do tratamento em doentes que não apresentam qualquer evidência de benefício terapêutico 1</w:t>
      </w:r>
      <w:r w:rsidR="00B910F9" w:rsidRPr="00110D6C">
        <w:rPr>
          <w:rFonts w:cs="Times New Roman"/>
          <w:color w:val="auto"/>
          <w:szCs w:val="22"/>
          <w:lang w:val="pt-PT"/>
        </w:rPr>
        <w:t>6 </w:t>
      </w:r>
      <w:r w:rsidRPr="00110D6C">
        <w:rPr>
          <w:rFonts w:cs="Times New Roman"/>
          <w:color w:val="auto"/>
          <w:szCs w:val="22"/>
          <w:lang w:val="pt-PT"/>
        </w:rPr>
        <w:t>semanas após a dose de indução intravenosa ou 1</w:t>
      </w:r>
      <w:r w:rsidR="00B910F9" w:rsidRPr="00110D6C">
        <w:rPr>
          <w:rFonts w:cs="Times New Roman"/>
          <w:color w:val="auto"/>
          <w:szCs w:val="22"/>
          <w:lang w:val="pt-PT"/>
        </w:rPr>
        <w:t>6 </w:t>
      </w:r>
      <w:r w:rsidRPr="00110D6C">
        <w:rPr>
          <w:rFonts w:cs="Times New Roman"/>
          <w:color w:val="auto"/>
          <w:szCs w:val="22"/>
          <w:lang w:val="pt-PT"/>
        </w:rPr>
        <w:t xml:space="preserve">semanas após a mudança para a dose de manutenção em intervalos de </w:t>
      </w:r>
      <w:r w:rsidR="00B910F9" w:rsidRPr="00110D6C">
        <w:rPr>
          <w:rFonts w:cs="Times New Roman"/>
          <w:color w:val="auto"/>
          <w:szCs w:val="22"/>
          <w:lang w:val="pt-PT"/>
        </w:rPr>
        <w:t>8 </w:t>
      </w:r>
      <w:r w:rsidRPr="00110D6C">
        <w:rPr>
          <w:rFonts w:cs="Times New Roman"/>
          <w:color w:val="auto"/>
          <w:szCs w:val="22"/>
          <w:lang w:val="pt-PT"/>
        </w:rPr>
        <w:t>semanas.</w:t>
      </w:r>
    </w:p>
    <w:p w14:paraId="0050A64E" w14:textId="77777777" w:rsidR="0043129A" w:rsidRPr="00110D6C" w:rsidRDefault="0043129A" w:rsidP="00A17623">
      <w:pPr>
        <w:widowControl/>
        <w:rPr>
          <w:rFonts w:cs="Times New Roman"/>
          <w:color w:val="auto"/>
          <w:szCs w:val="22"/>
          <w:lang w:val="pt-PT"/>
        </w:rPr>
      </w:pPr>
    </w:p>
    <w:p w14:paraId="3108B64F" w14:textId="394A8DA3"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O tratamento com imunomoduladores e/ou corticosteroides pode continuar durante o tratamento com </w:t>
      </w:r>
      <w:r w:rsidR="00D05FE6" w:rsidRPr="00110D6C">
        <w:rPr>
          <w:rFonts w:cs="Times New Roman"/>
          <w:color w:val="auto"/>
          <w:szCs w:val="22"/>
          <w:lang w:val="pt-PT"/>
        </w:rPr>
        <w:t>F</w:t>
      </w:r>
      <w:r w:rsidR="006F3CD8" w:rsidRPr="00110D6C">
        <w:rPr>
          <w:rFonts w:cs="Times New Roman"/>
          <w:color w:val="auto"/>
          <w:szCs w:val="22"/>
          <w:lang w:val="pt-PT"/>
        </w:rPr>
        <w:t>ymskina</w:t>
      </w:r>
      <w:r w:rsidRPr="00110D6C">
        <w:rPr>
          <w:rFonts w:cs="Times New Roman"/>
          <w:color w:val="auto"/>
          <w:szCs w:val="22"/>
          <w:lang w:val="pt-PT"/>
        </w:rPr>
        <w:t xml:space="preserve">. Nos doentes que responderam ao tratamento com </w:t>
      </w:r>
      <w:r w:rsidR="00D05FE6" w:rsidRPr="00110D6C">
        <w:rPr>
          <w:rFonts w:cs="Times New Roman"/>
          <w:color w:val="auto"/>
          <w:szCs w:val="22"/>
          <w:lang w:val="pt-PT"/>
        </w:rPr>
        <w:t>F</w:t>
      </w:r>
      <w:r w:rsidR="006F3CD8" w:rsidRPr="00110D6C">
        <w:rPr>
          <w:rFonts w:cs="Times New Roman"/>
          <w:color w:val="auto"/>
          <w:szCs w:val="22"/>
          <w:lang w:val="pt-PT"/>
        </w:rPr>
        <w:t>ymskina</w:t>
      </w:r>
      <w:r w:rsidRPr="00110D6C">
        <w:rPr>
          <w:rFonts w:cs="Times New Roman"/>
          <w:color w:val="auto"/>
          <w:szCs w:val="22"/>
          <w:lang w:val="pt-PT"/>
        </w:rPr>
        <w:t>, os corticosteroides podem ser reduzidos ou descontinuados de acordo com os cuidados de referência.</w:t>
      </w:r>
    </w:p>
    <w:p w14:paraId="3646C27A" w14:textId="77777777" w:rsidR="0043129A" w:rsidRPr="00110D6C" w:rsidRDefault="0043129A" w:rsidP="00A17623">
      <w:pPr>
        <w:widowControl/>
        <w:rPr>
          <w:rFonts w:cs="Times New Roman"/>
          <w:color w:val="auto"/>
          <w:szCs w:val="22"/>
          <w:lang w:val="pt-PT"/>
        </w:rPr>
      </w:pPr>
    </w:p>
    <w:p w14:paraId="539F9903" w14:textId="1592226D" w:rsidR="0077031F" w:rsidRPr="00110D6C" w:rsidRDefault="00030085" w:rsidP="00A17623">
      <w:pPr>
        <w:widowControl/>
        <w:rPr>
          <w:rFonts w:cs="Times New Roman"/>
          <w:color w:val="auto"/>
          <w:szCs w:val="22"/>
          <w:lang w:val="pt-PT"/>
        </w:rPr>
      </w:pPr>
      <w:r w:rsidRPr="00110D6C">
        <w:rPr>
          <w:rFonts w:cs="Times New Roman"/>
          <w:color w:val="auto"/>
          <w:szCs w:val="22"/>
          <w:lang w:val="pt-PT"/>
        </w:rPr>
        <w:lastRenderedPageBreak/>
        <w:t xml:space="preserve">Na doença de Crohn, se a terapêutica for interrompida, o reinício do tratamento com uma administração subcutânea em intervalos de </w:t>
      </w:r>
      <w:r w:rsidR="00B910F9" w:rsidRPr="00110D6C">
        <w:rPr>
          <w:rFonts w:cs="Times New Roman"/>
          <w:color w:val="auto"/>
          <w:szCs w:val="22"/>
          <w:lang w:val="pt-PT"/>
        </w:rPr>
        <w:t>8 </w:t>
      </w:r>
      <w:r w:rsidRPr="00110D6C">
        <w:rPr>
          <w:rFonts w:cs="Times New Roman"/>
          <w:color w:val="auto"/>
          <w:szCs w:val="22"/>
          <w:lang w:val="pt-PT"/>
        </w:rPr>
        <w:t>semanas é considerado seguro e eficaz.</w:t>
      </w:r>
    </w:p>
    <w:p w14:paraId="2CBDE800" w14:textId="77777777" w:rsidR="0043129A" w:rsidRPr="00110D6C" w:rsidRDefault="0043129A" w:rsidP="00A17623">
      <w:pPr>
        <w:widowControl/>
        <w:rPr>
          <w:rFonts w:cs="Times New Roman"/>
          <w:iCs/>
          <w:color w:val="auto"/>
          <w:szCs w:val="22"/>
          <w:lang w:val="pt-PT"/>
        </w:rPr>
      </w:pPr>
    </w:p>
    <w:p w14:paraId="0C7A0EA9" w14:textId="77777777" w:rsidR="0077031F" w:rsidRPr="00110D6C" w:rsidRDefault="00030085" w:rsidP="00A17623">
      <w:pPr>
        <w:widowControl/>
        <w:rPr>
          <w:rFonts w:cs="Times New Roman"/>
          <w:color w:val="auto"/>
          <w:szCs w:val="22"/>
          <w:lang w:val="pt-PT"/>
        </w:rPr>
      </w:pPr>
      <w:r w:rsidRPr="00110D6C">
        <w:rPr>
          <w:rFonts w:cs="Times New Roman"/>
          <w:i/>
          <w:iCs/>
          <w:color w:val="auto"/>
          <w:szCs w:val="22"/>
          <w:lang w:val="pt-PT"/>
        </w:rPr>
        <w:t>Idosos (≥</w:t>
      </w:r>
      <w:r w:rsidR="00F5387C" w:rsidRPr="00110D6C">
        <w:rPr>
          <w:rFonts w:cs="Times New Roman"/>
          <w:i/>
          <w:iCs/>
          <w:color w:val="auto"/>
          <w:szCs w:val="22"/>
          <w:lang w:val="pt-PT"/>
        </w:rPr>
        <w:t> </w:t>
      </w:r>
      <w:r w:rsidRPr="00110D6C">
        <w:rPr>
          <w:rFonts w:cs="Times New Roman"/>
          <w:i/>
          <w:iCs/>
          <w:color w:val="auto"/>
          <w:szCs w:val="22"/>
          <w:lang w:val="pt-PT"/>
        </w:rPr>
        <w:t>6</w:t>
      </w:r>
      <w:r w:rsidR="00B910F9" w:rsidRPr="00110D6C">
        <w:rPr>
          <w:rFonts w:cs="Times New Roman"/>
          <w:i/>
          <w:iCs/>
          <w:color w:val="auto"/>
          <w:szCs w:val="22"/>
          <w:lang w:val="pt-PT"/>
        </w:rPr>
        <w:t>5 </w:t>
      </w:r>
      <w:r w:rsidRPr="00110D6C">
        <w:rPr>
          <w:rFonts w:cs="Times New Roman"/>
          <w:i/>
          <w:iCs/>
          <w:color w:val="auto"/>
          <w:szCs w:val="22"/>
          <w:lang w:val="pt-PT"/>
        </w:rPr>
        <w:t>anos)</w:t>
      </w:r>
    </w:p>
    <w:p w14:paraId="419127E3"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Não são necessários ajustes posológicos em doentes idosos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4.4).</w:t>
      </w:r>
    </w:p>
    <w:p w14:paraId="78B3F5AB" w14:textId="77777777" w:rsidR="0043129A" w:rsidRPr="00110D6C" w:rsidRDefault="0043129A" w:rsidP="00A17623">
      <w:pPr>
        <w:widowControl/>
        <w:rPr>
          <w:rFonts w:cs="Times New Roman"/>
          <w:iCs/>
          <w:color w:val="auto"/>
          <w:szCs w:val="22"/>
          <w:lang w:val="pt-PT"/>
        </w:rPr>
      </w:pPr>
    </w:p>
    <w:p w14:paraId="2AE4A8E5" w14:textId="77777777" w:rsidR="0077031F" w:rsidRPr="00110D6C" w:rsidRDefault="00030085" w:rsidP="00A17623">
      <w:pPr>
        <w:widowControl/>
        <w:rPr>
          <w:rFonts w:cs="Times New Roman"/>
          <w:color w:val="auto"/>
          <w:szCs w:val="22"/>
          <w:lang w:val="pt-PT"/>
        </w:rPr>
      </w:pPr>
      <w:r w:rsidRPr="00110D6C">
        <w:rPr>
          <w:rFonts w:cs="Times New Roman"/>
          <w:i/>
          <w:iCs/>
          <w:color w:val="auto"/>
          <w:szCs w:val="22"/>
          <w:lang w:val="pt-PT"/>
        </w:rPr>
        <w:t>Compromisso renal e afeção hepática</w:t>
      </w:r>
    </w:p>
    <w:p w14:paraId="213011C4" w14:textId="7C2886DE" w:rsidR="0077031F" w:rsidRPr="00110D6C" w:rsidRDefault="006F3CD8" w:rsidP="00A17623">
      <w:pPr>
        <w:widowControl/>
        <w:rPr>
          <w:rFonts w:cs="Times New Roman"/>
          <w:color w:val="auto"/>
          <w:szCs w:val="22"/>
          <w:lang w:val="pt-PT"/>
        </w:rPr>
      </w:pPr>
      <w:r w:rsidRPr="00AD342C">
        <w:rPr>
          <w:rFonts w:cs="Times New Roman"/>
          <w:color w:val="auto"/>
          <w:szCs w:val="22"/>
          <w:lang w:val="pt-PT"/>
        </w:rPr>
        <w:t>Ustecinumab</w:t>
      </w:r>
      <w:r w:rsidR="00030085" w:rsidRPr="00110D6C">
        <w:rPr>
          <w:rFonts w:cs="Times New Roman"/>
          <w:color w:val="auto"/>
          <w:szCs w:val="22"/>
          <w:lang w:val="pt-PT"/>
        </w:rPr>
        <w:t xml:space="preserve"> não foi estudado nestas populações de doentes. Não podem ser efetuadas quaisquer recomendações posológicas.</w:t>
      </w:r>
    </w:p>
    <w:p w14:paraId="4C264500" w14:textId="77777777" w:rsidR="0043129A" w:rsidRPr="00110D6C" w:rsidRDefault="0043129A" w:rsidP="00A17623">
      <w:pPr>
        <w:widowControl/>
        <w:rPr>
          <w:rFonts w:cs="Times New Roman"/>
          <w:iCs/>
          <w:color w:val="auto"/>
          <w:szCs w:val="22"/>
          <w:lang w:val="pt-PT"/>
        </w:rPr>
      </w:pPr>
    </w:p>
    <w:p w14:paraId="7331DEB3" w14:textId="77777777" w:rsidR="0077031F" w:rsidRPr="00110D6C" w:rsidRDefault="00030085" w:rsidP="00A17623">
      <w:pPr>
        <w:widowControl/>
        <w:rPr>
          <w:rFonts w:cs="Times New Roman"/>
          <w:color w:val="auto"/>
          <w:szCs w:val="22"/>
          <w:lang w:val="pt-PT"/>
        </w:rPr>
      </w:pPr>
      <w:r w:rsidRPr="00110D6C">
        <w:rPr>
          <w:rFonts w:cs="Times New Roman"/>
          <w:i/>
          <w:iCs/>
          <w:color w:val="auto"/>
          <w:szCs w:val="22"/>
          <w:lang w:val="pt-PT"/>
        </w:rPr>
        <w:t>População pediátrica</w:t>
      </w:r>
    </w:p>
    <w:p w14:paraId="5B3960BA" w14:textId="223F75BC"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 segurança e eficácia de </w:t>
      </w:r>
      <w:r w:rsidR="006F3CD8">
        <w:rPr>
          <w:rFonts w:cs="Times New Roman"/>
          <w:color w:val="auto"/>
          <w:szCs w:val="22"/>
          <w:lang w:val="pt-PT"/>
        </w:rPr>
        <w:t>u</w:t>
      </w:r>
      <w:r w:rsidR="006F3CD8" w:rsidRPr="00AD342C">
        <w:rPr>
          <w:rFonts w:cs="Times New Roman"/>
          <w:color w:val="auto"/>
          <w:szCs w:val="22"/>
          <w:lang w:val="pt-PT"/>
        </w:rPr>
        <w:t>stecinumab</w:t>
      </w:r>
      <w:r w:rsidRPr="00110D6C">
        <w:rPr>
          <w:rFonts w:cs="Times New Roman"/>
          <w:color w:val="auto"/>
          <w:szCs w:val="22"/>
          <w:lang w:val="pt-PT"/>
        </w:rPr>
        <w:t xml:space="preserve"> no tratamento da doença de Crohn em crianças com idade inferior a 1</w:t>
      </w:r>
      <w:r w:rsidR="00B910F9" w:rsidRPr="00110D6C">
        <w:rPr>
          <w:rFonts w:cs="Times New Roman"/>
          <w:color w:val="auto"/>
          <w:szCs w:val="22"/>
          <w:lang w:val="pt-PT"/>
        </w:rPr>
        <w:t>8 </w:t>
      </w:r>
      <w:r w:rsidRPr="00110D6C">
        <w:rPr>
          <w:rFonts w:cs="Times New Roman"/>
          <w:color w:val="auto"/>
          <w:szCs w:val="22"/>
          <w:lang w:val="pt-PT"/>
        </w:rPr>
        <w:t>anos não foram ainda estabelecidas. Não existem dados disponíveis.</w:t>
      </w:r>
    </w:p>
    <w:p w14:paraId="4340A865" w14:textId="77777777" w:rsidR="0043129A" w:rsidRPr="00110D6C" w:rsidRDefault="0043129A" w:rsidP="00A17623">
      <w:pPr>
        <w:widowControl/>
        <w:rPr>
          <w:rFonts w:cs="Times New Roman"/>
          <w:color w:val="auto"/>
          <w:szCs w:val="22"/>
          <w:lang w:val="pt-PT"/>
        </w:rPr>
      </w:pPr>
    </w:p>
    <w:p w14:paraId="228908F4"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Modo de administração</w:t>
      </w:r>
    </w:p>
    <w:p w14:paraId="7E293F72" w14:textId="640EE2A7" w:rsidR="0077031F" w:rsidRPr="00110D6C" w:rsidRDefault="00D05FE6" w:rsidP="00A17623">
      <w:pPr>
        <w:widowControl/>
        <w:rPr>
          <w:rFonts w:cs="Times New Roman"/>
          <w:color w:val="auto"/>
          <w:szCs w:val="22"/>
          <w:lang w:val="pt-PT"/>
        </w:rPr>
      </w:pPr>
      <w:r w:rsidRPr="00110D6C">
        <w:rPr>
          <w:rFonts w:cs="Times New Roman"/>
          <w:color w:val="auto"/>
          <w:szCs w:val="22"/>
          <w:lang w:val="pt-PT"/>
        </w:rPr>
        <w:t>F</w:t>
      </w:r>
      <w:r w:rsidR="006F3CD8" w:rsidRPr="00110D6C">
        <w:rPr>
          <w:rFonts w:cs="Times New Roman"/>
          <w:color w:val="auto"/>
          <w:szCs w:val="22"/>
          <w:lang w:val="pt-PT"/>
        </w:rPr>
        <w:t>ymskina</w:t>
      </w:r>
      <w:r w:rsidR="00030085" w:rsidRPr="00110D6C">
        <w:rPr>
          <w:rFonts w:cs="Times New Roman"/>
          <w:color w:val="auto"/>
          <w:szCs w:val="22"/>
          <w:lang w:val="pt-PT"/>
        </w:rPr>
        <w:t xml:space="preserve"> 4</w:t>
      </w:r>
      <w:r w:rsidR="00B910F9" w:rsidRPr="00110D6C">
        <w:rPr>
          <w:rFonts w:cs="Times New Roman"/>
          <w:color w:val="auto"/>
          <w:szCs w:val="22"/>
          <w:lang w:val="pt-PT"/>
        </w:rPr>
        <w:t>5 </w:t>
      </w:r>
      <w:r w:rsidR="00030085" w:rsidRPr="00110D6C">
        <w:rPr>
          <w:rFonts w:cs="Times New Roman"/>
          <w:color w:val="auto"/>
          <w:szCs w:val="22"/>
          <w:lang w:val="pt-PT"/>
        </w:rPr>
        <w:t>mg e 9</w:t>
      </w:r>
      <w:r w:rsidR="00B910F9" w:rsidRPr="00110D6C">
        <w:rPr>
          <w:rFonts w:cs="Times New Roman"/>
          <w:color w:val="auto"/>
          <w:szCs w:val="22"/>
          <w:lang w:val="pt-PT"/>
        </w:rPr>
        <w:t>0 </w:t>
      </w:r>
      <w:r w:rsidR="00030085" w:rsidRPr="00110D6C">
        <w:rPr>
          <w:rFonts w:cs="Times New Roman"/>
          <w:color w:val="auto"/>
          <w:szCs w:val="22"/>
          <w:lang w:val="pt-PT"/>
        </w:rPr>
        <w:t>mg em seringas pré-cheias destina-se apenas a administração por via subcutânea. Se possível, devem ser evitadas as áreas da pele com lesões de psoríase.</w:t>
      </w:r>
    </w:p>
    <w:p w14:paraId="0F73EB35" w14:textId="77777777" w:rsidR="0043129A" w:rsidRPr="00110D6C" w:rsidRDefault="0043129A" w:rsidP="00A17623">
      <w:pPr>
        <w:widowControl/>
        <w:rPr>
          <w:rFonts w:cs="Times New Roman"/>
          <w:color w:val="auto"/>
          <w:szCs w:val="22"/>
          <w:lang w:val="pt-PT"/>
        </w:rPr>
      </w:pPr>
    </w:p>
    <w:p w14:paraId="6D130E38" w14:textId="44C57B34"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Após treino apropriado sobre a técnica de injeção subcutânea, os doentes ou os seus prestadores de cuidados de saúde podem injetar </w:t>
      </w:r>
      <w:r w:rsidR="00D05FE6" w:rsidRPr="00110D6C">
        <w:rPr>
          <w:rFonts w:cs="Times New Roman"/>
          <w:color w:val="auto"/>
          <w:szCs w:val="22"/>
          <w:lang w:val="pt-PT"/>
        </w:rPr>
        <w:t>F</w:t>
      </w:r>
      <w:r w:rsidR="006F3CD8" w:rsidRPr="00110D6C">
        <w:rPr>
          <w:rFonts w:cs="Times New Roman"/>
          <w:color w:val="auto"/>
          <w:szCs w:val="22"/>
          <w:lang w:val="pt-PT"/>
        </w:rPr>
        <w:t>ymskina</w:t>
      </w:r>
      <w:r w:rsidRPr="00110D6C">
        <w:rPr>
          <w:rFonts w:cs="Times New Roman"/>
          <w:color w:val="auto"/>
          <w:szCs w:val="22"/>
          <w:lang w:val="pt-PT"/>
        </w:rPr>
        <w:t xml:space="preserve"> se o médico considerar adequado. No entanto, o médico deve assegurar um seguimento adequado dos doentes. Os doentes ou os seus prestadores de cuidados de saúde devem ser instruídos a injetar a quantidade prescrita de </w:t>
      </w:r>
      <w:r w:rsidR="00D05FE6" w:rsidRPr="00110D6C">
        <w:rPr>
          <w:rFonts w:cs="Times New Roman"/>
          <w:color w:val="auto"/>
          <w:szCs w:val="22"/>
          <w:lang w:val="pt-PT"/>
        </w:rPr>
        <w:t>F</w:t>
      </w:r>
      <w:r w:rsidR="00E8183A" w:rsidRPr="00110D6C">
        <w:rPr>
          <w:rFonts w:cs="Times New Roman"/>
          <w:color w:val="auto"/>
          <w:szCs w:val="22"/>
          <w:lang w:val="pt-PT"/>
        </w:rPr>
        <w:t>ymskina</w:t>
      </w:r>
      <w:r w:rsidRPr="00110D6C">
        <w:rPr>
          <w:rFonts w:cs="Times New Roman"/>
          <w:color w:val="auto"/>
          <w:szCs w:val="22"/>
          <w:lang w:val="pt-PT"/>
        </w:rPr>
        <w:t xml:space="preserve"> de acordo com as instruções fornecidas no folheto informativo. As instruções completas para a administração encontram-se no folheto informativo.</w:t>
      </w:r>
    </w:p>
    <w:p w14:paraId="0F155C81" w14:textId="77777777" w:rsidR="0043129A" w:rsidRPr="00110D6C" w:rsidRDefault="0043129A" w:rsidP="00A17623">
      <w:pPr>
        <w:widowControl/>
        <w:rPr>
          <w:rFonts w:cs="Times New Roman"/>
          <w:color w:val="auto"/>
          <w:szCs w:val="22"/>
          <w:lang w:val="pt-PT"/>
        </w:rPr>
      </w:pPr>
    </w:p>
    <w:p w14:paraId="418A728A"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Para instruções adicionais sobre o modo de preparação e precauções especiais de manuseamento,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6.6.</w:t>
      </w:r>
    </w:p>
    <w:p w14:paraId="77590261" w14:textId="77777777" w:rsidR="00DC3C01" w:rsidRPr="00110D6C" w:rsidRDefault="00DC3C01" w:rsidP="002057DA">
      <w:pPr>
        <w:widowControl/>
        <w:rPr>
          <w:rFonts w:cs="Times New Roman"/>
          <w:bCs/>
          <w:color w:val="auto"/>
          <w:szCs w:val="22"/>
          <w:lang w:val="pt-PT"/>
        </w:rPr>
      </w:pPr>
      <w:bookmarkStart w:id="31" w:name="bookmark60"/>
    </w:p>
    <w:p w14:paraId="2CBD32CF"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4.3</w:t>
      </w:r>
      <w:r w:rsidRPr="00110D6C">
        <w:rPr>
          <w:rFonts w:cs="Times New Roman"/>
          <w:b/>
          <w:bCs/>
          <w:color w:val="auto"/>
          <w:szCs w:val="22"/>
          <w:lang w:val="pt-PT"/>
        </w:rPr>
        <w:tab/>
      </w:r>
      <w:r w:rsidR="00030085" w:rsidRPr="00110D6C">
        <w:rPr>
          <w:rFonts w:cs="Times New Roman"/>
          <w:b/>
          <w:bCs/>
          <w:color w:val="auto"/>
          <w:szCs w:val="22"/>
          <w:lang w:val="pt-PT"/>
        </w:rPr>
        <w:t>Contraindicações</w:t>
      </w:r>
      <w:bookmarkEnd w:id="31"/>
    </w:p>
    <w:p w14:paraId="7152F481" w14:textId="77777777" w:rsidR="0043129A" w:rsidRPr="00110D6C" w:rsidRDefault="0043129A" w:rsidP="00A17623">
      <w:pPr>
        <w:widowControl/>
        <w:rPr>
          <w:rFonts w:cs="Times New Roman"/>
          <w:color w:val="auto"/>
          <w:szCs w:val="22"/>
          <w:lang w:val="pt-PT"/>
        </w:rPr>
      </w:pPr>
    </w:p>
    <w:p w14:paraId="167AF9BE"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Hipersensibilidade à substância ativa ou a qualquer um dos excipientes mencionados na secção</w:t>
      </w:r>
      <w:r w:rsidR="006A79E5" w:rsidRPr="00110D6C">
        <w:rPr>
          <w:rFonts w:cs="Times New Roman"/>
          <w:color w:val="auto"/>
          <w:szCs w:val="22"/>
          <w:lang w:val="pt-PT"/>
        </w:rPr>
        <w:t> </w:t>
      </w:r>
      <w:r w:rsidRPr="00110D6C">
        <w:rPr>
          <w:rFonts w:cs="Times New Roman"/>
          <w:color w:val="auto"/>
          <w:szCs w:val="22"/>
          <w:lang w:val="pt-PT"/>
        </w:rPr>
        <w:t>6.1.</w:t>
      </w:r>
    </w:p>
    <w:p w14:paraId="4F6C613D" w14:textId="17420DF7" w:rsidR="0077031F" w:rsidRPr="00110D6C" w:rsidRDefault="00030085" w:rsidP="00A17623">
      <w:pPr>
        <w:widowControl/>
        <w:rPr>
          <w:rFonts w:cs="Times New Roman"/>
          <w:color w:val="auto"/>
          <w:szCs w:val="22"/>
          <w:lang w:val="pt-PT"/>
        </w:rPr>
      </w:pPr>
      <w:r w:rsidRPr="00110D6C">
        <w:rPr>
          <w:rFonts w:cs="Times New Roman"/>
          <w:color w:val="auto"/>
          <w:szCs w:val="22"/>
          <w:lang w:val="pt-PT"/>
        </w:rPr>
        <w:t>Infeção ativa clinicamente relevante (p.</w:t>
      </w:r>
      <w:r w:rsidR="00E8183A">
        <w:rPr>
          <w:rFonts w:cs="Times New Roman"/>
          <w:color w:val="auto"/>
          <w:szCs w:val="22"/>
          <w:lang w:val="pt-PT"/>
        </w:rPr>
        <w:t xml:space="preserve"> </w:t>
      </w:r>
      <w:r w:rsidRPr="00110D6C">
        <w:rPr>
          <w:rFonts w:cs="Times New Roman"/>
          <w:color w:val="auto"/>
          <w:szCs w:val="22"/>
          <w:lang w:val="pt-PT"/>
        </w:rPr>
        <w:t>e</w:t>
      </w:r>
      <w:r w:rsidR="00E8183A">
        <w:rPr>
          <w:rFonts w:cs="Times New Roman"/>
          <w:color w:val="auto"/>
          <w:szCs w:val="22"/>
          <w:lang w:val="pt-PT"/>
        </w:rPr>
        <w:t>x</w:t>
      </w:r>
      <w:r w:rsidRPr="00110D6C">
        <w:rPr>
          <w:rFonts w:cs="Times New Roman"/>
          <w:color w:val="auto"/>
          <w:szCs w:val="22"/>
          <w:lang w:val="pt-PT"/>
        </w:rPr>
        <w:t>., tuberculose ativa;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4.4).</w:t>
      </w:r>
    </w:p>
    <w:p w14:paraId="0BDB32C3" w14:textId="77777777" w:rsidR="00DC3C01" w:rsidRPr="00110D6C" w:rsidRDefault="00DC3C01" w:rsidP="002057DA">
      <w:pPr>
        <w:widowControl/>
        <w:rPr>
          <w:rFonts w:cs="Times New Roman"/>
          <w:bCs/>
          <w:color w:val="auto"/>
          <w:szCs w:val="22"/>
          <w:lang w:val="pt-PT"/>
        </w:rPr>
      </w:pPr>
      <w:bookmarkStart w:id="32" w:name="bookmark62"/>
    </w:p>
    <w:p w14:paraId="73370EE5"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4.4</w:t>
      </w:r>
      <w:r w:rsidRPr="00110D6C">
        <w:rPr>
          <w:rFonts w:cs="Times New Roman"/>
          <w:b/>
          <w:bCs/>
          <w:color w:val="auto"/>
          <w:szCs w:val="22"/>
          <w:lang w:val="pt-PT"/>
        </w:rPr>
        <w:tab/>
      </w:r>
      <w:r w:rsidR="00030085" w:rsidRPr="00110D6C">
        <w:rPr>
          <w:rFonts w:cs="Times New Roman"/>
          <w:b/>
          <w:bCs/>
          <w:color w:val="auto"/>
          <w:szCs w:val="22"/>
          <w:lang w:val="pt-PT"/>
        </w:rPr>
        <w:t>Advertências e precauções especiais de utilização</w:t>
      </w:r>
      <w:bookmarkEnd w:id="32"/>
    </w:p>
    <w:p w14:paraId="22435FE7" w14:textId="77777777" w:rsidR="0043129A" w:rsidRPr="00110D6C" w:rsidRDefault="0043129A" w:rsidP="00A17623">
      <w:pPr>
        <w:widowControl/>
        <w:rPr>
          <w:rFonts w:cs="Times New Roman"/>
          <w:color w:val="auto"/>
          <w:szCs w:val="22"/>
          <w:lang w:val="pt-PT"/>
        </w:rPr>
      </w:pPr>
    </w:p>
    <w:p w14:paraId="0DC2EC60"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Rastreabilidade</w:t>
      </w:r>
    </w:p>
    <w:p w14:paraId="09F2CEFC"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De forma a melhorar a rastreabilidade dos medicamentos biológicos, o nome comercial e o número de lote do medicamento administrado devem ser claramente registados.</w:t>
      </w:r>
    </w:p>
    <w:p w14:paraId="42FB3E30" w14:textId="77777777" w:rsidR="0043129A" w:rsidRPr="00110D6C" w:rsidRDefault="0043129A" w:rsidP="00A17623">
      <w:pPr>
        <w:widowControl/>
        <w:rPr>
          <w:rFonts w:cs="Times New Roman"/>
          <w:color w:val="auto"/>
          <w:szCs w:val="22"/>
          <w:lang w:val="pt-PT"/>
        </w:rPr>
      </w:pPr>
    </w:p>
    <w:p w14:paraId="3B8D8A75"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Infeções</w:t>
      </w:r>
    </w:p>
    <w:p w14:paraId="40058E3C" w14:textId="671460C4"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O ustecinumab pode ter potencial para aumentar o risco de infeções e reativar infeções latentes. Em estudos clínicos e num estudo observacional de pós-comercialização em doentes com psoríase, foram observadas infeções bacterianas, fúngicas e virais graves em doentes tratados com </w:t>
      </w:r>
      <w:r w:rsidR="00E8183A" w:rsidRPr="00110D6C">
        <w:rPr>
          <w:rFonts w:cs="Times New Roman"/>
          <w:color w:val="auto"/>
          <w:szCs w:val="22"/>
          <w:lang w:val="pt-PT"/>
        </w:rPr>
        <w:t>ustecinumab</w:t>
      </w:r>
      <w:r w:rsidRPr="00110D6C">
        <w:rPr>
          <w:rFonts w:cs="Times New Roman"/>
          <w:color w:val="auto"/>
          <w:szCs w:val="22"/>
          <w:lang w:val="pt-PT"/>
        </w:rPr>
        <w:t xml:space="preserve">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4.8).</w:t>
      </w:r>
    </w:p>
    <w:p w14:paraId="302E6492" w14:textId="77777777" w:rsidR="0043129A" w:rsidRPr="00110D6C" w:rsidRDefault="0043129A" w:rsidP="00A17623">
      <w:pPr>
        <w:widowControl/>
        <w:rPr>
          <w:rFonts w:cs="Times New Roman"/>
          <w:color w:val="auto"/>
          <w:szCs w:val="22"/>
          <w:lang w:val="pt-PT"/>
        </w:rPr>
      </w:pPr>
    </w:p>
    <w:p w14:paraId="7ED50788"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Foram notificadas infeções oportunistas em doentes tratados com ustecinumab, incluindo reativação da tuberculose, outras infeções bacterianas oportunistas (incluindo infeção micobacteriana atípica, meningite por Listeria, pneumonia por Legionella e nocardiose), infeções fúngicas oportunistas, infeções virais oportunistas (incluindo encefalite por herpes simplex 2) e infeções parasitárias (incluindo toxoplasmose ocular).</w:t>
      </w:r>
    </w:p>
    <w:p w14:paraId="4D8EEC15" w14:textId="77777777" w:rsidR="0043129A" w:rsidRPr="00110D6C" w:rsidRDefault="0043129A" w:rsidP="00A17623">
      <w:pPr>
        <w:widowControl/>
        <w:rPr>
          <w:rFonts w:cs="Times New Roman"/>
          <w:color w:val="auto"/>
          <w:szCs w:val="22"/>
          <w:lang w:val="pt-PT"/>
        </w:rPr>
      </w:pPr>
    </w:p>
    <w:p w14:paraId="7F03CF3F" w14:textId="13D1281B"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Recomenda-se precaução sempre que for considerada a utilização de </w:t>
      </w:r>
      <w:r w:rsidR="00D05FE6" w:rsidRPr="00110D6C">
        <w:rPr>
          <w:rFonts w:cs="Times New Roman"/>
          <w:color w:val="auto"/>
          <w:szCs w:val="22"/>
          <w:lang w:val="pt-PT"/>
        </w:rPr>
        <w:t>F</w:t>
      </w:r>
      <w:r w:rsidR="00E8183A" w:rsidRPr="00110D6C">
        <w:rPr>
          <w:rFonts w:cs="Times New Roman"/>
          <w:color w:val="auto"/>
          <w:szCs w:val="22"/>
          <w:lang w:val="pt-PT"/>
        </w:rPr>
        <w:t>ymskina</w:t>
      </w:r>
      <w:r w:rsidRPr="00110D6C">
        <w:rPr>
          <w:rFonts w:cs="Times New Roman"/>
          <w:color w:val="auto"/>
          <w:szCs w:val="22"/>
          <w:lang w:val="pt-PT"/>
        </w:rPr>
        <w:t xml:space="preserve"> em doentes com infeção crónica ou história de infeção recorrente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4.3).</w:t>
      </w:r>
    </w:p>
    <w:p w14:paraId="50329A1F" w14:textId="77777777" w:rsidR="0043129A" w:rsidRPr="00110D6C" w:rsidRDefault="0043129A" w:rsidP="00A17623">
      <w:pPr>
        <w:widowControl/>
        <w:rPr>
          <w:rFonts w:cs="Times New Roman"/>
          <w:color w:val="auto"/>
          <w:szCs w:val="22"/>
          <w:lang w:val="pt-PT"/>
        </w:rPr>
      </w:pPr>
    </w:p>
    <w:p w14:paraId="404F8961" w14:textId="6999495D"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Antes de iniciar o tratamento com </w:t>
      </w:r>
      <w:r w:rsidR="00D05FE6" w:rsidRPr="00110D6C">
        <w:rPr>
          <w:rFonts w:cs="Times New Roman"/>
          <w:color w:val="auto"/>
          <w:szCs w:val="22"/>
          <w:lang w:val="pt-PT"/>
        </w:rPr>
        <w:t>F</w:t>
      </w:r>
      <w:r w:rsidR="00E8183A" w:rsidRPr="00110D6C">
        <w:rPr>
          <w:rFonts w:cs="Times New Roman"/>
          <w:color w:val="auto"/>
          <w:szCs w:val="22"/>
          <w:lang w:val="pt-PT"/>
        </w:rPr>
        <w:t>ymskina</w:t>
      </w:r>
      <w:r w:rsidRPr="00110D6C">
        <w:rPr>
          <w:rFonts w:cs="Times New Roman"/>
          <w:color w:val="auto"/>
          <w:szCs w:val="22"/>
          <w:lang w:val="pt-PT"/>
        </w:rPr>
        <w:t xml:space="preserve">, os doentes devem ser avaliados em relação a infeção por tuberculose. </w:t>
      </w:r>
      <w:r w:rsidR="00D05FE6" w:rsidRPr="00110D6C">
        <w:rPr>
          <w:rFonts w:cs="Times New Roman"/>
          <w:color w:val="auto"/>
          <w:szCs w:val="22"/>
          <w:lang w:val="pt-PT"/>
        </w:rPr>
        <w:t>F</w:t>
      </w:r>
      <w:r w:rsidR="00E8183A" w:rsidRPr="00110D6C">
        <w:rPr>
          <w:rFonts w:cs="Times New Roman"/>
          <w:color w:val="auto"/>
          <w:szCs w:val="22"/>
          <w:lang w:val="pt-PT"/>
        </w:rPr>
        <w:t>ymskina</w:t>
      </w:r>
      <w:r w:rsidRPr="00110D6C">
        <w:rPr>
          <w:rFonts w:cs="Times New Roman"/>
          <w:color w:val="auto"/>
          <w:szCs w:val="22"/>
          <w:lang w:val="pt-PT"/>
        </w:rPr>
        <w:t xml:space="preserve"> não pode ser administrado em doentes com tuberculose ativa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 xml:space="preserve">4.3). O tratamento para a tuberculose latente deve ser iniciado antes de se administrar </w:t>
      </w:r>
      <w:r w:rsidR="00D05FE6" w:rsidRPr="00110D6C">
        <w:rPr>
          <w:rFonts w:cs="Times New Roman"/>
          <w:color w:val="auto"/>
          <w:szCs w:val="22"/>
          <w:lang w:val="pt-PT"/>
        </w:rPr>
        <w:t>F</w:t>
      </w:r>
      <w:r w:rsidR="00E8183A" w:rsidRPr="00110D6C">
        <w:rPr>
          <w:rFonts w:cs="Times New Roman"/>
          <w:color w:val="auto"/>
          <w:szCs w:val="22"/>
          <w:lang w:val="pt-PT"/>
        </w:rPr>
        <w:t>ymskina</w:t>
      </w:r>
      <w:r w:rsidRPr="00110D6C">
        <w:rPr>
          <w:rFonts w:cs="Times New Roman"/>
          <w:color w:val="auto"/>
          <w:szCs w:val="22"/>
          <w:lang w:val="pt-PT"/>
        </w:rPr>
        <w:t xml:space="preserve">. Também </w:t>
      </w:r>
      <w:r w:rsidRPr="00110D6C">
        <w:rPr>
          <w:rFonts w:cs="Times New Roman"/>
          <w:color w:val="auto"/>
          <w:szCs w:val="22"/>
          <w:lang w:val="pt-PT"/>
        </w:rPr>
        <w:lastRenderedPageBreak/>
        <w:t xml:space="preserve">deve ser considerada terapêutica antituberculosa antes do início da administração de </w:t>
      </w:r>
      <w:r w:rsidR="00D05FE6" w:rsidRPr="00110D6C">
        <w:rPr>
          <w:rFonts w:cs="Times New Roman"/>
          <w:color w:val="auto"/>
          <w:szCs w:val="22"/>
          <w:lang w:val="pt-PT"/>
        </w:rPr>
        <w:t>F</w:t>
      </w:r>
      <w:r w:rsidR="00E8183A" w:rsidRPr="00110D6C">
        <w:rPr>
          <w:rFonts w:cs="Times New Roman"/>
          <w:color w:val="auto"/>
          <w:szCs w:val="22"/>
          <w:lang w:val="pt-PT"/>
        </w:rPr>
        <w:t>ymskina</w:t>
      </w:r>
      <w:r w:rsidRPr="00110D6C">
        <w:rPr>
          <w:rFonts w:cs="Times New Roman"/>
          <w:color w:val="auto"/>
          <w:szCs w:val="22"/>
          <w:lang w:val="pt-PT"/>
        </w:rPr>
        <w:t xml:space="preserve">, em doentes com história de tuberculose latente ou ativa, nos quais não é possível confirmar um curso de terapêutica adequado. Os doentes em tratamento com </w:t>
      </w:r>
      <w:r w:rsidR="00D05FE6" w:rsidRPr="00110D6C">
        <w:rPr>
          <w:rFonts w:cs="Times New Roman"/>
          <w:color w:val="auto"/>
          <w:szCs w:val="22"/>
          <w:lang w:val="pt-PT"/>
        </w:rPr>
        <w:t>F</w:t>
      </w:r>
      <w:r w:rsidR="00E8183A" w:rsidRPr="00110D6C">
        <w:rPr>
          <w:rFonts w:cs="Times New Roman"/>
          <w:color w:val="auto"/>
          <w:szCs w:val="22"/>
          <w:lang w:val="pt-PT"/>
        </w:rPr>
        <w:t>ymskina</w:t>
      </w:r>
      <w:r w:rsidRPr="00110D6C">
        <w:rPr>
          <w:rFonts w:cs="Times New Roman"/>
          <w:color w:val="auto"/>
          <w:szCs w:val="22"/>
          <w:lang w:val="pt-PT"/>
        </w:rPr>
        <w:t xml:space="preserve"> devem ser cuidadosamente monitorizados relativamente a sinais e sintomas de tuberculose ativa durante e após o tratamento.</w:t>
      </w:r>
    </w:p>
    <w:p w14:paraId="46561A37" w14:textId="77777777" w:rsidR="0043129A" w:rsidRPr="00110D6C" w:rsidRDefault="0043129A" w:rsidP="00A17623">
      <w:pPr>
        <w:widowControl/>
        <w:rPr>
          <w:rFonts w:cs="Times New Roman"/>
          <w:color w:val="auto"/>
          <w:szCs w:val="22"/>
          <w:lang w:val="pt-PT"/>
        </w:rPr>
      </w:pPr>
    </w:p>
    <w:p w14:paraId="703890DC" w14:textId="38A06601"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Os doentes devem ser instruídos a procurar aconselhamento médico se surgirem sinais ou sintomas sugestivos de uma infeção. Se um doente desenvolver uma infeção grave, este deverá ser cuidadosamente monitorizado e </w:t>
      </w:r>
      <w:r w:rsidR="00D05FE6" w:rsidRPr="00110D6C">
        <w:rPr>
          <w:rFonts w:cs="Times New Roman"/>
          <w:color w:val="auto"/>
          <w:szCs w:val="22"/>
          <w:lang w:val="pt-PT"/>
        </w:rPr>
        <w:t>F</w:t>
      </w:r>
      <w:r w:rsidR="00E8183A" w:rsidRPr="00110D6C">
        <w:rPr>
          <w:rFonts w:cs="Times New Roman"/>
          <w:color w:val="auto"/>
          <w:szCs w:val="22"/>
          <w:lang w:val="pt-PT"/>
        </w:rPr>
        <w:t>ymskina</w:t>
      </w:r>
      <w:r w:rsidRPr="00110D6C">
        <w:rPr>
          <w:rFonts w:cs="Times New Roman"/>
          <w:color w:val="auto"/>
          <w:szCs w:val="22"/>
          <w:lang w:val="pt-PT"/>
        </w:rPr>
        <w:t xml:space="preserve"> não deverá ser administrado até resolução da infeção.</w:t>
      </w:r>
    </w:p>
    <w:p w14:paraId="451A42CE" w14:textId="77777777" w:rsidR="0043129A" w:rsidRPr="00110D6C" w:rsidRDefault="0043129A" w:rsidP="00A17623">
      <w:pPr>
        <w:widowControl/>
        <w:rPr>
          <w:rFonts w:cs="Times New Roman"/>
          <w:color w:val="auto"/>
          <w:szCs w:val="22"/>
          <w:lang w:val="pt-PT"/>
        </w:rPr>
      </w:pPr>
    </w:p>
    <w:p w14:paraId="1B81AE7B"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Doenças malignas</w:t>
      </w:r>
    </w:p>
    <w:p w14:paraId="590F6FC3" w14:textId="7C75F972"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Imunossupressores como o ustecinumab têm potencial para aumentar o risco de doença maligna. Em estudos clínicos e num estudo observacional de pós-comercialização em doentes com psoríase, alguns doentes tratados com </w:t>
      </w:r>
      <w:r w:rsidR="00E8183A" w:rsidRPr="00110D6C">
        <w:rPr>
          <w:rFonts w:cs="Times New Roman"/>
          <w:color w:val="auto"/>
          <w:szCs w:val="22"/>
          <w:lang w:val="pt-PT"/>
        </w:rPr>
        <w:t>ustecinumab</w:t>
      </w:r>
      <w:r w:rsidRPr="00110D6C">
        <w:rPr>
          <w:rFonts w:cs="Times New Roman"/>
          <w:color w:val="auto"/>
          <w:szCs w:val="22"/>
          <w:lang w:val="pt-PT"/>
        </w:rPr>
        <w:t xml:space="preserve"> desenvolveram doenças malignas cutâneas e não cutâneas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4.8). O risco de doença maligna pode ser maior em doentes com psoríase que tenham sido tratados com outros biológicos durante o curso da sua doença.</w:t>
      </w:r>
    </w:p>
    <w:p w14:paraId="403F65D4" w14:textId="77777777" w:rsidR="0043129A" w:rsidRPr="00110D6C" w:rsidRDefault="0043129A" w:rsidP="00A17623">
      <w:pPr>
        <w:widowControl/>
        <w:rPr>
          <w:rFonts w:cs="Times New Roman"/>
          <w:color w:val="auto"/>
          <w:szCs w:val="22"/>
          <w:lang w:val="pt-PT"/>
        </w:rPr>
      </w:pPr>
    </w:p>
    <w:p w14:paraId="5B32559F" w14:textId="019D8411"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Não foram realizados estudos incluindo doentes com história de doença maligna ou em que fosse continuado o tratamento em doentes que desenvolveram doença maligna durante a terapêutica com </w:t>
      </w:r>
      <w:r w:rsidR="00E8183A" w:rsidRPr="00110D6C">
        <w:rPr>
          <w:rFonts w:cs="Times New Roman"/>
          <w:color w:val="auto"/>
          <w:szCs w:val="22"/>
          <w:lang w:val="pt-PT"/>
        </w:rPr>
        <w:t>ustecinumab</w:t>
      </w:r>
      <w:r w:rsidRPr="00110D6C">
        <w:rPr>
          <w:rFonts w:cs="Times New Roman"/>
          <w:color w:val="auto"/>
          <w:szCs w:val="22"/>
          <w:lang w:val="pt-PT"/>
        </w:rPr>
        <w:t xml:space="preserve">. Deste modo, recomenda-se precaução ao considerar a utilização de </w:t>
      </w:r>
      <w:r w:rsidR="00D05FE6" w:rsidRPr="00110D6C">
        <w:rPr>
          <w:rFonts w:cs="Times New Roman"/>
          <w:color w:val="auto"/>
          <w:szCs w:val="22"/>
          <w:lang w:val="pt-PT"/>
        </w:rPr>
        <w:t>F</w:t>
      </w:r>
      <w:r w:rsidR="00E8183A" w:rsidRPr="00110D6C">
        <w:rPr>
          <w:rFonts w:cs="Times New Roman"/>
          <w:color w:val="auto"/>
          <w:szCs w:val="22"/>
          <w:lang w:val="pt-PT"/>
        </w:rPr>
        <w:t>ymskina</w:t>
      </w:r>
      <w:r w:rsidRPr="00110D6C">
        <w:rPr>
          <w:rFonts w:cs="Times New Roman"/>
          <w:color w:val="auto"/>
          <w:szCs w:val="22"/>
          <w:lang w:val="pt-PT"/>
        </w:rPr>
        <w:t xml:space="preserve"> nestes doentes.</w:t>
      </w:r>
    </w:p>
    <w:p w14:paraId="350BAC46" w14:textId="77777777" w:rsidR="0043129A" w:rsidRPr="00110D6C" w:rsidRDefault="0043129A" w:rsidP="00A17623">
      <w:pPr>
        <w:widowControl/>
        <w:rPr>
          <w:rFonts w:cs="Times New Roman"/>
          <w:color w:val="auto"/>
          <w:szCs w:val="22"/>
          <w:lang w:val="pt-PT"/>
        </w:rPr>
      </w:pPr>
    </w:p>
    <w:p w14:paraId="1BDCC868" w14:textId="7794615E" w:rsidR="0077031F" w:rsidRPr="00110D6C" w:rsidRDefault="00030085" w:rsidP="00A17623">
      <w:pPr>
        <w:widowControl/>
        <w:rPr>
          <w:rFonts w:cs="Times New Roman"/>
          <w:color w:val="auto"/>
          <w:szCs w:val="22"/>
          <w:lang w:val="pt-PT"/>
        </w:rPr>
      </w:pPr>
      <w:r w:rsidRPr="00110D6C">
        <w:rPr>
          <w:rFonts w:cs="Times New Roman"/>
          <w:color w:val="auto"/>
          <w:szCs w:val="22"/>
          <w:lang w:val="pt-PT"/>
        </w:rPr>
        <w:t>Todos os doentes, particularmente aqueles com mais de 6</w:t>
      </w:r>
      <w:r w:rsidR="00B910F9" w:rsidRPr="00110D6C">
        <w:rPr>
          <w:rFonts w:cs="Times New Roman"/>
          <w:color w:val="auto"/>
          <w:szCs w:val="22"/>
          <w:lang w:val="pt-PT"/>
        </w:rPr>
        <w:t>0 </w:t>
      </w:r>
      <w:r w:rsidRPr="00110D6C">
        <w:rPr>
          <w:rFonts w:cs="Times New Roman"/>
          <w:color w:val="auto"/>
          <w:szCs w:val="22"/>
          <w:lang w:val="pt-PT"/>
        </w:rPr>
        <w:t>anos de idade, doentes com história médica de terapêutica imunossupressora prolongada ou com história de tratamento PUVA, devem ser monitorizados quanto ao aparecimento de cancro da pele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4.8).</w:t>
      </w:r>
    </w:p>
    <w:p w14:paraId="0001027F" w14:textId="77777777" w:rsidR="0043129A" w:rsidRPr="00110D6C" w:rsidRDefault="0043129A" w:rsidP="00A17623">
      <w:pPr>
        <w:widowControl/>
        <w:rPr>
          <w:rFonts w:cs="Times New Roman"/>
          <w:color w:val="auto"/>
          <w:szCs w:val="22"/>
          <w:lang w:val="pt-PT"/>
        </w:rPr>
      </w:pPr>
    </w:p>
    <w:p w14:paraId="41C964E7"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Reações de hipersensibilidade sistémica e respiratória</w:t>
      </w:r>
    </w:p>
    <w:p w14:paraId="6630D68C" w14:textId="77777777" w:rsidR="0077031F" w:rsidRPr="00110D6C" w:rsidRDefault="00030085" w:rsidP="00A17623">
      <w:pPr>
        <w:widowControl/>
        <w:rPr>
          <w:rFonts w:cs="Times New Roman"/>
          <w:color w:val="auto"/>
          <w:szCs w:val="22"/>
          <w:lang w:val="pt-PT"/>
        </w:rPr>
      </w:pPr>
      <w:r w:rsidRPr="00110D6C">
        <w:rPr>
          <w:rFonts w:cs="Times New Roman"/>
          <w:i/>
          <w:iCs/>
          <w:color w:val="auto"/>
          <w:szCs w:val="22"/>
          <w:lang w:val="pt-PT"/>
        </w:rPr>
        <w:t>Sistémica</w:t>
      </w:r>
    </w:p>
    <w:p w14:paraId="7AA39E62" w14:textId="12E03A53"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Foram relatadas reações de hipersensibilidade graves no período pós comercialização, em alguns casos, vários dias após o tratamento. Ocorreram anafilaxia e angioedema. Se ocorrer uma reação anafilática ou outra reação de hipersensibilidade grave, deve ser instituída uma terapêutica apropriada e a administração de </w:t>
      </w:r>
      <w:r w:rsidR="00D05FE6" w:rsidRPr="00110D6C">
        <w:rPr>
          <w:rFonts w:cs="Times New Roman"/>
          <w:color w:val="auto"/>
          <w:szCs w:val="22"/>
          <w:lang w:val="pt-PT"/>
        </w:rPr>
        <w:t>F</w:t>
      </w:r>
      <w:r w:rsidR="00E8183A" w:rsidRPr="00110D6C">
        <w:rPr>
          <w:rFonts w:cs="Times New Roman"/>
          <w:color w:val="auto"/>
          <w:szCs w:val="22"/>
          <w:lang w:val="pt-PT"/>
        </w:rPr>
        <w:t>ymskina</w:t>
      </w:r>
      <w:r w:rsidRPr="00110D6C">
        <w:rPr>
          <w:rFonts w:cs="Times New Roman"/>
          <w:color w:val="auto"/>
          <w:szCs w:val="22"/>
          <w:lang w:val="pt-PT"/>
        </w:rPr>
        <w:t xml:space="preserve"> deve ser imediatamente interrompida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4.8).</w:t>
      </w:r>
    </w:p>
    <w:p w14:paraId="72001A86" w14:textId="77777777" w:rsidR="0043129A" w:rsidRPr="00110D6C" w:rsidRDefault="0043129A" w:rsidP="00A17623">
      <w:pPr>
        <w:widowControl/>
        <w:rPr>
          <w:rFonts w:cs="Times New Roman"/>
          <w:iCs/>
          <w:color w:val="auto"/>
          <w:szCs w:val="22"/>
          <w:lang w:val="pt-PT"/>
        </w:rPr>
      </w:pPr>
    </w:p>
    <w:p w14:paraId="09066984" w14:textId="77777777" w:rsidR="0077031F" w:rsidRPr="00110D6C" w:rsidRDefault="00030085" w:rsidP="00A17623">
      <w:pPr>
        <w:widowControl/>
        <w:rPr>
          <w:rFonts w:cs="Times New Roman"/>
          <w:color w:val="auto"/>
          <w:szCs w:val="22"/>
          <w:lang w:val="pt-PT"/>
        </w:rPr>
      </w:pPr>
      <w:r w:rsidRPr="00110D6C">
        <w:rPr>
          <w:rFonts w:cs="Times New Roman"/>
          <w:i/>
          <w:iCs/>
          <w:color w:val="auto"/>
          <w:szCs w:val="22"/>
          <w:lang w:val="pt-PT"/>
        </w:rPr>
        <w:t>Respiratória</w:t>
      </w:r>
    </w:p>
    <w:p w14:paraId="560A908B" w14:textId="3F2A33D5" w:rsidR="0077031F" w:rsidRPr="00110D6C" w:rsidRDefault="00030085" w:rsidP="00A17623">
      <w:pPr>
        <w:widowControl/>
        <w:rPr>
          <w:rFonts w:cs="Times New Roman"/>
          <w:color w:val="auto"/>
          <w:szCs w:val="22"/>
          <w:lang w:val="pt-PT"/>
        </w:rPr>
      </w:pPr>
      <w:r w:rsidRPr="00110D6C">
        <w:rPr>
          <w:rFonts w:cs="Times New Roman"/>
          <w:color w:val="auto"/>
          <w:szCs w:val="22"/>
          <w:lang w:val="pt-PT"/>
        </w:rPr>
        <w:t>Foram relatados casos de alveolite alérgica, pneumonia eosinofílica, e pneumonia em organização não infeciosa durante a utilização no período pós-aprovação de ustecinumab. As apresentações clínicas incluíram tosse, dispneia e infiltrados intersticiais após uma a três doses. Resultados graves incluíram insuficiência respiratória e hospitalização prolongada. Foi notificada melhoria após a descontinuação do ustecinumab e também, em alguns casos, administração de corticoster</w:t>
      </w:r>
      <w:r w:rsidR="00E8183A">
        <w:rPr>
          <w:rFonts w:cs="Times New Roman"/>
          <w:color w:val="auto"/>
          <w:szCs w:val="22"/>
          <w:lang w:val="pt-PT"/>
        </w:rPr>
        <w:t>o</w:t>
      </w:r>
      <w:r w:rsidRPr="00110D6C">
        <w:rPr>
          <w:rFonts w:cs="Times New Roman"/>
          <w:color w:val="auto"/>
          <w:szCs w:val="22"/>
          <w:lang w:val="pt-PT"/>
        </w:rPr>
        <w:t>ides. Caso a infeção tenha sido excluída e o diagnóstico confirmado, descontinuar o tratamento com ustecinumab e instituir tratamento adequado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4.8).</w:t>
      </w:r>
    </w:p>
    <w:p w14:paraId="6E58090C" w14:textId="77777777" w:rsidR="0043129A" w:rsidRPr="00110D6C" w:rsidRDefault="0043129A" w:rsidP="00A17623">
      <w:pPr>
        <w:widowControl/>
        <w:rPr>
          <w:rFonts w:cs="Times New Roman"/>
          <w:color w:val="auto"/>
          <w:szCs w:val="22"/>
          <w:lang w:val="pt-PT"/>
        </w:rPr>
      </w:pPr>
    </w:p>
    <w:p w14:paraId="4260086C"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Acontecimentos cardiovasculares</w:t>
      </w:r>
    </w:p>
    <w:p w14:paraId="792FE2D5" w14:textId="6ACED404"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Num estudo observacional de pós-comercialização, foram observados acontecimentos cardiovasculares, incluindo enfarte do miocárdio e acidente vascular cerebral, em doentes com psoríase expostos a </w:t>
      </w:r>
      <w:r w:rsidR="00E8183A" w:rsidRPr="00110D6C">
        <w:rPr>
          <w:rFonts w:cs="Times New Roman"/>
          <w:color w:val="auto"/>
          <w:szCs w:val="22"/>
          <w:lang w:val="pt-PT"/>
        </w:rPr>
        <w:t>ustecinumab</w:t>
      </w:r>
      <w:r w:rsidRPr="00110D6C">
        <w:rPr>
          <w:rFonts w:cs="Times New Roman"/>
          <w:color w:val="auto"/>
          <w:szCs w:val="22"/>
          <w:lang w:val="pt-PT"/>
        </w:rPr>
        <w:t xml:space="preserve">. Os fatores de risco de doença cardiovascular devem ser avaliados regularmente durante o tratamento com </w:t>
      </w:r>
      <w:r w:rsidR="00D05FE6" w:rsidRPr="00110D6C">
        <w:rPr>
          <w:rFonts w:cs="Times New Roman"/>
          <w:color w:val="auto"/>
          <w:szCs w:val="22"/>
          <w:lang w:val="pt-PT"/>
        </w:rPr>
        <w:t>F</w:t>
      </w:r>
      <w:r w:rsidR="00E8183A" w:rsidRPr="00110D6C">
        <w:rPr>
          <w:rFonts w:cs="Times New Roman"/>
          <w:color w:val="auto"/>
          <w:szCs w:val="22"/>
          <w:lang w:val="pt-PT"/>
        </w:rPr>
        <w:t>ymskina</w:t>
      </w:r>
      <w:r w:rsidRPr="00110D6C">
        <w:rPr>
          <w:rFonts w:cs="Times New Roman"/>
          <w:color w:val="auto"/>
          <w:szCs w:val="22"/>
          <w:lang w:val="pt-PT"/>
        </w:rPr>
        <w:t>.</w:t>
      </w:r>
    </w:p>
    <w:p w14:paraId="62F6EC19" w14:textId="77777777" w:rsidR="0043129A" w:rsidRPr="00110D6C" w:rsidRDefault="0043129A" w:rsidP="00A17623">
      <w:pPr>
        <w:widowControl/>
        <w:rPr>
          <w:rFonts w:cs="Times New Roman"/>
          <w:color w:val="auto"/>
          <w:szCs w:val="22"/>
          <w:lang w:val="pt-PT"/>
        </w:rPr>
      </w:pPr>
    </w:p>
    <w:p w14:paraId="35CC6F5F"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Vacinações</w:t>
      </w:r>
    </w:p>
    <w:p w14:paraId="7ED965C0" w14:textId="1734274B"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Recomenda-se que vacinas de vírus vivos ou vacinas de bactérias vivas, tais como Bacilo de Calmette e Guérin (BCG), não sejam administradas simultaneamente com </w:t>
      </w:r>
      <w:r w:rsidR="00D05FE6" w:rsidRPr="00110D6C">
        <w:rPr>
          <w:rFonts w:cs="Times New Roman"/>
          <w:color w:val="auto"/>
          <w:szCs w:val="22"/>
          <w:lang w:val="pt-PT"/>
        </w:rPr>
        <w:t>F</w:t>
      </w:r>
      <w:r w:rsidR="009B49BA" w:rsidRPr="00110D6C">
        <w:rPr>
          <w:rFonts w:cs="Times New Roman"/>
          <w:color w:val="auto"/>
          <w:szCs w:val="22"/>
          <w:lang w:val="pt-PT"/>
        </w:rPr>
        <w:t>ymskina</w:t>
      </w:r>
      <w:r w:rsidRPr="00110D6C">
        <w:rPr>
          <w:rFonts w:cs="Times New Roman"/>
          <w:color w:val="auto"/>
          <w:szCs w:val="22"/>
          <w:lang w:val="pt-PT"/>
        </w:rPr>
        <w:t xml:space="preserve">. Não foram realizados estudos específicos em doentes que tenham recebido recentemente vacinas de vírus vivos ou de bactérias vivas. Não estão disponíveis dados sobre a transmissão secundária de infeção por vacinas vivas em doentes em tratamento com </w:t>
      </w:r>
      <w:r w:rsidR="009B49BA" w:rsidRPr="00110D6C">
        <w:rPr>
          <w:rFonts w:cs="Times New Roman"/>
          <w:color w:val="auto"/>
          <w:szCs w:val="22"/>
          <w:lang w:val="pt-PT"/>
        </w:rPr>
        <w:t>ustecinumab</w:t>
      </w:r>
      <w:r w:rsidRPr="00110D6C">
        <w:rPr>
          <w:rFonts w:cs="Times New Roman"/>
          <w:color w:val="auto"/>
          <w:szCs w:val="22"/>
          <w:lang w:val="pt-PT"/>
        </w:rPr>
        <w:t xml:space="preserve">. Antes da administração de vacinas de vírus vivos ou de bactérias vivas, o tratamento com </w:t>
      </w:r>
      <w:r w:rsidR="00D05FE6" w:rsidRPr="00110D6C">
        <w:rPr>
          <w:rFonts w:cs="Times New Roman"/>
          <w:color w:val="auto"/>
          <w:szCs w:val="22"/>
          <w:lang w:val="pt-PT"/>
        </w:rPr>
        <w:t>F</w:t>
      </w:r>
      <w:r w:rsidR="009B49BA" w:rsidRPr="00110D6C">
        <w:rPr>
          <w:rFonts w:cs="Times New Roman"/>
          <w:color w:val="auto"/>
          <w:szCs w:val="22"/>
          <w:lang w:val="pt-PT"/>
        </w:rPr>
        <w:t>ymskina</w:t>
      </w:r>
      <w:r w:rsidRPr="00110D6C">
        <w:rPr>
          <w:rFonts w:cs="Times New Roman"/>
          <w:color w:val="auto"/>
          <w:szCs w:val="22"/>
          <w:lang w:val="pt-PT"/>
        </w:rPr>
        <w:t xml:space="preserve"> deve ser interrompido durante, pelo menos, 1</w:t>
      </w:r>
      <w:r w:rsidR="00B910F9" w:rsidRPr="00110D6C">
        <w:rPr>
          <w:rFonts w:cs="Times New Roman"/>
          <w:color w:val="auto"/>
          <w:szCs w:val="22"/>
          <w:lang w:val="pt-PT"/>
        </w:rPr>
        <w:t>5 </w:t>
      </w:r>
      <w:r w:rsidRPr="00110D6C">
        <w:rPr>
          <w:rFonts w:cs="Times New Roman"/>
          <w:color w:val="auto"/>
          <w:szCs w:val="22"/>
          <w:lang w:val="pt-PT"/>
        </w:rPr>
        <w:t xml:space="preserve">semanas após a última dose, podendo ser retomado, pelo menos, </w:t>
      </w:r>
      <w:r w:rsidR="00B910F9" w:rsidRPr="00110D6C">
        <w:rPr>
          <w:rFonts w:cs="Times New Roman"/>
          <w:color w:val="auto"/>
          <w:szCs w:val="22"/>
          <w:lang w:val="pt-PT"/>
        </w:rPr>
        <w:t>2 </w:t>
      </w:r>
      <w:r w:rsidRPr="00110D6C">
        <w:rPr>
          <w:rFonts w:cs="Times New Roman"/>
          <w:color w:val="auto"/>
          <w:szCs w:val="22"/>
          <w:lang w:val="pt-PT"/>
        </w:rPr>
        <w:t xml:space="preserve">semanas após a vacinação. Os prescritores devem consultar o Resumo das Características do Medicamento específico para a vacina </w:t>
      </w:r>
      <w:r w:rsidRPr="00110D6C">
        <w:rPr>
          <w:rFonts w:cs="Times New Roman"/>
          <w:color w:val="auto"/>
          <w:szCs w:val="22"/>
          <w:lang w:val="pt-PT"/>
        </w:rPr>
        <w:lastRenderedPageBreak/>
        <w:t>para obter informação adicional e orientação sobre a utilização concomitante de agentes imunossupressores pós-vacinação.</w:t>
      </w:r>
    </w:p>
    <w:p w14:paraId="75217992" w14:textId="77777777" w:rsidR="0043129A" w:rsidRPr="00110D6C" w:rsidRDefault="0043129A" w:rsidP="00A17623">
      <w:pPr>
        <w:widowControl/>
        <w:rPr>
          <w:rFonts w:cs="Times New Roman"/>
          <w:color w:val="auto"/>
          <w:szCs w:val="22"/>
          <w:lang w:val="pt-PT"/>
        </w:rPr>
      </w:pPr>
    </w:p>
    <w:p w14:paraId="2041DBF0" w14:textId="12685C92"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 administração de vacinas vivas (tais como a BCG) a lactentes expostos </w:t>
      </w:r>
      <w:r w:rsidRPr="00110D6C">
        <w:rPr>
          <w:rFonts w:cs="Times New Roman"/>
          <w:i/>
          <w:iCs/>
          <w:color w:val="auto"/>
          <w:szCs w:val="22"/>
          <w:lang w:val="pt-PT"/>
        </w:rPr>
        <w:t>in</w:t>
      </w:r>
      <w:r w:rsidR="005B2D5C" w:rsidRPr="00110D6C">
        <w:rPr>
          <w:rFonts w:cs="Times New Roman"/>
          <w:i/>
          <w:iCs/>
          <w:color w:val="auto"/>
          <w:szCs w:val="22"/>
          <w:lang w:val="pt-PT"/>
        </w:rPr>
        <w:t> </w:t>
      </w:r>
      <w:r w:rsidRPr="00110D6C">
        <w:rPr>
          <w:rFonts w:cs="Times New Roman"/>
          <w:i/>
          <w:iCs/>
          <w:color w:val="auto"/>
          <w:szCs w:val="22"/>
          <w:lang w:val="pt-PT"/>
        </w:rPr>
        <w:t>utero</w:t>
      </w:r>
      <w:r w:rsidRPr="00110D6C">
        <w:rPr>
          <w:rFonts w:cs="Times New Roman"/>
          <w:color w:val="auto"/>
          <w:szCs w:val="22"/>
          <w:lang w:val="pt-PT"/>
        </w:rPr>
        <w:t xml:space="preserve"> ao ustecinumab não é recomendada durante </w:t>
      </w:r>
      <w:r w:rsidR="00F468E7">
        <w:rPr>
          <w:rFonts w:cs="Times New Roman"/>
          <w:color w:val="auto"/>
          <w:szCs w:val="22"/>
          <w:lang w:val="pt-PT"/>
        </w:rPr>
        <w:t>doze</w:t>
      </w:r>
      <w:r w:rsidR="00F468E7" w:rsidRPr="00110D6C">
        <w:rPr>
          <w:rFonts w:cs="Times New Roman"/>
          <w:color w:val="auto"/>
          <w:szCs w:val="22"/>
          <w:lang w:val="pt-PT"/>
        </w:rPr>
        <w:t xml:space="preserve"> </w:t>
      </w:r>
      <w:r w:rsidRPr="00110D6C">
        <w:rPr>
          <w:rFonts w:cs="Times New Roman"/>
          <w:color w:val="auto"/>
          <w:szCs w:val="22"/>
          <w:lang w:val="pt-PT"/>
        </w:rPr>
        <w:t>meses após o nascimento ou até que não sejam detetáveis níveis séricos de ustecinumab no lactente (ver secções 4.</w:t>
      </w:r>
      <w:r w:rsidR="00B910F9" w:rsidRPr="00110D6C">
        <w:rPr>
          <w:rFonts w:cs="Times New Roman"/>
          <w:color w:val="auto"/>
          <w:szCs w:val="22"/>
          <w:lang w:val="pt-PT"/>
        </w:rPr>
        <w:t>5 </w:t>
      </w:r>
      <w:r w:rsidRPr="00110D6C">
        <w:rPr>
          <w:rFonts w:cs="Times New Roman"/>
          <w:color w:val="auto"/>
          <w:szCs w:val="22"/>
          <w:lang w:val="pt-PT"/>
        </w:rPr>
        <w:t>e 4.6). Se houver um benefício clínico claro para o lactente em particular, pode ser considerada a administração de uma vacina viva num momento anterior, caso não sejam detetáveis níveis séricos de ustecinumab no lactente.</w:t>
      </w:r>
    </w:p>
    <w:p w14:paraId="199F5072" w14:textId="77777777" w:rsidR="0043129A" w:rsidRPr="00110D6C" w:rsidRDefault="0043129A" w:rsidP="00A17623">
      <w:pPr>
        <w:widowControl/>
        <w:rPr>
          <w:rFonts w:cs="Times New Roman"/>
          <w:color w:val="auto"/>
          <w:szCs w:val="22"/>
          <w:lang w:val="pt-PT"/>
        </w:rPr>
      </w:pPr>
    </w:p>
    <w:p w14:paraId="0FDDD91E" w14:textId="46D42CF5"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Os doentes em tratamento com </w:t>
      </w:r>
      <w:r w:rsidR="00D05FE6" w:rsidRPr="00110D6C">
        <w:rPr>
          <w:rFonts w:cs="Times New Roman"/>
          <w:color w:val="auto"/>
          <w:szCs w:val="22"/>
          <w:lang w:val="pt-PT"/>
        </w:rPr>
        <w:t>F</w:t>
      </w:r>
      <w:r w:rsidR="009B49BA" w:rsidRPr="00110D6C">
        <w:rPr>
          <w:rFonts w:cs="Times New Roman"/>
          <w:color w:val="auto"/>
          <w:szCs w:val="22"/>
          <w:lang w:val="pt-PT"/>
        </w:rPr>
        <w:t>ymskina</w:t>
      </w:r>
      <w:r w:rsidRPr="00110D6C">
        <w:rPr>
          <w:rFonts w:cs="Times New Roman"/>
          <w:color w:val="auto"/>
          <w:szCs w:val="22"/>
          <w:lang w:val="pt-PT"/>
        </w:rPr>
        <w:t xml:space="preserve"> podem receber vacinas inativas ou não-vivas concomitantemente.</w:t>
      </w:r>
    </w:p>
    <w:p w14:paraId="4CDF141D" w14:textId="77777777" w:rsidR="0043129A" w:rsidRPr="00110D6C" w:rsidRDefault="0043129A" w:rsidP="00A17623">
      <w:pPr>
        <w:widowControl/>
        <w:rPr>
          <w:rFonts w:cs="Times New Roman"/>
          <w:color w:val="auto"/>
          <w:szCs w:val="22"/>
          <w:lang w:val="pt-PT"/>
        </w:rPr>
      </w:pPr>
    </w:p>
    <w:p w14:paraId="25136990" w14:textId="54CD7C22"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O tratamento prolongado com </w:t>
      </w:r>
      <w:r w:rsidR="009B49BA" w:rsidRPr="00110D6C">
        <w:rPr>
          <w:rFonts w:cs="Times New Roman"/>
          <w:color w:val="auto"/>
          <w:szCs w:val="22"/>
          <w:lang w:val="pt-PT"/>
        </w:rPr>
        <w:t>ustecinumab</w:t>
      </w:r>
      <w:r w:rsidRPr="00110D6C">
        <w:rPr>
          <w:rFonts w:cs="Times New Roman"/>
          <w:color w:val="auto"/>
          <w:szCs w:val="22"/>
          <w:lang w:val="pt-PT"/>
        </w:rPr>
        <w:t xml:space="preserve"> não suprime a resposta imunitária humoral ao polissacárido do pneumococos nem a vacinas do tétano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5.1).</w:t>
      </w:r>
    </w:p>
    <w:p w14:paraId="74C588A9" w14:textId="77777777" w:rsidR="0043129A" w:rsidRPr="00110D6C" w:rsidRDefault="0043129A" w:rsidP="00A17623">
      <w:pPr>
        <w:widowControl/>
        <w:rPr>
          <w:rFonts w:cs="Times New Roman"/>
          <w:color w:val="auto"/>
          <w:szCs w:val="22"/>
          <w:lang w:val="pt-PT"/>
        </w:rPr>
      </w:pPr>
    </w:p>
    <w:p w14:paraId="5918A2F2"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Terapêutica imunossupressora concomitante</w:t>
      </w:r>
    </w:p>
    <w:p w14:paraId="212FF8F4" w14:textId="1AA7C4B7"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Nos estudos na psoríase, a segurança e a eficácia de </w:t>
      </w:r>
      <w:r w:rsidR="009B49BA" w:rsidRPr="00110D6C">
        <w:rPr>
          <w:rFonts w:cs="Times New Roman"/>
          <w:color w:val="auto"/>
          <w:szCs w:val="22"/>
          <w:lang w:val="pt-PT"/>
        </w:rPr>
        <w:t>ustecinumab</w:t>
      </w:r>
      <w:r w:rsidRPr="00110D6C">
        <w:rPr>
          <w:rFonts w:cs="Times New Roman"/>
          <w:color w:val="auto"/>
          <w:szCs w:val="22"/>
          <w:lang w:val="pt-PT"/>
        </w:rPr>
        <w:t xml:space="preserve"> em associação com agentes imunossupressores, incluindo medicamentos biológicos ou fototerapia, não foram avaliadas. Nos estudos na artrite psoriática, a associação com o MTX não pareceu influenciar a segurança e a eficácia de </w:t>
      </w:r>
      <w:r w:rsidR="009B49BA" w:rsidRPr="00110D6C">
        <w:rPr>
          <w:rFonts w:cs="Times New Roman"/>
          <w:color w:val="auto"/>
          <w:szCs w:val="22"/>
          <w:lang w:val="pt-PT"/>
        </w:rPr>
        <w:t>ustecinumab</w:t>
      </w:r>
      <w:r w:rsidRPr="00110D6C">
        <w:rPr>
          <w:rFonts w:cs="Times New Roman"/>
          <w:color w:val="auto"/>
          <w:szCs w:val="22"/>
          <w:lang w:val="pt-PT"/>
        </w:rPr>
        <w:t xml:space="preserve">. Nos estudos na doença de Crohn e da colite ulcerosa, o uso concomitante de imunossupressores e corticosteroides não pareceu influenciar a segurança ou a eficácia de </w:t>
      </w:r>
      <w:r w:rsidR="008D1ADD" w:rsidRPr="00110D6C">
        <w:rPr>
          <w:rFonts w:cs="Times New Roman"/>
          <w:color w:val="auto"/>
          <w:szCs w:val="22"/>
          <w:lang w:val="pt-PT"/>
        </w:rPr>
        <w:t>ustecinumab</w:t>
      </w:r>
      <w:r w:rsidRPr="00110D6C">
        <w:rPr>
          <w:rFonts w:cs="Times New Roman"/>
          <w:color w:val="auto"/>
          <w:szCs w:val="22"/>
          <w:lang w:val="pt-PT"/>
        </w:rPr>
        <w:t xml:space="preserve">. Recomenda-se precaução ao considerar a utilização concomitante de outros agentes imunossupressores e </w:t>
      </w:r>
      <w:r w:rsidR="00D05FE6" w:rsidRPr="00110D6C">
        <w:rPr>
          <w:rFonts w:cs="Times New Roman"/>
          <w:color w:val="auto"/>
          <w:szCs w:val="22"/>
          <w:lang w:val="pt-PT"/>
        </w:rPr>
        <w:t>F</w:t>
      </w:r>
      <w:r w:rsidR="009B49BA" w:rsidRPr="00110D6C">
        <w:rPr>
          <w:rFonts w:cs="Times New Roman"/>
          <w:color w:val="auto"/>
          <w:szCs w:val="22"/>
          <w:lang w:val="pt-PT"/>
        </w:rPr>
        <w:t>ymskina</w:t>
      </w:r>
      <w:r w:rsidRPr="00110D6C">
        <w:rPr>
          <w:rFonts w:cs="Times New Roman"/>
          <w:color w:val="auto"/>
          <w:szCs w:val="22"/>
          <w:lang w:val="pt-PT"/>
        </w:rPr>
        <w:t xml:space="preserve"> ou quando se substitui a terapêutica com um imunossupressor biológico por </w:t>
      </w:r>
      <w:r w:rsidR="00D05FE6" w:rsidRPr="00110D6C">
        <w:rPr>
          <w:rFonts w:cs="Times New Roman"/>
          <w:color w:val="auto"/>
          <w:szCs w:val="22"/>
          <w:lang w:val="pt-PT"/>
        </w:rPr>
        <w:t>F</w:t>
      </w:r>
      <w:r w:rsidR="009B49BA" w:rsidRPr="00110D6C">
        <w:rPr>
          <w:rFonts w:cs="Times New Roman"/>
          <w:color w:val="auto"/>
          <w:szCs w:val="22"/>
          <w:lang w:val="pt-PT"/>
        </w:rPr>
        <w:t>ymskina</w:t>
      </w:r>
      <w:r w:rsidRPr="00110D6C">
        <w:rPr>
          <w:rFonts w:cs="Times New Roman"/>
          <w:color w:val="auto"/>
          <w:szCs w:val="22"/>
          <w:lang w:val="pt-PT"/>
        </w:rPr>
        <w:t xml:space="preserve">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4.5).</w:t>
      </w:r>
    </w:p>
    <w:p w14:paraId="486E76B7" w14:textId="77777777" w:rsidR="0043129A" w:rsidRPr="00110D6C" w:rsidRDefault="0043129A" w:rsidP="00A17623">
      <w:pPr>
        <w:widowControl/>
        <w:rPr>
          <w:rFonts w:cs="Times New Roman"/>
          <w:color w:val="auto"/>
          <w:szCs w:val="22"/>
          <w:lang w:val="pt-PT"/>
        </w:rPr>
      </w:pPr>
    </w:p>
    <w:p w14:paraId="50CD2EA9"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Imunoterapia</w:t>
      </w:r>
    </w:p>
    <w:p w14:paraId="6A83DD9D" w14:textId="18526B5B" w:rsidR="0077031F" w:rsidRPr="00110D6C" w:rsidRDefault="009B49BA" w:rsidP="00A17623">
      <w:pPr>
        <w:widowControl/>
        <w:rPr>
          <w:rFonts w:cs="Times New Roman"/>
          <w:color w:val="auto"/>
          <w:szCs w:val="22"/>
          <w:lang w:val="pt-PT"/>
        </w:rPr>
      </w:pPr>
      <w:r>
        <w:rPr>
          <w:rFonts w:cs="Times New Roman"/>
          <w:color w:val="auto"/>
          <w:szCs w:val="22"/>
          <w:lang w:val="pt-PT"/>
        </w:rPr>
        <w:t>U</w:t>
      </w:r>
      <w:r w:rsidRPr="00110D6C">
        <w:rPr>
          <w:rFonts w:cs="Times New Roman"/>
          <w:color w:val="auto"/>
          <w:szCs w:val="22"/>
          <w:lang w:val="pt-PT"/>
        </w:rPr>
        <w:t>stecinumab</w:t>
      </w:r>
      <w:r w:rsidR="00030085" w:rsidRPr="00110D6C">
        <w:rPr>
          <w:rFonts w:cs="Times New Roman"/>
          <w:color w:val="auto"/>
          <w:szCs w:val="22"/>
          <w:lang w:val="pt-PT"/>
        </w:rPr>
        <w:t xml:space="preserve"> não foi estudado em doentes que tenham sido submetidos a imunoterapia alergénica. Não se sabe se </w:t>
      </w:r>
      <w:r w:rsidRPr="00110D6C">
        <w:rPr>
          <w:rFonts w:cs="Times New Roman"/>
          <w:color w:val="auto"/>
          <w:szCs w:val="22"/>
          <w:lang w:val="pt-PT"/>
        </w:rPr>
        <w:t>ustecinumab</w:t>
      </w:r>
      <w:r w:rsidR="00030085" w:rsidRPr="00110D6C">
        <w:rPr>
          <w:rFonts w:cs="Times New Roman"/>
          <w:color w:val="auto"/>
          <w:szCs w:val="22"/>
          <w:lang w:val="pt-PT"/>
        </w:rPr>
        <w:t xml:space="preserve"> pode afetar a imunoterapia alergénica.</w:t>
      </w:r>
    </w:p>
    <w:p w14:paraId="5FD9B02B" w14:textId="77777777" w:rsidR="0043129A" w:rsidRPr="00110D6C" w:rsidRDefault="0043129A" w:rsidP="00A17623">
      <w:pPr>
        <w:widowControl/>
        <w:rPr>
          <w:rFonts w:cs="Times New Roman"/>
          <w:color w:val="auto"/>
          <w:szCs w:val="22"/>
          <w:lang w:val="pt-PT"/>
        </w:rPr>
      </w:pPr>
    </w:p>
    <w:p w14:paraId="3D483D2F"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Reações cutâneas graves</w:t>
      </w:r>
    </w:p>
    <w:p w14:paraId="17600C91" w14:textId="2CED3C21" w:rsidR="0077031F" w:rsidRPr="00110D6C" w:rsidRDefault="00030085" w:rsidP="00A17623">
      <w:pPr>
        <w:widowControl/>
        <w:rPr>
          <w:rFonts w:cs="Times New Roman"/>
          <w:color w:val="auto"/>
          <w:szCs w:val="22"/>
          <w:lang w:val="pt-PT"/>
        </w:rPr>
      </w:pPr>
      <w:r w:rsidRPr="00110D6C">
        <w:rPr>
          <w:rFonts w:cs="Times New Roman"/>
          <w:color w:val="auto"/>
          <w:szCs w:val="22"/>
          <w:lang w:val="pt-PT"/>
        </w:rPr>
        <w:t>Em doentes com psoríase, foi notificada dermatite exfoliativa após tratamento com ustecinumab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 xml:space="preserve">4.8). Os doentes com psoríase em placas podem desenvolver psoríase eritrodérmica, com sintomas que podem ser clinicamente indistinguíveis da dermatite exfoliativa, como parte do curso natural da doença. Como parte da monitorização da psoríase do doente, os médicos devem estar atentos para os sintomas da psoríase eritrodérmica ou dermatite exfoliativa. Se estes sintomas ocorrerem, deve ser instituída a terapêutica adequada. </w:t>
      </w:r>
      <w:r w:rsidR="00D05FE6" w:rsidRPr="00110D6C">
        <w:rPr>
          <w:rFonts w:cs="Times New Roman"/>
          <w:color w:val="auto"/>
          <w:szCs w:val="22"/>
          <w:lang w:val="pt-PT"/>
        </w:rPr>
        <w:t>F</w:t>
      </w:r>
      <w:r w:rsidR="009B49BA" w:rsidRPr="00110D6C">
        <w:rPr>
          <w:rFonts w:cs="Times New Roman"/>
          <w:color w:val="auto"/>
          <w:szCs w:val="22"/>
          <w:lang w:val="pt-PT"/>
        </w:rPr>
        <w:t>ymskina</w:t>
      </w:r>
      <w:r w:rsidRPr="00110D6C">
        <w:rPr>
          <w:rFonts w:cs="Times New Roman"/>
          <w:color w:val="auto"/>
          <w:szCs w:val="22"/>
          <w:lang w:val="pt-PT"/>
        </w:rPr>
        <w:t xml:space="preserve"> deve ser interrompido se houver suspeita de uma reação medicamentosa.</w:t>
      </w:r>
    </w:p>
    <w:p w14:paraId="5ACEDE02" w14:textId="77777777" w:rsidR="0043129A" w:rsidRPr="00110D6C" w:rsidRDefault="0043129A" w:rsidP="00A17623">
      <w:pPr>
        <w:widowControl/>
        <w:rPr>
          <w:rFonts w:cs="Times New Roman"/>
          <w:color w:val="auto"/>
          <w:szCs w:val="22"/>
          <w:lang w:val="pt-PT"/>
        </w:rPr>
      </w:pPr>
    </w:p>
    <w:p w14:paraId="4D27C991"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Doenças relacionadas com lúpus</w:t>
      </w:r>
    </w:p>
    <w:p w14:paraId="0A6CAD86"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Foram notificados casos de doenças relacionadas com lúpus em doentes tratados com ustecinumab, incluindo lúpus eritematoso cutâneo e síndrome do tipo lúpus. Se ocorrerem lesões, especialmente em áreas da pele expostas ao sol ou se acompanhadas de artralgia, o doente deve procurar atendimento médico imediato. Se for confirmado o diagnóstico de doença relacionada com lúpus, o tratamento com ustecinumab deve ser interrompido e deve ser iniciado o tratamento adequado.</w:t>
      </w:r>
    </w:p>
    <w:p w14:paraId="0649AC19" w14:textId="77777777" w:rsidR="0043129A" w:rsidRPr="00110D6C" w:rsidRDefault="0043129A" w:rsidP="00A17623">
      <w:pPr>
        <w:widowControl/>
        <w:rPr>
          <w:rFonts w:cs="Times New Roman"/>
          <w:color w:val="auto"/>
          <w:szCs w:val="22"/>
          <w:lang w:val="pt-PT"/>
        </w:rPr>
      </w:pPr>
    </w:p>
    <w:p w14:paraId="535BFA52"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Populações especiais</w:t>
      </w:r>
    </w:p>
    <w:p w14:paraId="0A9F0152" w14:textId="77777777" w:rsidR="0077031F" w:rsidRPr="00110D6C" w:rsidRDefault="00030085" w:rsidP="00A17623">
      <w:pPr>
        <w:widowControl/>
        <w:rPr>
          <w:rFonts w:cs="Times New Roman"/>
          <w:color w:val="auto"/>
          <w:szCs w:val="22"/>
          <w:lang w:val="pt-PT"/>
        </w:rPr>
      </w:pPr>
      <w:r w:rsidRPr="00110D6C">
        <w:rPr>
          <w:rFonts w:cs="Times New Roman"/>
          <w:i/>
          <w:iCs/>
          <w:color w:val="auto"/>
          <w:szCs w:val="22"/>
          <w:lang w:val="pt-PT"/>
        </w:rPr>
        <w:t>Idosos (≥</w:t>
      </w:r>
      <w:r w:rsidR="00F5387C" w:rsidRPr="00110D6C">
        <w:rPr>
          <w:rFonts w:cs="Times New Roman"/>
          <w:i/>
          <w:iCs/>
          <w:color w:val="auto"/>
          <w:szCs w:val="22"/>
          <w:lang w:val="pt-PT"/>
        </w:rPr>
        <w:t> </w:t>
      </w:r>
      <w:r w:rsidRPr="00110D6C">
        <w:rPr>
          <w:rFonts w:cs="Times New Roman"/>
          <w:i/>
          <w:iCs/>
          <w:color w:val="auto"/>
          <w:szCs w:val="22"/>
          <w:lang w:val="pt-PT"/>
        </w:rPr>
        <w:t>6</w:t>
      </w:r>
      <w:r w:rsidR="00B910F9" w:rsidRPr="00110D6C">
        <w:rPr>
          <w:rFonts w:cs="Times New Roman"/>
          <w:i/>
          <w:iCs/>
          <w:color w:val="auto"/>
          <w:szCs w:val="22"/>
          <w:lang w:val="pt-PT"/>
        </w:rPr>
        <w:t>5 </w:t>
      </w:r>
      <w:r w:rsidRPr="00110D6C">
        <w:rPr>
          <w:rFonts w:cs="Times New Roman"/>
          <w:i/>
          <w:iCs/>
          <w:color w:val="auto"/>
          <w:szCs w:val="22"/>
          <w:lang w:val="pt-PT"/>
        </w:rPr>
        <w:t>anos)</w:t>
      </w:r>
    </w:p>
    <w:p w14:paraId="11025EFD" w14:textId="430520D2"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Não foram observadas diferenças globais na eficácia ou segurança de </w:t>
      </w:r>
      <w:r w:rsidR="009B49BA" w:rsidRPr="00110D6C">
        <w:rPr>
          <w:rFonts w:cs="Times New Roman"/>
          <w:color w:val="auto"/>
          <w:szCs w:val="22"/>
          <w:lang w:val="pt-PT"/>
        </w:rPr>
        <w:t>ustecinumab</w:t>
      </w:r>
      <w:r w:rsidRPr="00110D6C">
        <w:rPr>
          <w:rFonts w:cs="Times New Roman"/>
          <w:color w:val="auto"/>
          <w:szCs w:val="22"/>
          <w:lang w:val="pt-PT"/>
        </w:rPr>
        <w:t>, nos doentes com idade igual ou superior a 6</w:t>
      </w:r>
      <w:r w:rsidR="00B910F9" w:rsidRPr="00110D6C">
        <w:rPr>
          <w:rFonts w:cs="Times New Roman"/>
          <w:color w:val="auto"/>
          <w:szCs w:val="22"/>
          <w:lang w:val="pt-PT"/>
        </w:rPr>
        <w:t>5 </w:t>
      </w:r>
      <w:r w:rsidRPr="00110D6C">
        <w:rPr>
          <w:rFonts w:cs="Times New Roman"/>
          <w:color w:val="auto"/>
          <w:szCs w:val="22"/>
          <w:lang w:val="pt-PT"/>
        </w:rPr>
        <w:t xml:space="preserve">anos a receber tratamento com </w:t>
      </w:r>
      <w:r w:rsidR="00E2467D" w:rsidRPr="00110D6C">
        <w:rPr>
          <w:rFonts w:cs="Times New Roman"/>
          <w:color w:val="auto"/>
          <w:szCs w:val="22"/>
          <w:lang w:val="pt-PT"/>
        </w:rPr>
        <w:t>ustecinumab</w:t>
      </w:r>
      <w:r w:rsidRPr="00110D6C">
        <w:rPr>
          <w:rFonts w:cs="Times New Roman"/>
          <w:color w:val="auto"/>
          <w:szCs w:val="22"/>
          <w:lang w:val="pt-PT"/>
        </w:rPr>
        <w:t>, em comparação com doentes mais jovens em estudos clínicos em indicações aprovadas, embora o número de doentes com idade igual ou superior a 6</w:t>
      </w:r>
      <w:r w:rsidR="00B910F9" w:rsidRPr="00110D6C">
        <w:rPr>
          <w:rFonts w:cs="Times New Roman"/>
          <w:color w:val="auto"/>
          <w:szCs w:val="22"/>
          <w:lang w:val="pt-PT"/>
        </w:rPr>
        <w:t>5 </w:t>
      </w:r>
      <w:r w:rsidRPr="00110D6C">
        <w:rPr>
          <w:rFonts w:cs="Times New Roman"/>
          <w:color w:val="auto"/>
          <w:szCs w:val="22"/>
          <w:lang w:val="pt-PT"/>
        </w:rPr>
        <w:t>anos não seja suficiente para determinar se estes respondem de forma diferente, em comparação com os doentes mais jovens.</w:t>
      </w:r>
    </w:p>
    <w:p w14:paraId="2302CC3B" w14:textId="77777777" w:rsidR="0077031F" w:rsidRDefault="00030085" w:rsidP="00A17623">
      <w:pPr>
        <w:widowControl/>
        <w:rPr>
          <w:rFonts w:cs="Times New Roman"/>
          <w:color w:val="auto"/>
          <w:szCs w:val="22"/>
          <w:lang w:val="pt-PT"/>
        </w:rPr>
      </w:pPr>
      <w:r w:rsidRPr="00110D6C">
        <w:rPr>
          <w:rFonts w:cs="Times New Roman"/>
          <w:color w:val="auto"/>
          <w:szCs w:val="22"/>
          <w:lang w:val="pt-PT"/>
        </w:rPr>
        <w:t>Deve ter-se precaução no tratamento dos idosos, porque, em geral, há uma maior incidência de infeções nesta população de doentes.</w:t>
      </w:r>
    </w:p>
    <w:p w14:paraId="0F79A2DC" w14:textId="77777777" w:rsidR="00F468E7" w:rsidRDefault="00F468E7" w:rsidP="00A17623">
      <w:pPr>
        <w:widowControl/>
        <w:rPr>
          <w:rFonts w:cs="Times New Roman"/>
          <w:color w:val="auto"/>
          <w:szCs w:val="22"/>
          <w:lang w:val="pt-PT"/>
        </w:rPr>
      </w:pPr>
    </w:p>
    <w:p w14:paraId="605BACF5" w14:textId="39F66199" w:rsidR="00F468E7" w:rsidRPr="0089076D" w:rsidRDefault="00F468E7" w:rsidP="00A17623">
      <w:pPr>
        <w:widowControl/>
        <w:rPr>
          <w:rFonts w:cs="Times New Roman"/>
          <w:color w:val="auto"/>
          <w:szCs w:val="22"/>
          <w:u w:val="single"/>
          <w:lang w:val="pt-PT"/>
        </w:rPr>
      </w:pPr>
      <w:r w:rsidRPr="0089076D">
        <w:rPr>
          <w:rFonts w:cs="Times New Roman"/>
          <w:color w:val="auto"/>
          <w:szCs w:val="22"/>
          <w:u w:val="single"/>
          <w:lang w:val="pt-PT"/>
        </w:rPr>
        <w:t>Fymskina contém polissorbatos</w:t>
      </w:r>
    </w:p>
    <w:p w14:paraId="59221393" w14:textId="5C055600" w:rsidR="00F468E7" w:rsidRPr="00110D6C" w:rsidRDefault="00F468E7" w:rsidP="00A17623">
      <w:pPr>
        <w:widowControl/>
        <w:rPr>
          <w:rFonts w:cs="Times New Roman"/>
          <w:color w:val="auto"/>
          <w:szCs w:val="22"/>
          <w:lang w:val="pt-PT"/>
        </w:rPr>
      </w:pPr>
      <w:r>
        <w:rPr>
          <w:rFonts w:cs="Times New Roman"/>
          <w:color w:val="auto"/>
          <w:szCs w:val="22"/>
          <w:lang w:val="pt-PT"/>
        </w:rPr>
        <w:t xml:space="preserve">Os polissorbatos podem causar </w:t>
      </w:r>
      <w:r w:rsidR="00590835">
        <w:rPr>
          <w:rFonts w:cs="Times New Roman"/>
          <w:color w:val="auto"/>
          <w:szCs w:val="22"/>
          <w:lang w:val="pt-PT"/>
        </w:rPr>
        <w:t>reações alérgicas.</w:t>
      </w:r>
    </w:p>
    <w:p w14:paraId="3D61AF60" w14:textId="77777777" w:rsidR="00DC3C01" w:rsidRPr="00110D6C" w:rsidRDefault="00DC3C01" w:rsidP="002057DA">
      <w:pPr>
        <w:widowControl/>
        <w:rPr>
          <w:rFonts w:cs="Times New Roman"/>
          <w:bCs/>
          <w:color w:val="auto"/>
          <w:szCs w:val="22"/>
          <w:lang w:val="pt-PT"/>
        </w:rPr>
      </w:pPr>
      <w:bookmarkStart w:id="33" w:name="bookmark64"/>
    </w:p>
    <w:p w14:paraId="6791DBB3"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4.5</w:t>
      </w:r>
      <w:r w:rsidRPr="00110D6C">
        <w:rPr>
          <w:rFonts w:cs="Times New Roman"/>
          <w:b/>
          <w:bCs/>
          <w:color w:val="auto"/>
          <w:szCs w:val="22"/>
          <w:lang w:val="pt-PT"/>
        </w:rPr>
        <w:tab/>
      </w:r>
      <w:r w:rsidR="00030085" w:rsidRPr="00110D6C">
        <w:rPr>
          <w:rFonts w:cs="Times New Roman"/>
          <w:b/>
          <w:bCs/>
          <w:color w:val="auto"/>
          <w:szCs w:val="22"/>
          <w:lang w:val="pt-PT"/>
        </w:rPr>
        <w:t>Interações medicamentosas e outras formas de interação</w:t>
      </w:r>
      <w:bookmarkEnd w:id="33"/>
    </w:p>
    <w:p w14:paraId="61A65C75" w14:textId="77777777" w:rsidR="0043129A" w:rsidRPr="00110D6C" w:rsidRDefault="0043129A" w:rsidP="00A17623">
      <w:pPr>
        <w:widowControl/>
        <w:rPr>
          <w:rFonts w:cs="Times New Roman"/>
          <w:color w:val="auto"/>
          <w:szCs w:val="22"/>
          <w:lang w:val="pt-PT"/>
        </w:rPr>
      </w:pPr>
    </w:p>
    <w:p w14:paraId="4635ED10" w14:textId="36C8E11F"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As vacinas vivas não devem ser administradas concomitantemente com </w:t>
      </w:r>
      <w:r w:rsidR="00D05FE6" w:rsidRPr="00110D6C">
        <w:rPr>
          <w:rFonts w:cs="Times New Roman"/>
          <w:color w:val="auto"/>
          <w:szCs w:val="22"/>
          <w:lang w:val="pt-PT"/>
        </w:rPr>
        <w:t>F</w:t>
      </w:r>
      <w:r w:rsidR="00E2467D" w:rsidRPr="00110D6C">
        <w:rPr>
          <w:rFonts w:cs="Times New Roman"/>
          <w:color w:val="auto"/>
          <w:szCs w:val="22"/>
          <w:lang w:val="pt-PT"/>
        </w:rPr>
        <w:t>ymskina</w:t>
      </w:r>
      <w:r w:rsidRPr="00110D6C">
        <w:rPr>
          <w:rFonts w:cs="Times New Roman"/>
          <w:color w:val="auto"/>
          <w:szCs w:val="22"/>
          <w:lang w:val="pt-PT"/>
        </w:rPr>
        <w:t>.</w:t>
      </w:r>
    </w:p>
    <w:p w14:paraId="1DD4629F" w14:textId="77777777" w:rsidR="0043129A" w:rsidRPr="00110D6C" w:rsidRDefault="0043129A" w:rsidP="00A17623">
      <w:pPr>
        <w:widowControl/>
        <w:rPr>
          <w:rFonts w:cs="Times New Roman"/>
          <w:color w:val="auto"/>
          <w:szCs w:val="22"/>
          <w:lang w:val="pt-PT"/>
        </w:rPr>
      </w:pPr>
    </w:p>
    <w:p w14:paraId="77D81F23" w14:textId="48B4059C"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 administração de vacinas vivas (tais como a BCG) a lactentes expostos </w:t>
      </w:r>
      <w:r w:rsidRPr="00110D6C">
        <w:rPr>
          <w:rFonts w:cs="Times New Roman"/>
          <w:i/>
          <w:iCs/>
          <w:color w:val="auto"/>
          <w:szCs w:val="22"/>
          <w:lang w:val="pt-PT"/>
        </w:rPr>
        <w:t>in</w:t>
      </w:r>
      <w:r w:rsidR="005B2D5C" w:rsidRPr="00110D6C">
        <w:rPr>
          <w:rFonts w:cs="Times New Roman"/>
          <w:i/>
          <w:iCs/>
          <w:color w:val="auto"/>
          <w:szCs w:val="22"/>
          <w:lang w:val="pt-PT"/>
        </w:rPr>
        <w:t> </w:t>
      </w:r>
      <w:r w:rsidRPr="00110D6C">
        <w:rPr>
          <w:rFonts w:cs="Times New Roman"/>
          <w:i/>
          <w:iCs/>
          <w:color w:val="auto"/>
          <w:szCs w:val="22"/>
          <w:lang w:val="pt-PT"/>
        </w:rPr>
        <w:t>utero</w:t>
      </w:r>
      <w:r w:rsidRPr="00110D6C">
        <w:rPr>
          <w:rFonts w:cs="Times New Roman"/>
          <w:color w:val="auto"/>
          <w:szCs w:val="22"/>
          <w:lang w:val="pt-PT"/>
        </w:rPr>
        <w:t xml:space="preserve"> ao ustecinumab não é recomendada durante </w:t>
      </w:r>
      <w:r w:rsidR="00590835">
        <w:rPr>
          <w:rFonts w:cs="Times New Roman"/>
          <w:color w:val="auto"/>
          <w:szCs w:val="22"/>
          <w:lang w:val="pt-PT"/>
        </w:rPr>
        <w:t>doze</w:t>
      </w:r>
      <w:r w:rsidR="00590835" w:rsidRPr="00110D6C">
        <w:rPr>
          <w:rFonts w:cs="Times New Roman"/>
          <w:color w:val="auto"/>
          <w:szCs w:val="22"/>
          <w:lang w:val="pt-PT"/>
        </w:rPr>
        <w:t xml:space="preserve"> </w:t>
      </w:r>
      <w:r w:rsidRPr="00110D6C">
        <w:rPr>
          <w:rFonts w:cs="Times New Roman"/>
          <w:color w:val="auto"/>
          <w:szCs w:val="22"/>
          <w:lang w:val="pt-PT"/>
        </w:rPr>
        <w:t>meses após o nascimento ou até que não sejam detetáveis níveis séricos de ustecinumab no lactente (ver secções 4.</w:t>
      </w:r>
      <w:r w:rsidR="00B910F9" w:rsidRPr="00110D6C">
        <w:rPr>
          <w:rFonts w:cs="Times New Roman"/>
          <w:color w:val="auto"/>
          <w:szCs w:val="22"/>
          <w:lang w:val="pt-PT"/>
        </w:rPr>
        <w:t>4 </w:t>
      </w:r>
      <w:r w:rsidRPr="00110D6C">
        <w:rPr>
          <w:rFonts w:cs="Times New Roman"/>
          <w:color w:val="auto"/>
          <w:szCs w:val="22"/>
          <w:lang w:val="pt-PT"/>
        </w:rPr>
        <w:t>e 4.6). Se houver um benefício clínico claro para o lactente em particular, pode ser considerada a administração de uma vacina viva num momento anterior, caso não sejam detetáveis níveis séricos de ustecinumab no lactente.</w:t>
      </w:r>
    </w:p>
    <w:p w14:paraId="392F7674" w14:textId="77777777" w:rsidR="0043129A" w:rsidRPr="00110D6C" w:rsidRDefault="0043129A" w:rsidP="00A17623">
      <w:pPr>
        <w:widowControl/>
        <w:rPr>
          <w:rFonts w:cs="Times New Roman"/>
          <w:color w:val="auto"/>
          <w:szCs w:val="22"/>
          <w:lang w:val="pt-PT"/>
        </w:rPr>
      </w:pPr>
    </w:p>
    <w:p w14:paraId="6CE019FA" w14:textId="1607B209" w:rsidR="0077031F" w:rsidRPr="00110D6C" w:rsidRDefault="00030085" w:rsidP="0043129A">
      <w:pPr>
        <w:widowControl/>
        <w:rPr>
          <w:rFonts w:cs="Times New Roman"/>
          <w:color w:val="auto"/>
          <w:szCs w:val="22"/>
          <w:lang w:val="pt-PT"/>
        </w:rPr>
      </w:pPr>
      <w:r w:rsidRPr="00110D6C">
        <w:rPr>
          <w:rFonts w:cs="Times New Roman"/>
          <w:color w:val="auto"/>
          <w:szCs w:val="22"/>
          <w:lang w:val="pt-PT"/>
        </w:rPr>
        <w:t>Na análise farmacocinética populacional dos estudos de fase 3, foi avaliado o efeito dos medicamentos concomitantes mais frequentemente utilizados em doentes com psoríase (incluindo paracetamol, ibuprofeno, ácido acetilsalicílico, metformina, atorvastatina, levotiroxina) sobre a farmacocinética do ustecinumab. Não se verificaram</w:t>
      </w:r>
      <w:r w:rsidR="0043129A" w:rsidRPr="00110D6C">
        <w:rPr>
          <w:rFonts w:cs="Times New Roman"/>
          <w:color w:val="auto"/>
          <w:szCs w:val="22"/>
          <w:lang w:val="pt-PT"/>
        </w:rPr>
        <w:t xml:space="preserve"> </w:t>
      </w:r>
      <w:r w:rsidRPr="00110D6C">
        <w:rPr>
          <w:rFonts w:cs="Times New Roman"/>
          <w:color w:val="auto"/>
          <w:szCs w:val="22"/>
          <w:lang w:val="pt-PT"/>
        </w:rPr>
        <w:t>indícios de interação com estes medicamentos concomitantes. A base para esta análise consistiu no facto de, pelo menos, 10</w:t>
      </w:r>
      <w:r w:rsidR="00B910F9" w:rsidRPr="00110D6C">
        <w:rPr>
          <w:rFonts w:cs="Times New Roman"/>
          <w:color w:val="auto"/>
          <w:szCs w:val="22"/>
          <w:lang w:val="pt-PT"/>
        </w:rPr>
        <w:t>0 </w:t>
      </w:r>
      <w:r w:rsidRPr="00110D6C">
        <w:rPr>
          <w:rFonts w:cs="Times New Roman"/>
          <w:color w:val="auto"/>
          <w:szCs w:val="22"/>
          <w:lang w:val="pt-PT"/>
        </w:rPr>
        <w:t>doentes (&gt;</w:t>
      </w:r>
      <w:r w:rsidR="00F5387C" w:rsidRPr="00110D6C">
        <w:rPr>
          <w:rFonts w:cs="Times New Roman"/>
          <w:color w:val="auto"/>
          <w:szCs w:val="22"/>
          <w:lang w:val="pt-PT"/>
        </w:rPr>
        <w:t> </w:t>
      </w:r>
      <w:r w:rsidRPr="00110D6C">
        <w:rPr>
          <w:rFonts w:cs="Times New Roman"/>
          <w:color w:val="auto"/>
          <w:szCs w:val="22"/>
          <w:lang w:val="pt-PT"/>
        </w:rPr>
        <w:t>5% da população estudada) terem sido tratados concomitantemente com estes medicamentos durante, pelo menos, 90% do período de estudo. A farmacocinética do ustecinumab não foi impactada pela associação com MTX, AINEs, 6- mercaptopurina, azatioprina e corticosteroides orais em doentes com artrite psoriática, doença de Crohn ou colite ulcerosa, ou exposição prévia a agentes anti-TNF em doentes com artrite psoriática ou doença de Crohn ou por exposição prévia a biológicos (isto é, agentes anti-TNFα e/ou vedolizumab) em doentes com colite ulcerosa.</w:t>
      </w:r>
    </w:p>
    <w:p w14:paraId="6C5183DA" w14:textId="77777777" w:rsidR="0043129A" w:rsidRPr="00110D6C" w:rsidRDefault="0043129A" w:rsidP="00A17623">
      <w:pPr>
        <w:widowControl/>
        <w:rPr>
          <w:rFonts w:cs="Times New Roman"/>
          <w:color w:val="auto"/>
          <w:szCs w:val="22"/>
          <w:lang w:val="pt-PT"/>
        </w:rPr>
      </w:pPr>
    </w:p>
    <w:p w14:paraId="0E3C421A" w14:textId="4FDDD95E"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Os resultados de um estudo </w:t>
      </w:r>
      <w:r w:rsidRPr="00110D6C">
        <w:rPr>
          <w:rFonts w:cs="Times New Roman"/>
          <w:i/>
          <w:iCs/>
          <w:color w:val="auto"/>
          <w:szCs w:val="22"/>
          <w:lang w:val="pt-PT"/>
        </w:rPr>
        <w:t>in</w:t>
      </w:r>
      <w:r w:rsidR="009E0064" w:rsidRPr="00110D6C">
        <w:rPr>
          <w:rFonts w:cs="Times New Roman"/>
          <w:i/>
          <w:iCs/>
          <w:color w:val="auto"/>
          <w:szCs w:val="22"/>
          <w:lang w:val="pt-PT"/>
        </w:rPr>
        <w:t> </w:t>
      </w:r>
      <w:r w:rsidRPr="00110D6C">
        <w:rPr>
          <w:rFonts w:cs="Times New Roman"/>
          <w:i/>
          <w:iCs/>
          <w:color w:val="auto"/>
          <w:szCs w:val="22"/>
          <w:lang w:val="pt-PT"/>
        </w:rPr>
        <w:t>vitro</w:t>
      </w:r>
      <w:r w:rsidRPr="00110D6C">
        <w:rPr>
          <w:rFonts w:cs="Times New Roman"/>
          <w:color w:val="auto"/>
          <w:szCs w:val="22"/>
          <w:lang w:val="pt-PT"/>
        </w:rPr>
        <w:t xml:space="preserve"> </w:t>
      </w:r>
      <w:r w:rsidR="00162A5F">
        <w:rPr>
          <w:iCs/>
          <w:szCs w:val="22"/>
        </w:rPr>
        <w:t>e de um estudo de fase 1 em indivíduos com doença de Crohn ativa</w:t>
      </w:r>
      <w:r w:rsidR="00162A5F" w:rsidRPr="00E124FE">
        <w:rPr>
          <w:i/>
          <w:szCs w:val="22"/>
        </w:rPr>
        <w:t xml:space="preserve"> </w:t>
      </w:r>
      <w:r w:rsidRPr="00110D6C">
        <w:rPr>
          <w:rFonts w:cs="Times New Roman"/>
          <w:color w:val="auto"/>
          <w:szCs w:val="22"/>
          <w:lang w:val="pt-PT"/>
        </w:rPr>
        <w:t xml:space="preserve">não sugerem a necessidade de um ajustamento de dose em doentes que estão a receber concomitantemente substratos </w:t>
      </w:r>
      <w:r w:rsidR="00162A5F">
        <w:rPr>
          <w:rFonts w:cs="Times New Roman"/>
          <w:color w:val="auto"/>
          <w:szCs w:val="22"/>
          <w:lang w:val="pt-PT"/>
        </w:rPr>
        <w:t xml:space="preserve">do </w:t>
      </w:r>
      <w:r w:rsidRPr="00110D6C">
        <w:rPr>
          <w:rFonts w:cs="Times New Roman"/>
          <w:color w:val="auto"/>
          <w:szCs w:val="22"/>
          <w:lang w:val="pt-PT"/>
        </w:rPr>
        <w:t>CYP45</w:t>
      </w:r>
      <w:r w:rsidR="00B910F9" w:rsidRPr="00110D6C">
        <w:rPr>
          <w:rFonts w:cs="Times New Roman"/>
          <w:color w:val="auto"/>
          <w:szCs w:val="22"/>
          <w:lang w:val="pt-PT"/>
        </w:rPr>
        <w:t>0</w:t>
      </w:r>
      <w:r w:rsidR="006A79E5" w:rsidRPr="00110D6C">
        <w:rPr>
          <w:rFonts w:cs="Times New Roman"/>
          <w:color w:val="auto"/>
          <w:szCs w:val="22"/>
          <w:lang w:val="pt-PT"/>
        </w:rPr>
        <w:t xml:space="preserve"> </w:t>
      </w:r>
      <w:r w:rsidRPr="00110D6C">
        <w:rPr>
          <w:rFonts w:cs="Times New Roman"/>
          <w:color w:val="auto"/>
          <w:szCs w:val="22"/>
          <w:lang w:val="pt-PT"/>
        </w:rPr>
        <w:t>(ver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5.2).</w:t>
      </w:r>
    </w:p>
    <w:p w14:paraId="38C09552" w14:textId="77777777" w:rsidR="0043129A" w:rsidRPr="00110D6C" w:rsidRDefault="0043129A" w:rsidP="00A17623">
      <w:pPr>
        <w:widowControl/>
        <w:rPr>
          <w:rFonts w:cs="Times New Roman"/>
          <w:color w:val="auto"/>
          <w:szCs w:val="22"/>
          <w:lang w:val="pt-PT"/>
        </w:rPr>
      </w:pPr>
    </w:p>
    <w:p w14:paraId="4F2D3544" w14:textId="6CED5E15"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Nos estudos na psoríase, a segurança e a eficácia de </w:t>
      </w:r>
      <w:r w:rsidR="00E2467D" w:rsidRPr="00110D6C">
        <w:rPr>
          <w:rFonts w:cs="Times New Roman"/>
          <w:color w:val="auto"/>
          <w:szCs w:val="22"/>
          <w:lang w:val="pt-PT"/>
        </w:rPr>
        <w:t>ustecinumab</w:t>
      </w:r>
      <w:r w:rsidRPr="00110D6C">
        <w:rPr>
          <w:rFonts w:cs="Times New Roman"/>
          <w:color w:val="auto"/>
          <w:szCs w:val="22"/>
          <w:lang w:val="pt-PT"/>
        </w:rPr>
        <w:t xml:space="preserve"> em associação com outros agentes imunossupressores, incluindo medicamentos biológicos ou fototerapia, não foram avaliadas. Nos estudos na artrite psoriática, a associação com o MTX não pareceu influenciar a segurança e a eficácia de </w:t>
      </w:r>
      <w:r w:rsidR="00E2467D" w:rsidRPr="00110D6C">
        <w:rPr>
          <w:rFonts w:cs="Times New Roman"/>
          <w:color w:val="auto"/>
          <w:szCs w:val="22"/>
          <w:lang w:val="pt-PT"/>
        </w:rPr>
        <w:t>ustecinumab</w:t>
      </w:r>
      <w:r w:rsidRPr="00110D6C">
        <w:rPr>
          <w:rFonts w:cs="Times New Roman"/>
          <w:color w:val="auto"/>
          <w:szCs w:val="22"/>
          <w:lang w:val="pt-PT"/>
        </w:rPr>
        <w:t xml:space="preserve">. Nos estudos na doença de Crohn e colite ulcerosa, o uso concomitante de imunossupressores e corticosteroides não pareceu influenciar a segurança ou a eficácia de </w:t>
      </w:r>
      <w:r w:rsidR="00E2467D" w:rsidRPr="00110D6C">
        <w:rPr>
          <w:rFonts w:cs="Times New Roman"/>
          <w:color w:val="auto"/>
          <w:szCs w:val="22"/>
          <w:lang w:val="pt-PT"/>
        </w:rPr>
        <w:t>ustecinumab</w:t>
      </w:r>
      <w:r w:rsidRPr="00110D6C">
        <w:rPr>
          <w:rFonts w:cs="Times New Roman"/>
          <w:color w:val="auto"/>
          <w:szCs w:val="22"/>
          <w:lang w:val="pt-PT"/>
        </w:rPr>
        <w:t>.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4.4).</w:t>
      </w:r>
    </w:p>
    <w:p w14:paraId="146160AD" w14:textId="77777777" w:rsidR="00DC3C01" w:rsidRPr="00110D6C" w:rsidRDefault="00DC3C01" w:rsidP="002057DA">
      <w:pPr>
        <w:widowControl/>
        <w:rPr>
          <w:rFonts w:cs="Times New Roman"/>
          <w:bCs/>
          <w:color w:val="auto"/>
          <w:szCs w:val="22"/>
          <w:lang w:val="pt-PT"/>
        </w:rPr>
      </w:pPr>
      <w:bookmarkStart w:id="34" w:name="bookmark66"/>
    </w:p>
    <w:p w14:paraId="76C680B2"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4.6</w:t>
      </w:r>
      <w:r w:rsidRPr="00110D6C">
        <w:rPr>
          <w:rFonts w:cs="Times New Roman"/>
          <w:b/>
          <w:bCs/>
          <w:color w:val="auto"/>
          <w:szCs w:val="22"/>
          <w:lang w:val="pt-PT"/>
        </w:rPr>
        <w:tab/>
      </w:r>
      <w:r w:rsidR="00030085" w:rsidRPr="00110D6C">
        <w:rPr>
          <w:rFonts w:cs="Times New Roman"/>
          <w:b/>
          <w:bCs/>
          <w:color w:val="auto"/>
          <w:szCs w:val="22"/>
          <w:lang w:val="pt-PT"/>
        </w:rPr>
        <w:t>Fertilidade, gravidez e aleitamento</w:t>
      </w:r>
      <w:bookmarkEnd w:id="34"/>
    </w:p>
    <w:p w14:paraId="3844212E" w14:textId="77777777" w:rsidR="0043129A" w:rsidRPr="00110D6C" w:rsidRDefault="0043129A" w:rsidP="00A17623">
      <w:pPr>
        <w:widowControl/>
        <w:rPr>
          <w:rFonts w:cs="Times New Roman"/>
          <w:color w:val="auto"/>
          <w:szCs w:val="22"/>
          <w:lang w:val="pt-PT"/>
        </w:rPr>
      </w:pPr>
    </w:p>
    <w:p w14:paraId="28B9A692"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Mulheres com potencial para engravidar</w:t>
      </w:r>
    </w:p>
    <w:p w14:paraId="7538061A"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As mulheres com potencial para engravidar deverão utilizar um método contracetivo durante o tratamento e até 1</w:t>
      </w:r>
      <w:r w:rsidR="00B910F9" w:rsidRPr="00110D6C">
        <w:rPr>
          <w:rFonts w:cs="Times New Roman"/>
          <w:color w:val="auto"/>
          <w:szCs w:val="22"/>
          <w:lang w:val="pt-PT"/>
        </w:rPr>
        <w:t>5 </w:t>
      </w:r>
      <w:r w:rsidRPr="00110D6C">
        <w:rPr>
          <w:rFonts w:cs="Times New Roman"/>
          <w:color w:val="auto"/>
          <w:szCs w:val="22"/>
          <w:lang w:val="pt-PT"/>
        </w:rPr>
        <w:t>semanas após o tratamento.</w:t>
      </w:r>
    </w:p>
    <w:p w14:paraId="014F1633" w14:textId="77777777" w:rsidR="0043129A" w:rsidRPr="00110D6C" w:rsidRDefault="0043129A" w:rsidP="00A17623">
      <w:pPr>
        <w:widowControl/>
        <w:rPr>
          <w:rFonts w:cs="Times New Roman"/>
          <w:color w:val="auto"/>
          <w:szCs w:val="22"/>
          <w:lang w:val="pt-PT"/>
        </w:rPr>
      </w:pPr>
    </w:p>
    <w:p w14:paraId="521354A7"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Gravidez</w:t>
      </w:r>
    </w:p>
    <w:p w14:paraId="6577FD8A" w14:textId="67F505CB" w:rsidR="005C68E7" w:rsidRDefault="005C68E7" w:rsidP="00A17623">
      <w:pPr>
        <w:widowControl/>
        <w:rPr>
          <w:rFonts w:cs="Times New Roman"/>
          <w:color w:val="auto"/>
          <w:szCs w:val="22"/>
          <w:lang w:val="pt-PT"/>
        </w:rPr>
      </w:pPr>
      <w:r>
        <w:rPr>
          <w:szCs w:val="22"/>
        </w:rPr>
        <w:t xml:space="preserve">Dados recolhidos de forma prospetiva de um número moderado de gravidezes após exposição </w:t>
      </w:r>
      <w:r w:rsidR="00755567">
        <w:rPr>
          <w:szCs w:val="22"/>
        </w:rPr>
        <w:t>ao</w:t>
      </w:r>
      <w:r>
        <w:rPr>
          <w:szCs w:val="22"/>
        </w:rPr>
        <w:t xml:space="preserve"> </w:t>
      </w:r>
      <w:r w:rsidRPr="00110D6C">
        <w:rPr>
          <w:rFonts w:cs="Times New Roman"/>
          <w:color w:val="auto"/>
          <w:szCs w:val="22"/>
          <w:lang w:val="pt-PT"/>
        </w:rPr>
        <w:t>ustecinumab</w:t>
      </w:r>
      <w:r>
        <w:rPr>
          <w:szCs w:val="22"/>
        </w:rPr>
        <w:t xml:space="preserve"> com resultados conhecidos, incluindo mais de 450 gravidezes expostas durante o primeiro trimestre, não indicam um aumento do risco de malformações congénitas maiores no recém-nascido.</w:t>
      </w:r>
    </w:p>
    <w:p w14:paraId="46133108" w14:textId="3DEC1A68" w:rsidR="005C68E7" w:rsidRDefault="005C68E7" w:rsidP="00A17623">
      <w:pPr>
        <w:widowControl/>
        <w:rPr>
          <w:rFonts w:cs="Times New Roman"/>
          <w:color w:val="auto"/>
          <w:szCs w:val="22"/>
          <w:lang w:val="pt-PT"/>
        </w:rPr>
      </w:pPr>
    </w:p>
    <w:p w14:paraId="5F1EB0EE" w14:textId="25BDE392" w:rsidR="005C68E7" w:rsidRDefault="00030085" w:rsidP="00A17623">
      <w:pPr>
        <w:widowControl/>
        <w:rPr>
          <w:rFonts w:cs="Times New Roman"/>
          <w:color w:val="auto"/>
          <w:szCs w:val="22"/>
          <w:lang w:val="pt-PT"/>
        </w:rPr>
      </w:pPr>
      <w:r w:rsidRPr="00110D6C">
        <w:rPr>
          <w:rFonts w:cs="Times New Roman"/>
          <w:color w:val="auto"/>
          <w:szCs w:val="22"/>
          <w:lang w:val="pt-PT"/>
        </w:rPr>
        <w:t>Os estudos em animais não indicam quaisquer efeitos nefastos, diretos ou indiretos, no que respeita à gravidez, ao desenvolvimento embrionário/fetal, parto ou ao desenvolvimento pós-natal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5.3).</w:t>
      </w:r>
    </w:p>
    <w:p w14:paraId="3490C112" w14:textId="77777777" w:rsidR="005C68E7" w:rsidRDefault="005C68E7" w:rsidP="00A17623">
      <w:pPr>
        <w:widowControl/>
        <w:rPr>
          <w:rFonts w:cs="Times New Roman"/>
          <w:color w:val="auto"/>
          <w:szCs w:val="22"/>
          <w:lang w:val="pt-PT"/>
        </w:rPr>
      </w:pPr>
    </w:p>
    <w:p w14:paraId="4AA3785D" w14:textId="00D01F13" w:rsidR="0077031F" w:rsidRPr="00110D6C" w:rsidRDefault="005C68E7" w:rsidP="00A17623">
      <w:pPr>
        <w:widowControl/>
        <w:rPr>
          <w:rFonts w:cs="Times New Roman"/>
          <w:color w:val="auto"/>
          <w:szCs w:val="22"/>
          <w:lang w:val="pt-PT"/>
        </w:rPr>
      </w:pPr>
      <w:r>
        <w:rPr>
          <w:szCs w:val="22"/>
        </w:rPr>
        <w:t>No entanto, a experiência clínica disponível é limitada.</w:t>
      </w:r>
      <w:r w:rsidRPr="00E124FE">
        <w:rPr>
          <w:szCs w:val="22"/>
        </w:rPr>
        <w:t xml:space="preserve"> </w:t>
      </w:r>
      <w:r w:rsidR="00030085" w:rsidRPr="00110D6C">
        <w:rPr>
          <w:rFonts w:cs="Times New Roman"/>
          <w:color w:val="auto"/>
          <w:szCs w:val="22"/>
          <w:lang w:val="pt-PT"/>
        </w:rPr>
        <w:t xml:space="preserve">Como medida de precaução é preferível evitar a utilização de </w:t>
      </w:r>
      <w:r w:rsidR="00D05FE6" w:rsidRPr="00110D6C">
        <w:rPr>
          <w:rFonts w:cs="Times New Roman"/>
          <w:color w:val="auto"/>
          <w:szCs w:val="22"/>
          <w:lang w:val="pt-PT"/>
        </w:rPr>
        <w:t>F</w:t>
      </w:r>
      <w:r w:rsidR="00E2467D" w:rsidRPr="00110D6C">
        <w:rPr>
          <w:rFonts w:cs="Times New Roman"/>
          <w:color w:val="auto"/>
          <w:szCs w:val="22"/>
          <w:lang w:val="pt-PT"/>
        </w:rPr>
        <w:t>ymskina</w:t>
      </w:r>
      <w:r w:rsidR="00030085" w:rsidRPr="00110D6C">
        <w:rPr>
          <w:rFonts w:cs="Times New Roman"/>
          <w:color w:val="auto"/>
          <w:szCs w:val="22"/>
          <w:lang w:val="pt-PT"/>
        </w:rPr>
        <w:t xml:space="preserve"> durante a gravidez.</w:t>
      </w:r>
    </w:p>
    <w:p w14:paraId="7C4D6A16" w14:textId="77777777" w:rsidR="0043129A" w:rsidRPr="00110D6C" w:rsidRDefault="0043129A" w:rsidP="00A17623">
      <w:pPr>
        <w:widowControl/>
        <w:rPr>
          <w:rFonts w:cs="Times New Roman"/>
          <w:color w:val="auto"/>
          <w:szCs w:val="22"/>
          <w:lang w:val="pt-PT"/>
        </w:rPr>
      </w:pPr>
    </w:p>
    <w:p w14:paraId="331E1138" w14:textId="3D4810D5"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O ustecinumab atravessa a placenta e foi detetado no soro de lactentes nascidos de doentes do sexo feminino tratadas com ustecinumab durante a gravidez. Desconhece-se o impacto clínico deste facto, no entanto, o risco de infeção em lactentes expostos </w:t>
      </w:r>
      <w:r w:rsidRPr="00110D6C">
        <w:rPr>
          <w:rFonts w:cs="Times New Roman"/>
          <w:i/>
          <w:iCs/>
          <w:color w:val="auto"/>
          <w:szCs w:val="22"/>
          <w:lang w:val="pt-PT"/>
        </w:rPr>
        <w:t>in</w:t>
      </w:r>
      <w:r w:rsidR="005B2D5C" w:rsidRPr="00110D6C">
        <w:rPr>
          <w:rFonts w:cs="Times New Roman"/>
          <w:i/>
          <w:iCs/>
          <w:color w:val="auto"/>
          <w:szCs w:val="22"/>
          <w:lang w:val="pt-PT"/>
        </w:rPr>
        <w:t> </w:t>
      </w:r>
      <w:r w:rsidRPr="00110D6C">
        <w:rPr>
          <w:rFonts w:cs="Times New Roman"/>
          <w:i/>
          <w:iCs/>
          <w:color w:val="auto"/>
          <w:szCs w:val="22"/>
          <w:lang w:val="pt-PT"/>
        </w:rPr>
        <w:t>utero</w:t>
      </w:r>
      <w:r w:rsidRPr="00110D6C">
        <w:rPr>
          <w:rFonts w:cs="Times New Roman"/>
          <w:color w:val="auto"/>
          <w:szCs w:val="22"/>
          <w:lang w:val="pt-PT"/>
        </w:rPr>
        <w:t xml:space="preserve"> ao ustecinumab pode estar aumentado após o nascimento.</w:t>
      </w:r>
      <w:r w:rsidR="00E2467D">
        <w:rPr>
          <w:rFonts w:cs="Times New Roman"/>
          <w:color w:val="auto"/>
          <w:szCs w:val="22"/>
          <w:lang w:val="pt-PT"/>
        </w:rPr>
        <w:t xml:space="preserve"> </w:t>
      </w:r>
      <w:r w:rsidRPr="00110D6C">
        <w:rPr>
          <w:rFonts w:cs="Times New Roman"/>
          <w:color w:val="auto"/>
          <w:szCs w:val="22"/>
          <w:lang w:val="pt-PT"/>
        </w:rPr>
        <w:t xml:space="preserve">A administração de vacinas vivas (tais como a vacina BCG) a lactentes expostos </w:t>
      </w:r>
      <w:r w:rsidRPr="00110D6C">
        <w:rPr>
          <w:rFonts w:cs="Times New Roman"/>
          <w:i/>
          <w:iCs/>
          <w:color w:val="auto"/>
          <w:szCs w:val="22"/>
          <w:lang w:val="pt-PT"/>
        </w:rPr>
        <w:lastRenderedPageBreak/>
        <w:t>in</w:t>
      </w:r>
      <w:r w:rsidR="005B2D5C" w:rsidRPr="00110D6C">
        <w:rPr>
          <w:rFonts w:cs="Times New Roman"/>
          <w:i/>
          <w:iCs/>
          <w:color w:val="auto"/>
          <w:szCs w:val="22"/>
          <w:lang w:val="pt-PT"/>
        </w:rPr>
        <w:t> </w:t>
      </w:r>
      <w:r w:rsidRPr="00110D6C">
        <w:rPr>
          <w:rFonts w:cs="Times New Roman"/>
          <w:i/>
          <w:iCs/>
          <w:color w:val="auto"/>
          <w:szCs w:val="22"/>
          <w:lang w:val="pt-PT"/>
        </w:rPr>
        <w:t>utero</w:t>
      </w:r>
      <w:r w:rsidRPr="00110D6C">
        <w:rPr>
          <w:rFonts w:cs="Times New Roman"/>
          <w:color w:val="auto"/>
          <w:szCs w:val="22"/>
          <w:lang w:val="pt-PT"/>
        </w:rPr>
        <w:t xml:space="preserve"> ao ustecinumab não é recomendada durante </w:t>
      </w:r>
      <w:r w:rsidR="00590835">
        <w:rPr>
          <w:rFonts w:cs="Times New Roman"/>
          <w:color w:val="auto"/>
          <w:szCs w:val="22"/>
          <w:lang w:val="pt-PT"/>
        </w:rPr>
        <w:t xml:space="preserve">doze </w:t>
      </w:r>
      <w:r w:rsidRPr="00110D6C">
        <w:rPr>
          <w:rFonts w:cs="Times New Roman"/>
          <w:color w:val="auto"/>
          <w:szCs w:val="22"/>
          <w:lang w:val="pt-PT"/>
        </w:rPr>
        <w:t>meses após o nascimento ou até que não sejam detetáveis níveis séricos de ustecinumab no lactente (ver secções 4.</w:t>
      </w:r>
      <w:r w:rsidR="00B910F9" w:rsidRPr="00110D6C">
        <w:rPr>
          <w:rFonts w:cs="Times New Roman"/>
          <w:color w:val="auto"/>
          <w:szCs w:val="22"/>
          <w:lang w:val="pt-PT"/>
        </w:rPr>
        <w:t>4 </w:t>
      </w:r>
      <w:r w:rsidRPr="00110D6C">
        <w:rPr>
          <w:rFonts w:cs="Times New Roman"/>
          <w:color w:val="auto"/>
          <w:szCs w:val="22"/>
          <w:lang w:val="pt-PT"/>
        </w:rPr>
        <w:t>e 4.5). Se houver um benefício clínico claro para o lactente em particular, pode ser considerada a administração de uma vacina viva num momento anterior, caso não sejam detetáveis níveis séricos de ustecinumab no lactente.</w:t>
      </w:r>
    </w:p>
    <w:p w14:paraId="23876A83" w14:textId="77777777" w:rsidR="0043129A" w:rsidRPr="00110D6C" w:rsidRDefault="0043129A" w:rsidP="00A17623">
      <w:pPr>
        <w:widowControl/>
        <w:rPr>
          <w:rFonts w:cs="Times New Roman"/>
          <w:color w:val="auto"/>
          <w:szCs w:val="22"/>
          <w:lang w:val="pt-PT"/>
        </w:rPr>
      </w:pPr>
    </w:p>
    <w:p w14:paraId="1D0DDCEA"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Amamentação</w:t>
      </w:r>
    </w:p>
    <w:p w14:paraId="37E0AEC3" w14:textId="6DD66590" w:rsidR="0077031F" w:rsidRPr="00110D6C" w:rsidRDefault="00030085" w:rsidP="00A17623">
      <w:pPr>
        <w:widowControl/>
        <w:rPr>
          <w:rFonts w:cs="Times New Roman"/>
          <w:color w:val="auto"/>
          <w:szCs w:val="22"/>
          <w:lang w:val="pt-PT"/>
        </w:rPr>
      </w:pPr>
      <w:r w:rsidRPr="00110D6C">
        <w:rPr>
          <w:rFonts w:cs="Times New Roman"/>
          <w:color w:val="auto"/>
          <w:szCs w:val="22"/>
          <w:lang w:val="pt-PT"/>
        </w:rPr>
        <w:t>As informações limitadas disponíveis na literatura publicada sugerem que o ustecinumab é excretado no leite materno em quantidades muito reduzidas. Desconhece-se se ustecinumab é absorvido sistemicamente após a ingestão. Devido ao potencial de ustecinumab para reações adversas em lactentes, a decisão de interromper a amamentação durante o tratamento e até 1</w:t>
      </w:r>
      <w:r w:rsidR="00B910F9" w:rsidRPr="00110D6C">
        <w:rPr>
          <w:rFonts w:cs="Times New Roman"/>
          <w:color w:val="auto"/>
          <w:szCs w:val="22"/>
          <w:lang w:val="pt-PT"/>
        </w:rPr>
        <w:t>5 </w:t>
      </w:r>
      <w:r w:rsidRPr="00110D6C">
        <w:rPr>
          <w:rFonts w:cs="Times New Roman"/>
          <w:color w:val="auto"/>
          <w:szCs w:val="22"/>
          <w:lang w:val="pt-PT"/>
        </w:rPr>
        <w:t xml:space="preserve">semanas após o tratamento ou de interromper a terapêutica com </w:t>
      </w:r>
      <w:r w:rsidR="00D05FE6" w:rsidRPr="00110D6C">
        <w:rPr>
          <w:rFonts w:cs="Times New Roman"/>
          <w:color w:val="auto"/>
          <w:szCs w:val="22"/>
          <w:lang w:val="pt-PT"/>
        </w:rPr>
        <w:t>F</w:t>
      </w:r>
      <w:r w:rsidR="00E2467D" w:rsidRPr="00110D6C">
        <w:rPr>
          <w:rFonts w:cs="Times New Roman"/>
          <w:color w:val="auto"/>
          <w:szCs w:val="22"/>
          <w:lang w:val="pt-PT"/>
        </w:rPr>
        <w:t>ymskina</w:t>
      </w:r>
      <w:r w:rsidRPr="00110D6C">
        <w:rPr>
          <w:rFonts w:cs="Times New Roman"/>
          <w:color w:val="auto"/>
          <w:szCs w:val="22"/>
          <w:lang w:val="pt-PT"/>
        </w:rPr>
        <w:t xml:space="preserve"> tem que ser tomada tendo em consideração o benefício da amamentação para a criança e o benefício da terapêutica com </w:t>
      </w:r>
      <w:r w:rsidR="00D05FE6" w:rsidRPr="00110D6C">
        <w:rPr>
          <w:rFonts w:cs="Times New Roman"/>
          <w:color w:val="auto"/>
          <w:szCs w:val="22"/>
          <w:lang w:val="pt-PT"/>
        </w:rPr>
        <w:t>F</w:t>
      </w:r>
      <w:r w:rsidR="00E2467D" w:rsidRPr="00110D6C">
        <w:rPr>
          <w:rFonts w:cs="Times New Roman"/>
          <w:color w:val="auto"/>
          <w:szCs w:val="22"/>
          <w:lang w:val="pt-PT"/>
        </w:rPr>
        <w:t>ymskina</w:t>
      </w:r>
      <w:r w:rsidRPr="00110D6C">
        <w:rPr>
          <w:rFonts w:cs="Times New Roman"/>
          <w:color w:val="auto"/>
          <w:szCs w:val="22"/>
          <w:lang w:val="pt-PT"/>
        </w:rPr>
        <w:t xml:space="preserve"> para a mulher.</w:t>
      </w:r>
    </w:p>
    <w:p w14:paraId="419D39B2" w14:textId="77777777" w:rsidR="0043129A" w:rsidRPr="00110D6C" w:rsidRDefault="0043129A" w:rsidP="00A17623">
      <w:pPr>
        <w:widowControl/>
        <w:rPr>
          <w:rFonts w:cs="Times New Roman"/>
          <w:color w:val="auto"/>
          <w:szCs w:val="22"/>
          <w:lang w:val="pt-PT"/>
        </w:rPr>
      </w:pPr>
    </w:p>
    <w:p w14:paraId="47BB26BF"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Fertilidade</w:t>
      </w:r>
    </w:p>
    <w:p w14:paraId="71CA595B"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O efeito de ustecinumab na fertilidade humana não foi avaliado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5.3).</w:t>
      </w:r>
    </w:p>
    <w:p w14:paraId="7AD2EE71" w14:textId="77777777" w:rsidR="00DC3C01" w:rsidRPr="00110D6C" w:rsidRDefault="00DC3C01" w:rsidP="002057DA">
      <w:pPr>
        <w:widowControl/>
        <w:rPr>
          <w:rFonts w:cs="Times New Roman"/>
          <w:bCs/>
          <w:color w:val="auto"/>
          <w:szCs w:val="22"/>
          <w:lang w:val="pt-PT"/>
        </w:rPr>
      </w:pPr>
      <w:bookmarkStart w:id="35" w:name="bookmark68"/>
    </w:p>
    <w:p w14:paraId="091264F5"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4.7</w:t>
      </w:r>
      <w:r w:rsidRPr="00110D6C">
        <w:rPr>
          <w:rFonts w:cs="Times New Roman"/>
          <w:b/>
          <w:bCs/>
          <w:color w:val="auto"/>
          <w:szCs w:val="22"/>
          <w:lang w:val="pt-PT"/>
        </w:rPr>
        <w:tab/>
      </w:r>
      <w:r w:rsidR="00030085" w:rsidRPr="00110D6C">
        <w:rPr>
          <w:rFonts w:cs="Times New Roman"/>
          <w:b/>
          <w:bCs/>
          <w:color w:val="auto"/>
          <w:szCs w:val="22"/>
          <w:lang w:val="pt-PT"/>
        </w:rPr>
        <w:t>Efeitos sobre a capacidade de conduzir e utilizar máquinas</w:t>
      </w:r>
      <w:bookmarkEnd w:id="35"/>
    </w:p>
    <w:p w14:paraId="21B7C0E1" w14:textId="77777777" w:rsidR="00DA7FFC" w:rsidRPr="00110D6C" w:rsidRDefault="00DA7FFC" w:rsidP="00A17623">
      <w:pPr>
        <w:widowControl/>
        <w:rPr>
          <w:rFonts w:cs="Times New Roman"/>
          <w:color w:val="auto"/>
          <w:szCs w:val="22"/>
          <w:lang w:val="pt-PT"/>
        </w:rPr>
      </w:pPr>
    </w:p>
    <w:p w14:paraId="216F4238" w14:textId="550330FC"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Os efeitos de </w:t>
      </w:r>
      <w:r w:rsidR="00D05FE6" w:rsidRPr="00110D6C">
        <w:rPr>
          <w:rFonts w:cs="Times New Roman"/>
          <w:color w:val="auto"/>
          <w:szCs w:val="22"/>
          <w:lang w:val="pt-PT"/>
        </w:rPr>
        <w:t>F</w:t>
      </w:r>
      <w:r w:rsidR="00E2467D" w:rsidRPr="00110D6C">
        <w:rPr>
          <w:rFonts w:cs="Times New Roman"/>
          <w:color w:val="auto"/>
          <w:szCs w:val="22"/>
          <w:lang w:val="pt-PT"/>
        </w:rPr>
        <w:t>ymskina</w:t>
      </w:r>
      <w:r w:rsidRPr="00110D6C">
        <w:rPr>
          <w:rFonts w:cs="Times New Roman"/>
          <w:color w:val="auto"/>
          <w:szCs w:val="22"/>
          <w:lang w:val="pt-PT"/>
        </w:rPr>
        <w:t xml:space="preserve"> sobre a capacidade de conduzir ou utilizar máquinas são nulos ou desprezáveis.</w:t>
      </w:r>
    </w:p>
    <w:p w14:paraId="444C26F3" w14:textId="77777777" w:rsidR="00DC3C01" w:rsidRPr="00110D6C" w:rsidRDefault="00DC3C01" w:rsidP="002057DA">
      <w:pPr>
        <w:widowControl/>
        <w:rPr>
          <w:rFonts w:cs="Times New Roman"/>
          <w:bCs/>
          <w:color w:val="auto"/>
          <w:szCs w:val="22"/>
          <w:lang w:val="pt-PT"/>
        </w:rPr>
      </w:pPr>
      <w:bookmarkStart w:id="36" w:name="bookmark70"/>
    </w:p>
    <w:p w14:paraId="387F127E"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4.8</w:t>
      </w:r>
      <w:r w:rsidRPr="00110D6C">
        <w:rPr>
          <w:rFonts w:cs="Times New Roman"/>
          <w:b/>
          <w:bCs/>
          <w:color w:val="auto"/>
          <w:szCs w:val="22"/>
          <w:lang w:val="pt-PT"/>
        </w:rPr>
        <w:tab/>
      </w:r>
      <w:r w:rsidR="00030085" w:rsidRPr="00110D6C">
        <w:rPr>
          <w:rFonts w:cs="Times New Roman"/>
          <w:b/>
          <w:bCs/>
          <w:color w:val="auto"/>
          <w:szCs w:val="22"/>
          <w:lang w:val="pt-PT"/>
        </w:rPr>
        <w:t>Efeitos indesejáveis</w:t>
      </w:r>
      <w:bookmarkEnd w:id="36"/>
    </w:p>
    <w:p w14:paraId="7DF539EC" w14:textId="77777777" w:rsidR="0043129A" w:rsidRPr="00110D6C" w:rsidRDefault="0043129A" w:rsidP="00A17623">
      <w:pPr>
        <w:widowControl/>
        <w:rPr>
          <w:rFonts w:cs="Times New Roman"/>
          <w:color w:val="auto"/>
          <w:szCs w:val="22"/>
          <w:lang w:val="pt-PT"/>
        </w:rPr>
      </w:pPr>
    </w:p>
    <w:p w14:paraId="43BBFDE2"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Resumo do perfil de segurança</w:t>
      </w:r>
    </w:p>
    <w:p w14:paraId="1E07975A" w14:textId="767B0E22" w:rsidR="0077031F" w:rsidRPr="00110D6C" w:rsidRDefault="00030085" w:rsidP="00A17623">
      <w:pPr>
        <w:widowControl/>
        <w:rPr>
          <w:rFonts w:cs="Times New Roman"/>
          <w:color w:val="auto"/>
          <w:szCs w:val="22"/>
          <w:lang w:val="pt-PT"/>
        </w:rPr>
      </w:pPr>
      <w:r w:rsidRPr="00110D6C">
        <w:rPr>
          <w:rFonts w:cs="Times New Roman"/>
          <w:color w:val="auto"/>
          <w:szCs w:val="22"/>
          <w:lang w:val="pt-PT"/>
        </w:rPr>
        <w:t>As reações adversas mais frequentes (&gt;</w:t>
      </w:r>
      <w:r w:rsidR="00F5387C" w:rsidRPr="00110D6C">
        <w:rPr>
          <w:rFonts w:cs="Times New Roman"/>
          <w:color w:val="auto"/>
          <w:szCs w:val="22"/>
          <w:lang w:val="pt-PT"/>
        </w:rPr>
        <w:t> </w:t>
      </w:r>
      <w:r w:rsidRPr="00110D6C">
        <w:rPr>
          <w:rFonts w:cs="Times New Roman"/>
          <w:color w:val="auto"/>
          <w:szCs w:val="22"/>
          <w:lang w:val="pt-PT"/>
        </w:rPr>
        <w:t xml:space="preserve">5%) nas fases controladas dos estudos clínicos na psoríase em adultos, na artrite psoriática, na doença de Crohn e colite ulcerosa tratadas com ustecinumab foram nasofaringite e cefaleia. A maioria foi considerada de natureza ligeira e não foi necessária a interrupção do tratamento em estudo. As reações adversas mais graves reportadas para </w:t>
      </w:r>
      <w:r w:rsidR="00E2467D" w:rsidRPr="00110D6C">
        <w:rPr>
          <w:rFonts w:cs="Times New Roman"/>
          <w:color w:val="auto"/>
          <w:szCs w:val="22"/>
          <w:lang w:val="pt-PT"/>
        </w:rPr>
        <w:t>ustecinumab</w:t>
      </w:r>
      <w:r w:rsidRPr="00110D6C">
        <w:rPr>
          <w:rFonts w:cs="Times New Roman"/>
          <w:color w:val="auto"/>
          <w:szCs w:val="22"/>
          <w:lang w:val="pt-PT"/>
        </w:rPr>
        <w:t xml:space="preserve"> foram reações de hipersensibilidade graves, incluindo anafilaxia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4.4). O perfil de segurança global foi semelhante nos doentes com psoríase, artrite psoriática, doença de Crohn e colite ulcerosa.</w:t>
      </w:r>
    </w:p>
    <w:p w14:paraId="24461FC7" w14:textId="77777777" w:rsidR="0043129A" w:rsidRPr="00110D6C" w:rsidRDefault="0043129A" w:rsidP="00A17623">
      <w:pPr>
        <w:widowControl/>
        <w:rPr>
          <w:rFonts w:cs="Times New Roman"/>
          <w:color w:val="auto"/>
          <w:szCs w:val="22"/>
          <w:lang w:val="pt-PT"/>
        </w:rPr>
      </w:pPr>
    </w:p>
    <w:p w14:paraId="313DE518"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Lista tabelar das reações adversas</w:t>
      </w:r>
    </w:p>
    <w:p w14:paraId="2E8A8E5B" w14:textId="43B7C758" w:rsidR="0077031F" w:rsidRPr="00110D6C" w:rsidRDefault="00030085" w:rsidP="00A17623">
      <w:pPr>
        <w:widowControl/>
        <w:rPr>
          <w:rFonts w:cs="Times New Roman"/>
          <w:color w:val="auto"/>
          <w:szCs w:val="22"/>
          <w:lang w:val="pt-PT"/>
        </w:rPr>
      </w:pPr>
      <w:r w:rsidRPr="00110D6C">
        <w:rPr>
          <w:rFonts w:cs="Times New Roman"/>
          <w:color w:val="auto"/>
          <w:szCs w:val="22"/>
          <w:lang w:val="pt-PT"/>
        </w:rPr>
        <w:t>Os dados de segurança descritos abaixo refletem a exposição em adultos a ustecinumab em 1</w:t>
      </w:r>
      <w:r w:rsidR="00B910F9" w:rsidRPr="00110D6C">
        <w:rPr>
          <w:rFonts w:cs="Times New Roman"/>
          <w:color w:val="auto"/>
          <w:szCs w:val="22"/>
          <w:lang w:val="pt-PT"/>
        </w:rPr>
        <w:t>4 </w:t>
      </w:r>
      <w:r w:rsidRPr="00110D6C">
        <w:rPr>
          <w:rFonts w:cs="Times New Roman"/>
          <w:color w:val="auto"/>
          <w:szCs w:val="22"/>
          <w:lang w:val="pt-PT"/>
        </w:rPr>
        <w:t xml:space="preserve">estudos de Fase </w:t>
      </w:r>
      <w:r w:rsidR="00B910F9" w:rsidRPr="00110D6C">
        <w:rPr>
          <w:rFonts w:cs="Times New Roman"/>
          <w:color w:val="auto"/>
          <w:szCs w:val="22"/>
          <w:lang w:val="pt-PT"/>
        </w:rPr>
        <w:t>2 </w:t>
      </w:r>
      <w:r w:rsidRPr="00110D6C">
        <w:rPr>
          <w:rFonts w:cs="Times New Roman"/>
          <w:color w:val="auto"/>
          <w:szCs w:val="22"/>
          <w:lang w:val="pt-PT"/>
        </w:rPr>
        <w:t xml:space="preserve">e Fase </w:t>
      </w:r>
      <w:r w:rsidR="00B910F9" w:rsidRPr="00110D6C">
        <w:rPr>
          <w:rFonts w:cs="Times New Roman"/>
          <w:color w:val="auto"/>
          <w:szCs w:val="22"/>
          <w:lang w:val="pt-PT"/>
        </w:rPr>
        <w:t>3 </w:t>
      </w:r>
      <w:r w:rsidRPr="00110D6C">
        <w:rPr>
          <w:rFonts w:cs="Times New Roman"/>
          <w:color w:val="auto"/>
          <w:szCs w:val="22"/>
          <w:lang w:val="pt-PT"/>
        </w:rPr>
        <w:t>envolvendo 67</w:t>
      </w:r>
      <w:r w:rsidR="00162A5F">
        <w:rPr>
          <w:rFonts w:cs="Times New Roman"/>
          <w:color w:val="auto"/>
          <w:szCs w:val="22"/>
          <w:lang w:val="pt-PT"/>
        </w:rPr>
        <w:t>1</w:t>
      </w:r>
      <w:r w:rsidRPr="00110D6C">
        <w:rPr>
          <w:rFonts w:cs="Times New Roman"/>
          <w:color w:val="auto"/>
          <w:szCs w:val="22"/>
          <w:lang w:val="pt-PT"/>
        </w:rPr>
        <w:t>0</w:t>
      </w:r>
      <w:r w:rsidR="00B910F9" w:rsidRPr="00110D6C">
        <w:rPr>
          <w:rFonts w:cs="Times New Roman"/>
          <w:color w:val="auto"/>
          <w:szCs w:val="22"/>
          <w:lang w:val="pt-PT"/>
        </w:rPr>
        <w:t> </w:t>
      </w:r>
      <w:r w:rsidRPr="00110D6C">
        <w:rPr>
          <w:rFonts w:cs="Times New Roman"/>
          <w:color w:val="auto"/>
          <w:szCs w:val="22"/>
          <w:lang w:val="pt-PT"/>
        </w:rPr>
        <w:t>doentes (413</w:t>
      </w:r>
      <w:r w:rsidR="00B910F9" w:rsidRPr="00110D6C">
        <w:rPr>
          <w:rFonts w:cs="Times New Roman"/>
          <w:color w:val="auto"/>
          <w:szCs w:val="22"/>
          <w:lang w:val="pt-PT"/>
        </w:rPr>
        <w:t>5 </w:t>
      </w:r>
      <w:r w:rsidRPr="00110D6C">
        <w:rPr>
          <w:rFonts w:cs="Times New Roman"/>
          <w:color w:val="auto"/>
          <w:szCs w:val="22"/>
          <w:lang w:val="pt-PT"/>
        </w:rPr>
        <w:t>com psoríase e/ou artrite psoriática, 174</w:t>
      </w:r>
      <w:r w:rsidR="00B910F9" w:rsidRPr="00110D6C">
        <w:rPr>
          <w:rFonts w:cs="Times New Roman"/>
          <w:color w:val="auto"/>
          <w:szCs w:val="22"/>
          <w:lang w:val="pt-PT"/>
        </w:rPr>
        <w:t>9 </w:t>
      </w:r>
      <w:r w:rsidRPr="00110D6C">
        <w:rPr>
          <w:rFonts w:cs="Times New Roman"/>
          <w:color w:val="auto"/>
          <w:szCs w:val="22"/>
          <w:lang w:val="pt-PT"/>
        </w:rPr>
        <w:t>com doença de Crohn e 82</w:t>
      </w:r>
      <w:r w:rsidR="00162A5F">
        <w:rPr>
          <w:rFonts w:cs="Times New Roman"/>
          <w:color w:val="auto"/>
          <w:szCs w:val="22"/>
          <w:lang w:val="pt-PT"/>
        </w:rPr>
        <w:t>6</w:t>
      </w:r>
      <w:r w:rsidR="00B910F9" w:rsidRPr="00110D6C">
        <w:rPr>
          <w:rFonts w:cs="Times New Roman"/>
          <w:color w:val="auto"/>
          <w:szCs w:val="22"/>
          <w:lang w:val="pt-PT"/>
        </w:rPr>
        <w:t> </w:t>
      </w:r>
      <w:r w:rsidRPr="00110D6C">
        <w:rPr>
          <w:rFonts w:cs="Times New Roman"/>
          <w:color w:val="auto"/>
          <w:szCs w:val="22"/>
          <w:lang w:val="pt-PT"/>
        </w:rPr>
        <w:t xml:space="preserve">doentes com colite ulcerosa). Isto inclui exposição a </w:t>
      </w:r>
      <w:r w:rsidR="00E2467D" w:rsidRPr="00110D6C">
        <w:rPr>
          <w:rFonts w:cs="Times New Roman"/>
          <w:color w:val="auto"/>
          <w:szCs w:val="22"/>
          <w:lang w:val="pt-PT"/>
        </w:rPr>
        <w:t>ustecinumab</w:t>
      </w:r>
      <w:r w:rsidRPr="00110D6C">
        <w:rPr>
          <w:rFonts w:cs="Times New Roman"/>
          <w:color w:val="auto"/>
          <w:szCs w:val="22"/>
          <w:lang w:val="pt-PT"/>
        </w:rPr>
        <w:t xml:space="preserve"> durante as fases controladas e não controladas dos estudos clínicos </w:t>
      </w:r>
      <w:r w:rsidR="00162A5F">
        <w:rPr>
          <w:bCs/>
          <w:szCs w:val="22"/>
        </w:rPr>
        <w:t>em doentes com psoríase, artrite psoriática, doença de Crohn e colite ulcerosa</w:t>
      </w:r>
      <w:r w:rsidR="00162A5F" w:rsidRPr="00E124FE">
        <w:rPr>
          <w:bCs/>
          <w:szCs w:val="22"/>
        </w:rPr>
        <w:t xml:space="preserve"> </w:t>
      </w:r>
      <w:r w:rsidRPr="00110D6C">
        <w:rPr>
          <w:rFonts w:cs="Times New Roman"/>
          <w:color w:val="auto"/>
          <w:szCs w:val="22"/>
          <w:lang w:val="pt-PT"/>
        </w:rPr>
        <w:t xml:space="preserve">durante, pelo menos, </w:t>
      </w:r>
      <w:r w:rsidR="00B910F9" w:rsidRPr="00110D6C">
        <w:rPr>
          <w:rFonts w:cs="Times New Roman"/>
          <w:color w:val="auto"/>
          <w:szCs w:val="22"/>
          <w:lang w:val="pt-PT"/>
        </w:rPr>
        <w:t>6 </w:t>
      </w:r>
      <w:r w:rsidRPr="00110D6C">
        <w:rPr>
          <w:rFonts w:cs="Times New Roman"/>
          <w:color w:val="auto"/>
          <w:szCs w:val="22"/>
          <w:lang w:val="pt-PT"/>
        </w:rPr>
        <w:t>meses (457</w:t>
      </w:r>
      <w:r w:rsidR="00B910F9" w:rsidRPr="00110D6C">
        <w:rPr>
          <w:rFonts w:cs="Times New Roman"/>
          <w:color w:val="auto"/>
          <w:szCs w:val="22"/>
          <w:lang w:val="pt-PT"/>
        </w:rPr>
        <w:t>7 </w:t>
      </w:r>
      <w:r w:rsidR="00162A5F">
        <w:rPr>
          <w:rFonts w:cs="Times New Roman"/>
          <w:color w:val="auto"/>
          <w:szCs w:val="22"/>
          <w:lang w:val="pt-PT"/>
        </w:rPr>
        <w:t xml:space="preserve">doentes) </w:t>
      </w:r>
      <w:r w:rsidR="00162A5F">
        <w:rPr>
          <w:szCs w:val="22"/>
        </w:rPr>
        <w:t>ou, pelo menos, 1 ano (</w:t>
      </w:r>
      <w:r w:rsidR="00162A5F">
        <w:rPr>
          <w:bCs/>
          <w:szCs w:val="22"/>
        </w:rPr>
        <w:t>3648</w:t>
      </w:r>
      <w:r w:rsidR="00B910F9" w:rsidRPr="00110D6C">
        <w:rPr>
          <w:rFonts w:cs="Times New Roman"/>
          <w:color w:val="auto"/>
          <w:szCs w:val="22"/>
          <w:lang w:val="pt-PT"/>
        </w:rPr>
        <w:t> </w:t>
      </w:r>
      <w:r w:rsidRPr="00110D6C">
        <w:rPr>
          <w:rFonts w:cs="Times New Roman"/>
          <w:color w:val="auto"/>
          <w:szCs w:val="22"/>
          <w:lang w:val="pt-PT"/>
        </w:rPr>
        <w:t>doentes</w:t>
      </w:r>
      <w:r w:rsidR="00162A5F">
        <w:rPr>
          <w:rFonts w:cs="Times New Roman"/>
          <w:color w:val="auto"/>
          <w:szCs w:val="22"/>
          <w:lang w:val="pt-PT"/>
        </w:rPr>
        <w:t>).</w:t>
      </w:r>
      <w:r w:rsidRPr="00110D6C">
        <w:rPr>
          <w:rFonts w:cs="Times New Roman"/>
          <w:color w:val="auto"/>
          <w:szCs w:val="22"/>
          <w:lang w:val="pt-PT"/>
        </w:rPr>
        <w:t xml:space="preserve"> </w:t>
      </w:r>
      <w:r w:rsidR="00162A5F">
        <w:rPr>
          <w:bCs/>
          <w:szCs w:val="22"/>
        </w:rPr>
        <w:t>Um total de 2194 doentes</w:t>
      </w:r>
      <w:r w:rsidR="00162A5F" w:rsidRPr="00E124FE">
        <w:rPr>
          <w:bCs/>
          <w:szCs w:val="22"/>
        </w:rPr>
        <w:t xml:space="preserve"> </w:t>
      </w:r>
      <w:r w:rsidRPr="00110D6C">
        <w:rPr>
          <w:rFonts w:cs="Times New Roman"/>
          <w:color w:val="auto"/>
          <w:szCs w:val="22"/>
          <w:lang w:val="pt-PT"/>
        </w:rPr>
        <w:t>com psoríase, doença de Crohn ou colite ulcerosa</w:t>
      </w:r>
      <w:r w:rsidR="00162A5F">
        <w:rPr>
          <w:rFonts w:cs="Times New Roman"/>
          <w:color w:val="auto"/>
          <w:szCs w:val="22"/>
          <w:lang w:val="pt-PT"/>
        </w:rPr>
        <w:t xml:space="preserve"> foram expostos</w:t>
      </w:r>
      <w:r w:rsidRPr="00110D6C">
        <w:rPr>
          <w:rFonts w:cs="Times New Roman"/>
          <w:color w:val="auto"/>
          <w:szCs w:val="22"/>
          <w:lang w:val="pt-PT"/>
        </w:rPr>
        <w:t xml:space="preserve"> durante</w:t>
      </w:r>
      <w:r w:rsidR="00EE597D">
        <w:rPr>
          <w:rFonts w:cs="Times New Roman"/>
          <w:color w:val="auto"/>
          <w:szCs w:val="22"/>
          <w:lang w:val="pt-PT"/>
        </w:rPr>
        <w:t>,</w:t>
      </w:r>
      <w:r w:rsidRPr="00110D6C">
        <w:rPr>
          <w:rFonts w:cs="Times New Roman"/>
          <w:color w:val="auto"/>
          <w:szCs w:val="22"/>
          <w:lang w:val="pt-PT"/>
        </w:rPr>
        <w:t xml:space="preserve"> pelo menos</w:t>
      </w:r>
      <w:r w:rsidR="00EE597D">
        <w:rPr>
          <w:rFonts w:cs="Times New Roman"/>
          <w:color w:val="auto"/>
          <w:szCs w:val="22"/>
          <w:lang w:val="pt-PT"/>
        </w:rPr>
        <w:t>,</w:t>
      </w:r>
      <w:r w:rsidRPr="00110D6C">
        <w:rPr>
          <w:rFonts w:cs="Times New Roman"/>
          <w:color w:val="auto"/>
          <w:szCs w:val="22"/>
          <w:lang w:val="pt-PT"/>
        </w:rPr>
        <w:t xml:space="preserve"> </w:t>
      </w:r>
      <w:r w:rsidR="00B910F9" w:rsidRPr="00110D6C">
        <w:rPr>
          <w:rFonts w:cs="Times New Roman"/>
          <w:color w:val="auto"/>
          <w:szCs w:val="22"/>
          <w:lang w:val="pt-PT"/>
        </w:rPr>
        <w:t>4 </w:t>
      </w:r>
      <w:r w:rsidRPr="00110D6C">
        <w:rPr>
          <w:rFonts w:cs="Times New Roman"/>
          <w:color w:val="auto"/>
          <w:szCs w:val="22"/>
          <w:lang w:val="pt-PT"/>
        </w:rPr>
        <w:t xml:space="preserve">anos </w:t>
      </w:r>
      <w:r w:rsidR="00162A5F">
        <w:rPr>
          <w:rFonts w:cs="Times New Roman"/>
          <w:color w:val="auto"/>
          <w:szCs w:val="22"/>
          <w:lang w:val="pt-PT"/>
        </w:rPr>
        <w:t xml:space="preserve">enquanto </w:t>
      </w:r>
      <w:r w:rsidR="00491395">
        <w:rPr>
          <w:rFonts w:cs="Times New Roman"/>
          <w:color w:val="auto"/>
          <w:szCs w:val="22"/>
          <w:lang w:val="pt-PT"/>
        </w:rPr>
        <w:t>1148</w:t>
      </w:r>
      <w:r w:rsidR="00B910F9" w:rsidRPr="00110D6C">
        <w:rPr>
          <w:rFonts w:cs="Times New Roman"/>
          <w:color w:val="auto"/>
          <w:szCs w:val="22"/>
          <w:lang w:val="pt-PT"/>
        </w:rPr>
        <w:t> </w:t>
      </w:r>
      <w:r w:rsidRPr="00110D6C">
        <w:rPr>
          <w:rFonts w:cs="Times New Roman"/>
          <w:color w:val="auto"/>
          <w:szCs w:val="22"/>
          <w:lang w:val="pt-PT"/>
        </w:rPr>
        <w:t>doentes com psoríase</w:t>
      </w:r>
      <w:r w:rsidR="00491395">
        <w:rPr>
          <w:rFonts w:cs="Times New Roman"/>
          <w:color w:val="auto"/>
          <w:szCs w:val="22"/>
          <w:lang w:val="pt-PT"/>
        </w:rPr>
        <w:t xml:space="preserve"> </w:t>
      </w:r>
      <w:r w:rsidR="00491395">
        <w:rPr>
          <w:bCs/>
          <w:szCs w:val="22"/>
        </w:rPr>
        <w:t>ou doença de Crohn foram expostos durante, pelo menos, 5 anos</w:t>
      </w:r>
      <w:r w:rsidRPr="00110D6C">
        <w:rPr>
          <w:rFonts w:cs="Times New Roman"/>
          <w:color w:val="auto"/>
          <w:szCs w:val="22"/>
          <w:lang w:val="pt-PT"/>
        </w:rPr>
        <w:t>.</w:t>
      </w:r>
    </w:p>
    <w:p w14:paraId="1483FB39" w14:textId="77777777" w:rsidR="0043129A" w:rsidRPr="00110D6C" w:rsidRDefault="0043129A" w:rsidP="00A17623">
      <w:pPr>
        <w:widowControl/>
        <w:rPr>
          <w:rFonts w:cs="Times New Roman"/>
          <w:color w:val="auto"/>
          <w:szCs w:val="22"/>
          <w:lang w:val="pt-PT"/>
        </w:rPr>
      </w:pPr>
    </w:p>
    <w:p w14:paraId="26497C18" w14:textId="6FF14982" w:rsidR="0077031F" w:rsidRPr="00110D6C" w:rsidRDefault="00030085" w:rsidP="00A17623">
      <w:pPr>
        <w:widowControl/>
        <w:rPr>
          <w:rFonts w:cs="Times New Roman"/>
          <w:color w:val="auto"/>
          <w:szCs w:val="22"/>
          <w:lang w:val="pt-PT"/>
        </w:rPr>
      </w:pPr>
      <w:r w:rsidRPr="00110D6C">
        <w:rPr>
          <w:rFonts w:cs="Times New Roman"/>
          <w:color w:val="auto"/>
          <w:szCs w:val="22"/>
          <w:lang w:val="pt-PT"/>
        </w:rPr>
        <w:t>A Tabela</w:t>
      </w:r>
      <w:r w:rsidR="00982985" w:rsidRPr="00110D6C">
        <w:rPr>
          <w:rFonts w:cs="Times New Roman"/>
          <w:color w:val="auto"/>
          <w:szCs w:val="22"/>
          <w:lang w:val="pt-PT"/>
        </w:rPr>
        <w:t> </w:t>
      </w:r>
      <w:r w:rsidR="00E2467D">
        <w:rPr>
          <w:rFonts w:cs="Times New Roman"/>
          <w:color w:val="auto"/>
          <w:szCs w:val="22"/>
          <w:lang w:val="pt-PT"/>
        </w:rPr>
        <w:t>2</w:t>
      </w:r>
      <w:r w:rsidR="00982985" w:rsidRPr="00110D6C">
        <w:rPr>
          <w:rFonts w:cs="Times New Roman"/>
          <w:color w:val="auto"/>
          <w:szCs w:val="22"/>
          <w:lang w:val="pt-PT"/>
        </w:rPr>
        <w:t xml:space="preserve"> </w:t>
      </w:r>
      <w:r w:rsidRPr="00110D6C">
        <w:rPr>
          <w:rFonts w:cs="Times New Roman"/>
          <w:color w:val="auto"/>
          <w:szCs w:val="22"/>
          <w:lang w:val="pt-PT"/>
        </w:rPr>
        <w:t>apresenta uma lista das reações adversas dos estudos clínicos na psoríase em adultos, na artrite psoriática, na doença de Crohn e colite ulcerosa, assim como as reações reportadas durante a experiência pós-comercialização. As reações adversas são classificadas pela classe de sistemas de órgãos e por frequência, utilizando a seguinte convenção: Muito frequentes (≥</w:t>
      </w:r>
      <w:r w:rsidR="00F5387C" w:rsidRPr="00110D6C">
        <w:rPr>
          <w:rFonts w:cs="Times New Roman"/>
          <w:color w:val="auto"/>
          <w:szCs w:val="22"/>
          <w:lang w:val="pt-PT"/>
        </w:rPr>
        <w:t> </w:t>
      </w:r>
      <w:r w:rsidRPr="00110D6C">
        <w:rPr>
          <w:rFonts w:cs="Times New Roman"/>
          <w:color w:val="auto"/>
          <w:szCs w:val="22"/>
          <w:lang w:val="pt-PT"/>
        </w:rPr>
        <w:t>1/10), Frequentes (≥</w:t>
      </w:r>
      <w:r w:rsidR="00F5387C" w:rsidRPr="00110D6C">
        <w:rPr>
          <w:rFonts w:cs="Times New Roman"/>
          <w:color w:val="auto"/>
          <w:szCs w:val="22"/>
          <w:lang w:val="pt-PT"/>
        </w:rPr>
        <w:t> </w:t>
      </w:r>
      <w:r w:rsidRPr="00110D6C">
        <w:rPr>
          <w:rFonts w:cs="Times New Roman"/>
          <w:color w:val="auto"/>
          <w:szCs w:val="22"/>
          <w:lang w:val="pt-PT"/>
        </w:rPr>
        <w:t>1/10</w:t>
      </w:r>
      <w:r w:rsidR="00B910F9" w:rsidRPr="00110D6C">
        <w:rPr>
          <w:rFonts w:cs="Times New Roman"/>
          <w:color w:val="auto"/>
          <w:szCs w:val="22"/>
          <w:lang w:val="pt-PT"/>
        </w:rPr>
        <w:t>0 </w:t>
      </w:r>
      <w:r w:rsidRPr="00110D6C">
        <w:rPr>
          <w:rFonts w:cs="Times New Roman"/>
          <w:color w:val="auto"/>
          <w:szCs w:val="22"/>
          <w:lang w:val="pt-PT"/>
        </w:rPr>
        <w:t>a &lt;</w:t>
      </w:r>
      <w:r w:rsidR="00F5387C" w:rsidRPr="00110D6C">
        <w:rPr>
          <w:rFonts w:cs="Times New Roman"/>
          <w:color w:val="auto"/>
          <w:szCs w:val="22"/>
          <w:lang w:val="pt-PT"/>
        </w:rPr>
        <w:t> </w:t>
      </w:r>
      <w:r w:rsidRPr="00110D6C">
        <w:rPr>
          <w:rFonts w:cs="Times New Roman"/>
          <w:color w:val="auto"/>
          <w:szCs w:val="22"/>
          <w:lang w:val="pt-PT"/>
        </w:rPr>
        <w:t>1/10), Pouco frequentes (≥</w:t>
      </w:r>
      <w:r w:rsidR="00F5387C" w:rsidRPr="00110D6C">
        <w:rPr>
          <w:rFonts w:cs="Times New Roman"/>
          <w:color w:val="auto"/>
          <w:szCs w:val="22"/>
          <w:lang w:val="pt-PT"/>
        </w:rPr>
        <w:t> </w:t>
      </w:r>
      <w:r w:rsidRPr="00110D6C">
        <w:rPr>
          <w:rFonts w:cs="Times New Roman"/>
          <w:color w:val="auto"/>
          <w:szCs w:val="22"/>
          <w:lang w:val="pt-PT"/>
        </w:rPr>
        <w:t>1/100</w:t>
      </w:r>
      <w:r w:rsidR="00B910F9" w:rsidRPr="00110D6C">
        <w:rPr>
          <w:rFonts w:cs="Times New Roman"/>
          <w:color w:val="auto"/>
          <w:szCs w:val="22"/>
          <w:lang w:val="pt-PT"/>
        </w:rPr>
        <w:t>0 </w:t>
      </w:r>
      <w:r w:rsidRPr="00110D6C">
        <w:rPr>
          <w:rFonts w:cs="Times New Roman"/>
          <w:color w:val="auto"/>
          <w:szCs w:val="22"/>
          <w:lang w:val="pt-PT"/>
        </w:rPr>
        <w:t>a &lt;</w:t>
      </w:r>
      <w:r w:rsidR="00F5387C" w:rsidRPr="00110D6C">
        <w:rPr>
          <w:rFonts w:cs="Times New Roman"/>
          <w:color w:val="auto"/>
          <w:szCs w:val="22"/>
          <w:lang w:val="pt-PT"/>
        </w:rPr>
        <w:t> </w:t>
      </w:r>
      <w:r w:rsidRPr="00110D6C">
        <w:rPr>
          <w:rFonts w:cs="Times New Roman"/>
          <w:color w:val="auto"/>
          <w:szCs w:val="22"/>
          <w:lang w:val="pt-PT"/>
        </w:rPr>
        <w:t>1/100), Raras (≥</w:t>
      </w:r>
      <w:r w:rsidR="00F5387C" w:rsidRPr="00110D6C">
        <w:rPr>
          <w:rFonts w:cs="Times New Roman"/>
          <w:color w:val="auto"/>
          <w:szCs w:val="22"/>
          <w:lang w:val="pt-PT"/>
        </w:rPr>
        <w:t> </w:t>
      </w:r>
      <w:r w:rsidRPr="00110D6C">
        <w:rPr>
          <w:rFonts w:cs="Times New Roman"/>
          <w:color w:val="auto"/>
          <w:szCs w:val="22"/>
          <w:lang w:val="pt-PT"/>
        </w:rPr>
        <w:t>1/1</w:t>
      </w:r>
      <w:r w:rsidR="00B910F9" w:rsidRPr="00110D6C">
        <w:rPr>
          <w:rFonts w:cs="Times New Roman"/>
          <w:color w:val="auto"/>
          <w:szCs w:val="22"/>
          <w:lang w:val="pt-PT"/>
        </w:rPr>
        <w:t>0 </w:t>
      </w:r>
      <w:r w:rsidRPr="00110D6C">
        <w:rPr>
          <w:rFonts w:cs="Times New Roman"/>
          <w:color w:val="auto"/>
          <w:szCs w:val="22"/>
          <w:lang w:val="pt-PT"/>
        </w:rPr>
        <w:t>00</w:t>
      </w:r>
      <w:r w:rsidR="00B910F9" w:rsidRPr="00110D6C">
        <w:rPr>
          <w:rFonts w:cs="Times New Roman"/>
          <w:color w:val="auto"/>
          <w:szCs w:val="22"/>
          <w:lang w:val="pt-PT"/>
        </w:rPr>
        <w:t>0 </w:t>
      </w:r>
      <w:r w:rsidRPr="00110D6C">
        <w:rPr>
          <w:rFonts w:cs="Times New Roman"/>
          <w:color w:val="auto"/>
          <w:szCs w:val="22"/>
          <w:lang w:val="pt-PT"/>
        </w:rPr>
        <w:t>a &lt;</w:t>
      </w:r>
      <w:r w:rsidR="00F5387C" w:rsidRPr="00110D6C">
        <w:rPr>
          <w:rFonts w:cs="Times New Roman"/>
          <w:color w:val="auto"/>
          <w:szCs w:val="22"/>
          <w:lang w:val="pt-PT"/>
        </w:rPr>
        <w:t> </w:t>
      </w:r>
      <w:r w:rsidRPr="00110D6C">
        <w:rPr>
          <w:rFonts w:cs="Times New Roman"/>
          <w:color w:val="auto"/>
          <w:szCs w:val="22"/>
          <w:lang w:val="pt-PT"/>
        </w:rPr>
        <w:t>1/1000), Muito raras (&lt;</w:t>
      </w:r>
      <w:r w:rsidR="00F5387C" w:rsidRPr="00110D6C">
        <w:rPr>
          <w:rFonts w:cs="Times New Roman"/>
          <w:color w:val="auto"/>
          <w:szCs w:val="22"/>
          <w:lang w:val="pt-PT"/>
        </w:rPr>
        <w:t> </w:t>
      </w:r>
      <w:r w:rsidRPr="00110D6C">
        <w:rPr>
          <w:rFonts w:cs="Times New Roman"/>
          <w:color w:val="auto"/>
          <w:szCs w:val="22"/>
          <w:lang w:val="pt-PT"/>
        </w:rPr>
        <w:t>1/1</w:t>
      </w:r>
      <w:r w:rsidR="00B910F9" w:rsidRPr="00110D6C">
        <w:rPr>
          <w:rFonts w:cs="Times New Roman"/>
          <w:color w:val="auto"/>
          <w:szCs w:val="22"/>
          <w:lang w:val="pt-PT"/>
        </w:rPr>
        <w:t>0 </w:t>
      </w:r>
      <w:r w:rsidRPr="00110D6C">
        <w:rPr>
          <w:rFonts w:cs="Times New Roman"/>
          <w:color w:val="auto"/>
          <w:szCs w:val="22"/>
          <w:lang w:val="pt-PT"/>
        </w:rPr>
        <w:t>000), desconhecido (não pode ser calculado a partir dos dados disponíveis). As reações adversas são apresentadas por ordem decrescente de gravidade dentro de cada classe de frequência.</w:t>
      </w:r>
    </w:p>
    <w:p w14:paraId="6C2A7C02" w14:textId="77777777" w:rsidR="0043129A" w:rsidRPr="00110D6C" w:rsidRDefault="0043129A" w:rsidP="00A17623">
      <w:pPr>
        <w:widowControl/>
        <w:rPr>
          <w:rFonts w:cs="Times New Roman"/>
          <w:iCs/>
          <w:color w:val="auto"/>
          <w:szCs w:val="22"/>
          <w:lang w:val="pt-PT"/>
        </w:rPr>
      </w:pPr>
    </w:p>
    <w:p w14:paraId="34E44A05" w14:textId="169DF890" w:rsidR="0077031F" w:rsidRPr="00110D6C" w:rsidRDefault="00030085" w:rsidP="0043129A">
      <w:pPr>
        <w:widowControl/>
        <w:ind w:left="1134" w:hanging="1134"/>
        <w:rPr>
          <w:rFonts w:cs="Times New Roman"/>
          <w:color w:val="auto"/>
          <w:szCs w:val="22"/>
          <w:lang w:val="pt-PT"/>
        </w:rPr>
      </w:pPr>
      <w:r w:rsidRPr="00110D6C">
        <w:rPr>
          <w:rFonts w:cs="Times New Roman"/>
          <w:i/>
          <w:iCs/>
          <w:color w:val="auto"/>
          <w:szCs w:val="22"/>
          <w:lang w:val="pt-PT"/>
        </w:rPr>
        <w:t>Tabela</w:t>
      </w:r>
      <w:r w:rsidR="00982985" w:rsidRPr="00110D6C">
        <w:rPr>
          <w:rFonts w:cs="Times New Roman"/>
          <w:i/>
          <w:iCs/>
          <w:color w:val="auto"/>
          <w:szCs w:val="22"/>
          <w:lang w:val="pt-PT"/>
        </w:rPr>
        <w:t> </w:t>
      </w:r>
      <w:r w:rsidR="00E2467D">
        <w:rPr>
          <w:rFonts w:cs="Times New Roman"/>
          <w:i/>
          <w:iCs/>
          <w:color w:val="auto"/>
          <w:szCs w:val="22"/>
          <w:lang w:val="pt-PT"/>
        </w:rPr>
        <w:t>2</w:t>
      </w:r>
      <w:r w:rsidR="0043129A" w:rsidRPr="00110D6C">
        <w:rPr>
          <w:rFonts w:cs="Times New Roman"/>
          <w:i/>
          <w:iCs/>
          <w:color w:val="auto"/>
          <w:szCs w:val="22"/>
          <w:lang w:val="pt-PT"/>
        </w:rPr>
        <w:tab/>
      </w:r>
      <w:r w:rsidRPr="00110D6C">
        <w:rPr>
          <w:rFonts w:cs="Times New Roman"/>
          <w:i/>
          <w:iCs/>
          <w:color w:val="auto"/>
          <w:szCs w:val="22"/>
          <w:lang w:val="pt-PT"/>
        </w:rPr>
        <w:t>Lista das reações adversas</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731"/>
        <w:gridCol w:w="6327"/>
        <w:gridCol w:w="33"/>
      </w:tblGrid>
      <w:tr w:rsidR="0077031F" w:rsidRPr="00110D6C" w14:paraId="27F48FE6" w14:textId="77777777" w:rsidTr="0043129A">
        <w:tc>
          <w:tcPr>
            <w:tcW w:w="2731" w:type="dxa"/>
            <w:shd w:val="clear" w:color="auto" w:fill="auto"/>
          </w:tcPr>
          <w:p w14:paraId="34F86DDF" w14:textId="77777777" w:rsidR="0077031F" w:rsidRPr="00110D6C" w:rsidRDefault="00030085" w:rsidP="0043129A">
            <w:pPr>
              <w:widowControl/>
              <w:rPr>
                <w:rFonts w:cs="Times New Roman"/>
                <w:color w:val="auto"/>
                <w:szCs w:val="22"/>
                <w:lang w:val="pt-PT"/>
              </w:rPr>
            </w:pPr>
            <w:r w:rsidRPr="00110D6C">
              <w:rPr>
                <w:rFonts w:cs="Times New Roman"/>
                <w:b/>
                <w:bCs/>
                <w:color w:val="auto"/>
                <w:szCs w:val="22"/>
                <w:lang w:val="pt-PT"/>
              </w:rPr>
              <w:t>Classe de Sistemas de</w:t>
            </w:r>
            <w:r w:rsidR="0043129A" w:rsidRPr="00110D6C">
              <w:rPr>
                <w:rFonts w:cs="Times New Roman"/>
                <w:b/>
                <w:bCs/>
                <w:color w:val="auto"/>
                <w:szCs w:val="22"/>
                <w:lang w:val="pt-PT"/>
              </w:rPr>
              <w:t xml:space="preserve"> </w:t>
            </w:r>
            <w:r w:rsidRPr="00110D6C">
              <w:rPr>
                <w:rFonts w:cs="Times New Roman"/>
                <w:b/>
                <w:bCs/>
                <w:color w:val="auto"/>
                <w:szCs w:val="22"/>
                <w:lang w:val="pt-PT"/>
              </w:rPr>
              <w:t>Órgãos</w:t>
            </w:r>
          </w:p>
        </w:tc>
        <w:tc>
          <w:tcPr>
            <w:tcW w:w="6355" w:type="dxa"/>
            <w:gridSpan w:val="2"/>
            <w:shd w:val="clear" w:color="auto" w:fill="auto"/>
          </w:tcPr>
          <w:p w14:paraId="399BC580" w14:textId="77777777" w:rsidR="0077031F" w:rsidRPr="00110D6C" w:rsidRDefault="00030085" w:rsidP="0043129A">
            <w:pPr>
              <w:widowControl/>
              <w:rPr>
                <w:rFonts w:cs="Times New Roman"/>
                <w:color w:val="auto"/>
                <w:szCs w:val="22"/>
                <w:lang w:val="pt-PT"/>
              </w:rPr>
            </w:pPr>
            <w:r w:rsidRPr="00110D6C">
              <w:rPr>
                <w:rFonts w:cs="Times New Roman"/>
                <w:b/>
                <w:bCs/>
                <w:color w:val="auto"/>
                <w:szCs w:val="22"/>
                <w:lang w:val="pt-PT"/>
              </w:rPr>
              <w:t>Frequência: Reação adversa</w:t>
            </w:r>
          </w:p>
        </w:tc>
      </w:tr>
      <w:tr w:rsidR="0077031F" w:rsidRPr="00110D6C" w14:paraId="177D4A3B" w14:textId="77777777" w:rsidTr="0043129A">
        <w:tc>
          <w:tcPr>
            <w:tcW w:w="2731" w:type="dxa"/>
            <w:shd w:val="clear" w:color="auto" w:fill="auto"/>
          </w:tcPr>
          <w:p w14:paraId="6C414092" w14:textId="77777777" w:rsidR="0077031F" w:rsidRPr="00110D6C" w:rsidRDefault="00030085" w:rsidP="0043129A">
            <w:pPr>
              <w:widowControl/>
              <w:rPr>
                <w:rFonts w:cs="Times New Roman"/>
                <w:color w:val="auto"/>
                <w:szCs w:val="22"/>
                <w:lang w:val="pt-PT"/>
              </w:rPr>
            </w:pPr>
            <w:r w:rsidRPr="00110D6C">
              <w:rPr>
                <w:rFonts w:cs="Times New Roman"/>
                <w:color w:val="auto"/>
                <w:szCs w:val="22"/>
                <w:lang w:val="pt-PT"/>
              </w:rPr>
              <w:t>Infeções e infestações</w:t>
            </w:r>
          </w:p>
        </w:tc>
        <w:tc>
          <w:tcPr>
            <w:tcW w:w="6355" w:type="dxa"/>
            <w:gridSpan w:val="2"/>
            <w:shd w:val="clear" w:color="auto" w:fill="auto"/>
          </w:tcPr>
          <w:p w14:paraId="1E570EF6" w14:textId="77777777" w:rsidR="0077031F" w:rsidRPr="00110D6C" w:rsidRDefault="00030085" w:rsidP="0043129A">
            <w:pPr>
              <w:widowControl/>
              <w:rPr>
                <w:rFonts w:cs="Times New Roman"/>
                <w:color w:val="auto"/>
                <w:szCs w:val="22"/>
                <w:lang w:val="pt-PT"/>
              </w:rPr>
            </w:pPr>
            <w:r w:rsidRPr="00110D6C">
              <w:rPr>
                <w:rFonts w:cs="Times New Roman"/>
                <w:color w:val="auto"/>
                <w:szCs w:val="22"/>
                <w:lang w:val="pt-PT"/>
              </w:rPr>
              <w:t>Frequentes: Infeção das vias respiratórias superiores, nasofaringite, sinusite</w:t>
            </w:r>
          </w:p>
          <w:p w14:paraId="0CE5B8D4" w14:textId="77777777" w:rsidR="0077031F" w:rsidRPr="00110D6C" w:rsidRDefault="00030085" w:rsidP="0043129A">
            <w:pPr>
              <w:widowControl/>
              <w:rPr>
                <w:rFonts w:cs="Times New Roman"/>
                <w:color w:val="auto"/>
                <w:szCs w:val="22"/>
                <w:lang w:val="pt-PT"/>
              </w:rPr>
            </w:pPr>
            <w:r w:rsidRPr="00110D6C">
              <w:rPr>
                <w:rFonts w:cs="Times New Roman"/>
                <w:color w:val="auto"/>
                <w:szCs w:val="22"/>
                <w:lang w:val="pt-PT"/>
              </w:rPr>
              <w:lastRenderedPageBreak/>
              <w:t>Pouco frequentes: Celulite, infeções dentárias, herpes zoster, infeção das vias respiratórias inferiores, infeção viral do trato respiratório superior, infeção micótica vulvovaginal</w:t>
            </w:r>
          </w:p>
          <w:p w14:paraId="63F05F1A" w14:textId="77777777" w:rsidR="0043129A" w:rsidRPr="00110D6C" w:rsidRDefault="0043129A" w:rsidP="0043129A">
            <w:pPr>
              <w:widowControl/>
              <w:rPr>
                <w:rFonts w:cs="Times New Roman"/>
                <w:color w:val="auto"/>
                <w:szCs w:val="22"/>
                <w:lang w:val="pt-PT"/>
              </w:rPr>
            </w:pPr>
          </w:p>
        </w:tc>
      </w:tr>
      <w:tr w:rsidR="0077031F" w:rsidRPr="00110D6C" w14:paraId="29F5A2AC" w14:textId="77777777" w:rsidTr="0043129A">
        <w:tc>
          <w:tcPr>
            <w:tcW w:w="2731" w:type="dxa"/>
            <w:shd w:val="clear" w:color="auto" w:fill="auto"/>
          </w:tcPr>
          <w:p w14:paraId="3C956E7C" w14:textId="77777777" w:rsidR="0077031F" w:rsidRPr="00110D6C" w:rsidRDefault="00030085" w:rsidP="0043129A">
            <w:pPr>
              <w:widowControl/>
              <w:rPr>
                <w:rFonts w:cs="Times New Roman"/>
                <w:color w:val="auto"/>
                <w:szCs w:val="22"/>
                <w:lang w:val="pt-PT"/>
              </w:rPr>
            </w:pPr>
            <w:r w:rsidRPr="00110D6C">
              <w:rPr>
                <w:rFonts w:cs="Times New Roman"/>
                <w:color w:val="auto"/>
                <w:szCs w:val="22"/>
                <w:lang w:val="pt-PT"/>
              </w:rPr>
              <w:lastRenderedPageBreak/>
              <w:t>Doenças do sistema imunitário</w:t>
            </w:r>
          </w:p>
        </w:tc>
        <w:tc>
          <w:tcPr>
            <w:tcW w:w="6355" w:type="dxa"/>
            <w:gridSpan w:val="2"/>
            <w:shd w:val="clear" w:color="auto" w:fill="auto"/>
          </w:tcPr>
          <w:p w14:paraId="4BBC559A" w14:textId="77777777" w:rsidR="0077031F" w:rsidRPr="00110D6C" w:rsidRDefault="00030085" w:rsidP="0043129A">
            <w:pPr>
              <w:widowControl/>
              <w:rPr>
                <w:rFonts w:cs="Times New Roman"/>
                <w:color w:val="auto"/>
                <w:szCs w:val="22"/>
                <w:lang w:val="pt-PT"/>
              </w:rPr>
            </w:pPr>
            <w:r w:rsidRPr="00110D6C">
              <w:rPr>
                <w:rFonts w:cs="Times New Roman"/>
                <w:color w:val="auto"/>
                <w:szCs w:val="22"/>
                <w:lang w:val="pt-PT"/>
              </w:rPr>
              <w:t>Pouco frequentes: Reações de hipersensibilidade (incluindo erupção cutânea, urticária)</w:t>
            </w:r>
          </w:p>
          <w:p w14:paraId="132CC486" w14:textId="77777777" w:rsidR="0077031F" w:rsidRPr="00110D6C" w:rsidRDefault="00030085" w:rsidP="0043129A">
            <w:pPr>
              <w:widowControl/>
              <w:rPr>
                <w:rFonts w:cs="Times New Roman"/>
                <w:color w:val="auto"/>
                <w:szCs w:val="22"/>
                <w:lang w:val="pt-PT"/>
              </w:rPr>
            </w:pPr>
            <w:r w:rsidRPr="00110D6C">
              <w:rPr>
                <w:rFonts w:cs="Times New Roman"/>
                <w:color w:val="auto"/>
                <w:szCs w:val="22"/>
                <w:lang w:val="pt-PT"/>
              </w:rPr>
              <w:t>Rara: Reações de hipersensibilidade graves (incluindo anafilaxia, angioedema)</w:t>
            </w:r>
          </w:p>
          <w:p w14:paraId="377BF869" w14:textId="77777777" w:rsidR="0043129A" w:rsidRPr="00110D6C" w:rsidRDefault="0043129A" w:rsidP="0043129A">
            <w:pPr>
              <w:widowControl/>
              <w:rPr>
                <w:rFonts w:cs="Times New Roman"/>
                <w:color w:val="auto"/>
                <w:szCs w:val="22"/>
                <w:lang w:val="pt-PT"/>
              </w:rPr>
            </w:pPr>
          </w:p>
        </w:tc>
      </w:tr>
      <w:tr w:rsidR="0077031F" w:rsidRPr="00110D6C" w14:paraId="2F88B4B7" w14:textId="77777777" w:rsidTr="0043129A">
        <w:tc>
          <w:tcPr>
            <w:tcW w:w="2731" w:type="dxa"/>
            <w:shd w:val="clear" w:color="auto" w:fill="auto"/>
          </w:tcPr>
          <w:p w14:paraId="4F6E61BF" w14:textId="77777777" w:rsidR="0077031F" w:rsidRPr="00110D6C" w:rsidRDefault="00030085" w:rsidP="0043129A">
            <w:pPr>
              <w:widowControl/>
              <w:rPr>
                <w:rFonts w:cs="Times New Roman"/>
                <w:color w:val="auto"/>
                <w:szCs w:val="22"/>
                <w:lang w:val="pt-PT"/>
              </w:rPr>
            </w:pPr>
            <w:r w:rsidRPr="00110D6C">
              <w:rPr>
                <w:rFonts w:cs="Times New Roman"/>
                <w:color w:val="auto"/>
                <w:szCs w:val="22"/>
                <w:lang w:val="pt-PT"/>
              </w:rPr>
              <w:t>Perturbações do foro psiquiátrico</w:t>
            </w:r>
          </w:p>
          <w:p w14:paraId="58A8BE3E" w14:textId="77777777" w:rsidR="0043129A" w:rsidRPr="00110D6C" w:rsidRDefault="0043129A" w:rsidP="0043129A">
            <w:pPr>
              <w:widowControl/>
              <w:rPr>
                <w:rFonts w:cs="Times New Roman"/>
                <w:color w:val="auto"/>
                <w:szCs w:val="22"/>
                <w:lang w:val="pt-PT"/>
              </w:rPr>
            </w:pPr>
          </w:p>
        </w:tc>
        <w:tc>
          <w:tcPr>
            <w:tcW w:w="6355" w:type="dxa"/>
            <w:gridSpan w:val="2"/>
            <w:shd w:val="clear" w:color="auto" w:fill="auto"/>
          </w:tcPr>
          <w:p w14:paraId="5C9732E7" w14:textId="77777777" w:rsidR="0077031F" w:rsidRPr="00110D6C" w:rsidRDefault="00030085" w:rsidP="0043129A">
            <w:pPr>
              <w:widowControl/>
              <w:rPr>
                <w:rFonts w:cs="Times New Roman"/>
                <w:color w:val="auto"/>
                <w:szCs w:val="22"/>
                <w:lang w:val="pt-PT"/>
              </w:rPr>
            </w:pPr>
            <w:r w:rsidRPr="00110D6C">
              <w:rPr>
                <w:rFonts w:cs="Times New Roman"/>
                <w:color w:val="auto"/>
                <w:szCs w:val="22"/>
                <w:lang w:val="pt-PT"/>
              </w:rPr>
              <w:t>Pouco frequentes: Depressão</w:t>
            </w:r>
          </w:p>
        </w:tc>
      </w:tr>
      <w:tr w:rsidR="0077031F" w:rsidRPr="00110D6C" w14:paraId="76932CCE" w14:textId="77777777" w:rsidTr="0043129A">
        <w:tc>
          <w:tcPr>
            <w:tcW w:w="2731" w:type="dxa"/>
            <w:shd w:val="clear" w:color="auto" w:fill="auto"/>
          </w:tcPr>
          <w:p w14:paraId="2A89A06E" w14:textId="77777777" w:rsidR="0077031F" w:rsidRPr="00110D6C" w:rsidRDefault="00030085" w:rsidP="0043129A">
            <w:pPr>
              <w:widowControl/>
              <w:rPr>
                <w:rFonts w:cs="Times New Roman"/>
                <w:color w:val="auto"/>
                <w:szCs w:val="22"/>
                <w:lang w:val="pt-PT"/>
              </w:rPr>
            </w:pPr>
            <w:r w:rsidRPr="00110D6C">
              <w:rPr>
                <w:rFonts w:cs="Times New Roman"/>
                <w:color w:val="auto"/>
                <w:szCs w:val="22"/>
                <w:lang w:val="pt-PT"/>
              </w:rPr>
              <w:t>Doenças do sistema nervoso</w:t>
            </w:r>
          </w:p>
        </w:tc>
        <w:tc>
          <w:tcPr>
            <w:tcW w:w="6355" w:type="dxa"/>
            <w:gridSpan w:val="2"/>
            <w:shd w:val="clear" w:color="auto" w:fill="auto"/>
          </w:tcPr>
          <w:p w14:paraId="7CDC6E87" w14:textId="77777777" w:rsidR="0043129A" w:rsidRPr="00110D6C" w:rsidRDefault="00030085" w:rsidP="0043129A">
            <w:pPr>
              <w:widowControl/>
              <w:rPr>
                <w:rFonts w:cs="Times New Roman"/>
                <w:color w:val="auto"/>
                <w:szCs w:val="22"/>
                <w:lang w:val="pt-PT"/>
              </w:rPr>
            </w:pPr>
            <w:r w:rsidRPr="00110D6C">
              <w:rPr>
                <w:rFonts w:cs="Times New Roman"/>
                <w:color w:val="auto"/>
                <w:szCs w:val="22"/>
                <w:lang w:val="pt-PT"/>
              </w:rPr>
              <w:t>Frequentes: Tonturas, cefaleias</w:t>
            </w:r>
          </w:p>
          <w:p w14:paraId="2F8937B1" w14:textId="77777777" w:rsidR="0077031F" w:rsidRPr="00110D6C" w:rsidRDefault="00030085" w:rsidP="0043129A">
            <w:pPr>
              <w:widowControl/>
              <w:rPr>
                <w:rFonts w:cs="Times New Roman"/>
                <w:color w:val="auto"/>
                <w:szCs w:val="22"/>
                <w:lang w:val="pt-PT"/>
              </w:rPr>
            </w:pPr>
            <w:r w:rsidRPr="00110D6C">
              <w:rPr>
                <w:rFonts w:cs="Times New Roman"/>
                <w:color w:val="auto"/>
                <w:szCs w:val="22"/>
                <w:lang w:val="pt-PT"/>
              </w:rPr>
              <w:t>Pouco frequentes: Paralisia facial</w:t>
            </w:r>
          </w:p>
          <w:p w14:paraId="3E2A4483" w14:textId="77777777" w:rsidR="0043129A" w:rsidRPr="00110D6C" w:rsidRDefault="0043129A" w:rsidP="0043129A">
            <w:pPr>
              <w:widowControl/>
              <w:rPr>
                <w:rFonts w:cs="Times New Roman"/>
                <w:color w:val="auto"/>
                <w:szCs w:val="22"/>
                <w:lang w:val="pt-PT"/>
              </w:rPr>
            </w:pPr>
          </w:p>
        </w:tc>
      </w:tr>
      <w:tr w:rsidR="0077031F" w:rsidRPr="00110D6C" w14:paraId="482E0BEC" w14:textId="77777777" w:rsidTr="0043129A">
        <w:tc>
          <w:tcPr>
            <w:tcW w:w="2731" w:type="dxa"/>
            <w:shd w:val="clear" w:color="auto" w:fill="auto"/>
          </w:tcPr>
          <w:p w14:paraId="072AC52A" w14:textId="77777777" w:rsidR="0077031F" w:rsidRPr="00110D6C" w:rsidRDefault="00030085" w:rsidP="0043129A">
            <w:pPr>
              <w:widowControl/>
              <w:rPr>
                <w:rFonts w:cs="Times New Roman"/>
                <w:color w:val="auto"/>
                <w:szCs w:val="22"/>
                <w:lang w:val="pt-PT"/>
              </w:rPr>
            </w:pPr>
            <w:r w:rsidRPr="00110D6C">
              <w:rPr>
                <w:rFonts w:cs="Times New Roman"/>
                <w:color w:val="auto"/>
                <w:szCs w:val="22"/>
                <w:lang w:val="pt-PT"/>
              </w:rPr>
              <w:t>Doenças respiratórias, torácicas e do mediastino</w:t>
            </w:r>
          </w:p>
        </w:tc>
        <w:tc>
          <w:tcPr>
            <w:tcW w:w="6355" w:type="dxa"/>
            <w:gridSpan w:val="2"/>
            <w:shd w:val="clear" w:color="auto" w:fill="auto"/>
          </w:tcPr>
          <w:p w14:paraId="0EDA8625" w14:textId="77777777" w:rsidR="0077031F" w:rsidRPr="00110D6C" w:rsidRDefault="00030085" w:rsidP="0043129A">
            <w:pPr>
              <w:widowControl/>
              <w:rPr>
                <w:rFonts w:cs="Times New Roman"/>
                <w:color w:val="auto"/>
                <w:szCs w:val="22"/>
                <w:lang w:val="pt-PT"/>
              </w:rPr>
            </w:pPr>
            <w:r w:rsidRPr="00110D6C">
              <w:rPr>
                <w:rFonts w:cs="Times New Roman"/>
                <w:color w:val="auto"/>
                <w:szCs w:val="22"/>
                <w:lang w:val="pt-PT"/>
              </w:rPr>
              <w:t>Frequentes: Dor orofaríngea</w:t>
            </w:r>
          </w:p>
          <w:p w14:paraId="70590185" w14:textId="77777777" w:rsidR="0077031F" w:rsidRPr="00110D6C" w:rsidRDefault="00030085" w:rsidP="0043129A">
            <w:pPr>
              <w:widowControl/>
              <w:rPr>
                <w:rFonts w:cs="Times New Roman"/>
                <w:color w:val="auto"/>
                <w:szCs w:val="22"/>
                <w:lang w:val="pt-PT"/>
              </w:rPr>
            </w:pPr>
            <w:r w:rsidRPr="00110D6C">
              <w:rPr>
                <w:rFonts w:cs="Times New Roman"/>
                <w:color w:val="auto"/>
                <w:szCs w:val="22"/>
                <w:lang w:val="pt-PT"/>
              </w:rPr>
              <w:t>Pouco frequentes: Congestão nasal</w:t>
            </w:r>
          </w:p>
          <w:p w14:paraId="219C417B" w14:textId="77777777" w:rsidR="0077031F" w:rsidRPr="00110D6C" w:rsidRDefault="00030085" w:rsidP="0043129A">
            <w:pPr>
              <w:widowControl/>
              <w:rPr>
                <w:rFonts w:cs="Times New Roman"/>
                <w:color w:val="auto"/>
                <w:szCs w:val="22"/>
                <w:lang w:val="pt-PT"/>
              </w:rPr>
            </w:pPr>
            <w:r w:rsidRPr="00110D6C">
              <w:rPr>
                <w:rFonts w:cs="Times New Roman"/>
                <w:color w:val="auto"/>
                <w:szCs w:val="22"/>
                <w:lang w:val="pt-PT"/>
              </w:rPr>
              <w:t>Raros: Alveolite alérgica, pneumonia eosinofílica</w:t>
            </w:r>
          </w:p>
          <w:p w14:paraId="0288D066" w14:textId="77777777" w:rsidR="0077031F" w:rsidRPr="00110D6C" w:rsidRDefault="00030085" w:rsidP="0043129A">
            <w:pPr>
              <w:widowControl/>
              <w:rPr>
                <w:rFonts w:cs="Times New Roman"/>
                <w:color w:val="auto"/>
                <w:szCs w:val="22"/>
                <w:lang w:val="pt-PT"/>
              </w:rPr>
            </w:pPr>
            <w:r w:rsidRPr="00110D6C">
              <w:rPr>
                <w:rFonts w:cs="Times New Roman"/>
                <w:color w:val="auto"/>
                <w:szCs w:val="22"/>
                <w:lang w:val="pt-PT"/>
              </w:rPr>
              <w:t>Muito raros: Pneumonia em organização*</w:t>
            </w:r>
          </w:p>
          <w:p w14:paraId="55AF7BD2" w14:textId="77777777" w:rsidR="0043129A" w:rsidRPr="00110D6C" w:rsidRDefault="0043129A" w:rsidP="0043129A">
            <w:pPr>
              <w:widowControl/>
              <w:rPr>
                <w:rFonts w:cs="Times New Roman"/>
                <w:color w:val="auto"/>
                <w:szCs w:val="22"/>
                <w:lang w:val="pt-PT"/>
              </w:rPr>
            </w:pPr>
          </w:p>
        </w:tc>
      </w:tr>
      <w:tr w:rsidR="0077031F" w:rsidRPr="00110D6C" w14:paraId="0BF4D507" w14:textId="77777777" w:rsidTr="0043129A">
        <w:tc>
          <w:tcPr>
            <w:tcW w:w="2731" w:type="dxa"/>
            <w:shd w:val="clear" w:color="auto" w:fill="auto"/>
          </w:tcPr>
          <w:p w14:paraId="298C250B" w14:textId="77777777" w:rsidR="0077031F" w:rsidRPr="00110D6C" w:rsidRDefault="00030085" w:rsidP="0043129A">
            <w:pPr>
              <w:widowControl/>
              <w:rPr>
                <w:rFonts w:cs="Times New Roman"/>
                <w:color w:val="auto"/>
                <w:szCs w:val="22"/>
                <w:lang w:val="pt-PT"/>
              </w:rPr>
            </w:pPr>
            <w:r w:rsidRPr="00110D6C">
              <w:rPr>
                <w:rFonts w:cs="Times New Roman"/>
                <w:color w:val="auto"/>
                <w:szCs w:val="22"/>
                <w:lang w:val="pt-PT"/>
              </w:rPr>
              <w:t>Doenças gastrointestinais</w:t>
            </w:r>
          </w:p>
        </w:tc>
        <w:tc>
          <w:tcPr>
            <w:tcW w:w="6355" w:type="dxa"/>
            <w:gridSpan w:val="2"/>
            <w:shd w:val="clear" w:color="auto" w:fill="auto"/>
          </w:tcPr>
          <w:p w14:paraId="0075D557" w14:textId="77777777" w:rsidR="0077031F" w:rsidRPr="00110D6C" w:rsidRDefault="00030085" w:rsidP="0043129A">
            <w:pPr>
              <w:widowControl/>
              <w:rPr>
                <w:rFonts w:cs="Times New Roman"/>
                <w:color w:val="auto"/>
                <w:szCs w:val="22"/>
                <w:lang w:val="pt-PT"/>
              </w:rPr>
            </w:pPr>
            <w:r w:rsidRPr="00110D6C">
              <w:rPr>
                <w:rFonts w:cs="Times New Roman"/>
                <w:color w:val="auto"/>
                <w:szCs w:val="22"/>
                <w:lang w:val="pt-PT"/>
              </w:rPr>
              <w:t>Frequentes: Diarreia, náuseas, vómito</w:t>
            </w:r>
          </w:p>
          <w:p w14:paraId="438622E0" w14:textId="77777777" w:rsidR="0043129A" w:rsidRPr="00110D6C" w:rsidRDefault="0043129A" w:rsidP="0043129A">
            <w:pPr>
              <w:widowControl/>
              <w:rPr>
                <w:rFonts w:cs="Times New Roman"/>
                <w:color w:val="auto"/>
                <w:szCs w:val="22"/>
                <w:lang w:val="pt-PT"/>
              </w:rPr>
            </w:pPr>
          </w:p>
        </w:tc>
      </w:tr>
      <w:tr w:rsidR="0077031F" w:rsidRPr="00110D6C" w14:paraId="35B2B253" w14:textId="77777777" w:rsidTr="0043129A">
        <w:trPr>
          <w:gridAfter w:val="1"/>
          <w:wAfter w:w="33" w:type="dxa"/>
        </w:trPr>
        <w:tc>
          <w:tcPr>
            <w:tcW w:w="2726" w:type="dxa"/>
            <w:shd w:val="clear" w:color="auto" w:fill="auto"/>
          </w:tcPr>
          <w:p w14:paraId="4A9D30D4" w14:textId="77777777" w:rsidR="0077031F" w:rsidRPr="00110D6C" w:rsidRDefault="00030085" w:rsidP="0043129A">
            <w:pPr>
              <w:widowControl/>
              <w:rPr>
                <w:rFonts w:cs="Times New Roman"/>
                <w:color w:val="auto"/>
                <w:szCs w:val="22"/>
                <w:lang w:val="pt-PT"/>
              </w:rPr>
            </w:pPr>
            <w:r w:rsidRPr="00110D6C">
              <w:rPr>
                <w:rFonts w:cs="Times New Roman"/>
                <w:color w:val="auto"/>
                <w:szCs w:val="22"/>
                <w:lang w:val="pt-PT"/>
              </w:rPr>
              <w:t>Afeções dos tecidos cutâneos e subcutâneos</w:t>
            </w:r>
          </w:p>
        </w:tc>
        <w:tc>
          <w:tcPr>
            <w:tcW w:w="6327" w:type="dxa"/>
            <w:shd w:val="clear" w:color="auto" w:fill="auto"/>
          </w:tcPr>
          <w:p w14:paraId="0B671334" w14:textId="77777777" w:rsidR="0077031F" w:rsidRPr="00110D6C" w:rsidRDefault="00030085" w:rsidP="0043129A">
            <w:pPr>
              <w:widowControl/>
              <w:rPr>
                <w:rFonts w:cs="Times New Roman"/>
                <w:color w:val="auto"/>
                <w:szCs w:val="22"/>
                <w:lang w:val="pt-PT"/>
              </w:rPr>
            </w:pPr>
            <w:r w:rsidRPr="00110D6C">
              <w:rPr>
                <w:rFonts w:cs="Times New Roman"/>
                <w:color w:val="auto"/>
                <w:szCs w:val="22"/>
                <w:lang w:val="pt-PT"/>
              </w:rPr>
              <w:t>Frequentes: Prurido</w:t>
            </w:r>
          </w:p>
          <w:p w14:paraId="0C5871BC" w14:textId="77777777" w:rsidR="0043129A" w:rsidRPr="00110D6C" w:rsidRDefault="00030085" w:rsidP="0043129A">
            <w:pPr>
              <w:widowControl/>
              <w:rPr>
                <w:rFonts w:cs="Times New Roman"/>
                <w:color w:val="auto"/>
                <w:szCs w:val="22"/>
                <w:lang w:val="pt-PT"/>
              </w:rPr>
            </w:pPr>
            <w:r w:rsidRPr="00110D6C">
              <w:rPr>
                <w:rFonts w:cs="Times New Roman"/>
                <w:color w:val="auto"/>
                <w:szCs w:val="22"/>
                <w:lang w:val="pt-PT"/>
              </w:rPr>
              <w:t>Pouco frequentes: Psoríase pustular, exfoliação cutânea, acne</w:t>
            </w:r>
          </w:p>
          <w:p w14:paraId="380FE37B" w14:textId="77777777" w:rsidR="0077031F" w:rsidRPr="00110D6C" w:rsidRDefault="00030085" w:rsidP="0043129A">
            <w:pPr>
              <w:widowControl/>
              <w:rPr>
                <w:rFonts w:cs="Times New Roman"/>
                <w:color w:val="auto"/>
                <w:szCs w:val="22"/>
                <w:lang w:val="pt-PT"/>
              </w:rPr>
            </w:pPr>
            <w:r w:rsidRPr="00110D6C">
              <w:rPr>
                <w:rFonts w:cs="Times New Roman"/>
                <w:color w:val="auto"/>
                <w:szCs w:val="22"/>
                <w:lang w:val="pt-PT"/>
              </w:rPr>
              <w:t>Raros: Dermatite exfoliativa, vasculite de hipersensibilidade</w:t>
            </w:r>
          </w:p>
          <w:p w14:paraId="5496C9A3" w14:textId="77777777" w:rsidR="0077031F" w:rsidRPr="00110D6C" w:rsidRDefault="00030085" w:rsidP="0043129A">
            <w:pPr>
              <w:widowControl/>
              <w:rPr>
                <w:rFonts w:cs="Times New Roman"/>
                <w:color w:val="auto"/>
                <w:szCs w:val="22"/>
                <w:lang w:val="pt-PT"/>
              </w:rPr>
            </w:pPr>
            <w:r w:rsidRPr="00110D6C">
              <w:rPr>
                <w:rFonts w:cs="Times New Roman"/>
                <w:color w:val="auto"/>
                <w:szCs w:val="22"/>
                <w:lang w:val="pt-PT"/>
              </w:rPr>
              <w:t>Muito raros: Penfigóide bolhoso, lúpus eritematoso cutâneo</w:t>
            </w:r>
          </w:p>
          <w:p w14:paraId="37C257E5" w14:textId="77777777" w:rsidR="0043129A" w:rsidRPr="00110D6C" w:rsidRDefault="0043129A" w:rsidP="0043129A">
            <w:pPr>
              <w:widowControl/>
              <w:rPr>
                <w:rFonts w:cs="Times New Roman"/>
                <w:color w:val="auto"/>
                <w:szCs w:val="22"/>
                <w:lang w:val="pt-PT"/>
              </w:rPr>
            </w:pPr>
          </w:p>
        </w:tc>
      </w:tr>
      <w:tr w:rsidR="0077031F" w:rsidRPr="00110D6C" w14:paraId="1DAC6E05" w14:textId="77777777" w:rsidTr="0043129A">
        <w:trPr>
          <w:gridAfter w:val="1"/>
          <w:wAfter w:w="33" w:type="dxa"/>
        </w:trPr>
        <w:tc>
          <w:tcPr>
            <w:tcW w:w="2726" w:type="dxa"/>
            <w:shd w:val="clear" w:color="auto" w:fill="auto"/>
          </w:tcPr>
          <w:p w14:paraId="236FF498" w14:textId="77777777" w:rsidR="0077031F" w:rsidRPr="00110D6C" w:rsidRDefault="00030085" w:rsidP="0043129A">
            <w:pPr>
              <w:keepNext/>
              <w:keepLines/>
              <w:widowControl/>
              <w:rPr>
                <w:rFonts w:cs="Times New Roman"/>
                <w:color w:val="auto"/>
                <w:szCs w:val="22"/>
                <w:lang w:val="pt-PT"/>
              </w:rPr>
            </w:pPr>
            <w:r w:rsidRPr="00110D6C">
              <w:rPr>
                <w:rFonts w:cs="Times New Roman"/>
                <w:color w:val="auto"/>
                <w:szCs w:val="22"/>
                <w:lang w:val="pt-PT"/>
              </w:rPr>
              <w:t>Afeções</w:t>
            </w:r>
            <w:r w:rsidR="0043129A" w:rsidRPr="00110D6C">
              <w:rPr>
                <w:rFonts w:cs="Times New Roman"/>
                <w:color w:val="auto"/>
                <w:szCs w:val="22"/>
                <w:lang w:val="pt-PT"/>
              </w:rPr>
              <w:t xml:space="preserve"> </w:t>
            </w:r>
            <w:r w:rsidRPr="00110D6C">
              <w:rPr>
                <w:rFonts w:cs="Times New Roman"/>
                <w:color w:val="auto"/>
                <w:szCs w:val="22"/>
                <w:lang w:val="pt-PT"/>
              </w:rPr>
              <w:t>musculosqueléticas e dos tecidos conjuntivos</w:t>
            </w:r>
          </w:p>
          <w:p w14:paraId="190727EA" w14:textId="77777777" w:rsidR="0043129A" w:rsidRPr="00110D6C" w:rsidRDefault="0043129A" w:rsidP="0043129A">
            <w:pPr>
              <w:keepNext/>
              <w:keepLines/>
              <w:widowControl/>
              <w:rPr>
                <w:rFonts w:cs="Times New Roman"/>
                <w:color w:val="auto"/>
                <w:szCs w:val="22"/>
                <w:lang w:val="pt-PT"/>
              </w:rPr>
            </w:pPr>
          </w:p>
        </w:tc>
        <w:tc>
          <w:tcPr>
            <w:tcW w:w="6327" w:type="dxa"/>
            <w:shd w:val="clear" w:color="auto" w:fill="auto"/>
          </w:tcPr>
          <w:p w14:paraId="4292F46E" w14:textId="77777777" w:rsidR="0043129A" w:rsidRPr="00110D6C" w:rsidRDefault="00030085" w:rsidP="0043129A">
            <w:pPr>
              <w:keepNext/>
              <w:keepLines/>
              <w:widowControl/>
              <w:rPr>
                <w:rFonts w:cs="Times New Roman"/>
                <w:color w:val="auto"/>
                <w:szCs w:val="22"/>
                <w:lang w:val="pt-PT"/>
              </w:rPr>
            </w:pPr>
            <w:r w:rsidRPr="00110D6C">
              <w:rPr>
                <w:rFonts w:cs="Times New Roman"/>
                <w:color w:val="auto"/>
                <w:szCs w:val="22"/>
                <w:lang w:val="pt-PT"/>
              </w:rPr>
              <w:t xml:space="preserve">Frequentes: Dorsalgia, mialgia, artralgia </w:t>
            </w:r>
          </w:p>
          <w:p w14:paraId="1AB7F130" w14:textId="77777777" w:rsidR="0077031F" w:rsidRPr="00110D6C" w:rsidRDefault="00030085" w:rsidP="0043129A">
            <w:pPr>
              <w:keepNext/>
              <w:keepLines/>
              <w:widowControl/>
              <w:rPr>
                <w:rFonts w:cs="Times New Roman"/>
                <w:color w:val="auto"/>
                <w:szCs w:val="22"/>
                <w:lang w:val="pt-PT"/>
              </w:rPr>
            </w:pPr>
            <w:r w:rsidRPr="00110D6C">
              <w:rPr>
                <w:rFonts w:cs="Times New Roman"/>
                <w:color w:val="auto"/>
                <w:szCs w:val="22"/>
                <w:lang w:val="pt-PT"/>
              </w:rPr>
              <w:t>Muito raros: Síndrome do tipo lúpus</w:t>
            </w:r>
          </w:p>
        </w:tc>
      </w:tr>
      <w:tr w:rsidR="0077031F" w:rsidRPr="00110D6C" w14:paraId="57DF9044" w14:textId="77777777" w:rsidTr="0043129A">
        <w:trPr>
          <w:gridAfter w:val="1"/>
          <w:wAfter w:w="33" w:type="dxa"/>
        </w:trPr>
        <w:tc>
          <w:tcPr>
            <w:tcW w:w="2726" w:type="dxa"/>
            <w:shd w:val="clear" w:color="auto" w:fill="auto"/>
          </w:tcPr>
          <w:p w14:paraId="7B057667" w14:textId="77777777" w:rsidR="0077031F" w:rsidRPr="00110D6C" w:rsidRDefault="00030085" w:rsidP="0043129A">
            <w:pPr>
              <w:keepNext/>
              <w:keepLines/>
              <w:widowControl/>
              <w:rPr>
                <w:rFonts w:cs="Times New Roman"/>
                <w:color w:val="auto"/>
                <w:szCs w:val="22"/>
                <w:lang w:val="pt-PT"/>
              </w:rPr>
            </w:pPr>
            <w:r w:rsidRPr="00110D6C">
              <w:rPr>
                <w:rFonts w:cs="Times New Roman"/>
                <w:color w:val="auto"/>
                <w:szCs w:val="22"/>
                <w:lang w:val="pt-PT"/>
              </w:rPr>
              <w:t>Perturbações gerais e alterações no local de administração</w:t>
            </w:r>
          </w:p>
          <w:p w14:paraId="1B9C3D4A" w14:textId="77777777" w:rsidR="0043129A" w:rsidRPr="00110D6C" w:rsidRDefault="0043129A" w:rsidP="0043129A">
            <w:pPr>
              <w:keepNext/>
              <w:keepLines/>
              <w:widowControl/>
              <w:rPr>
                <w:rFonts w:cs="Times New Roman"/>
                <w:color w:val="auto"/>
                <w:szCs w:val="22"/>
                <w:lang w:val="pt-PT"/>
              </w:rPr>
            </w:pPr>
          </w:p>
        </w:tc>
        <w:tc>
          <w:tcPr>
            <w:tcW w:w="6327" w:type="dxa"/>
            <w:shd w:val="clear" w:color="auto" w:fill="auto"/>
          </w:tcPr>
          <w:p w14:paraId="53E7FAB3" w14:textId="77777777" w:rsidR="0077031F" w:rsidRPr="00110D6C" w:rsidRDefault="00030085" w:rsidP="0043129A">
            <w:pPr>
              <w:keepNext/>
              <w:keepLines/>
              <w:widowControl/>
              <w:rPr>
                <w:rFonts w:cs="Times New Roman"/>
                <w:color w:val="auto"/>
                <w:szCs w:val="22"/>
                <w:lang w:val="pt-PT"/>
              </w:rPr>
            </w:pPr>
            <w:r w:rsidRPr="00110D6C">
              <w:rPr>
                <w:rFonts w:cs="Times New Roman"/>
                <w:color w:val="auto"/>
                <w:szCs w:val="22"/>
                <w:lang w:val="pt-PT"/>
              </w:rPr>
              <w:t>Frequentes: Fadiga, eritema no local de injeção, dor no local da injeção</w:t>
            </w:r>
          </w:p>
          <w:p w14:paraId="0589956C" w14:textId="77777777" w:rsidR="0077031F" w:rsidRPr="00110D6C" w:rsidRDefault="00030085" w:rsidP="0043129A">
            <w:pPr>
              <w:keepNext/>
              <w:keepLines/>
              <w:widowControl/>
              <w:rPr>
                <w:rFonts w:cs="Times New Roman"/>
                <w:color w:val="auto"/>
                <w:szCs w:val="22"/>
                <w:lang w:val="pt-PT"/>
              </w:rPr>
            </w:pPr>
            <w:r w:rsidRPr="00110D6C">
              <w:rPr>
                <w:rFonts w:cs="Times New Roman"/>
                <w:color w:val="auto"/>
                <w:szCs w:val="22"/>
                <w:lang w:val="pt-PT"/>
              </w:rPr>
              <w:t>Pouco frequentes: Reações no local de injeção (incluindo hemorragia, hematoma, induração, edema e prurido), astenia</w:t>
            </w:r>
          </w:p>
          <w:p w14:paraId="0A361566" w14:textId="77777777" w:rsidR="0043129A" w:rsidRPr="00110D6C" w:rsidRDefault="0043129A" w:rsidP="0043129A">
            <w:pPr>
              <w:keepNext/>
              <w:keepLines/>
              <w:widowControl/>
              <w:rPr>
                <w:rFonts w:cs="Times New Roman"/>
                <w:color w:val="auto"/>
                <w:szCs w:val="22"/>
                <w:lang w:val="pt-PT"/>
              </w:rPr>
            </w:pPr>
          </w:p>
        </w:tc>
      </w:tr>
    </w:tbl>
    <w:p w14:paraId="36AE72F8" w14:textId="77777777" w:rsidR="0077031F" w:rsidRPr="00110D6C" w:rsidRDefault="00030085" w:rsidP="0043129A">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w:t>
      </w:r>
      <w:r w:rsidR="0043129A" w:rsidRPr="00110D6C">
        <w:rPr>
          <w:rFonts w:cs="Times New Roman"/>
          <w:color w:val="auto"/>
          <w:sz w:val="20"/>
          <w:szCs w:val="20"/>
          <w:lang w:val="pt-PT"/>
        </w:rPr>
        <w:tab/>
      </w:r>
      <w:r w:rsidRPr="00110D6C">
        <w:rPr>
          <w:rFonts w:cs="Times New Roman"/>
          <w:color w:val="auto"/>
          <w:sz w:val="20"/>
          <w:szCs w:val="20"/>
          <w:lang w:val="pt-PT"/>
        </w:rPr>
        <w:t>Ver</w:t>
      </w:r>
      <w:r w:rsidR="006A79E5" w:rsidRPr="00110D6C">
        <w:rPr>
          <w:rFonts w:cs="Times New Roman"/>
          <w:color w:val="auto"/>
          <w:sz w:val="20"/>
          <w:szCs w:val="20"/>
          <w:lang w:val="pt-PT"/>
        </w:rPr>
        <w:t> </w:t>
      </w:r>
      <w:r w:rsidRPr="00110D6C">
        <w:rPr>
          <w:rFonts w:cs="Times New Roman"/>
          <w:color w:val="auto"/>
          <w:sz w:val="20"/>
          <w:szCs w:val="20"/>
          <w:lang w:val="pt-PT"/>
        </w:rPr>
        <w:t>secção</w:t>
      </w:r>
      <w:r w:rsidR="006A79E5" w:rsidRPr="00110D6C">
        <w:rPr>
          <w:rFonts w:cs="Times New Roman"/>
          <w:color w:val="auto"/>
          <w:sz w:val="20"/>
          <w:szCs w:val="20"/>
          <w:lang w:val="pt-PT"/>
        </w:rPr>
        <w:t> </w:t>
      </w:r>
      <w:r w:rsidRPr="00110D6C">
        <w:rPr>
          <w:rFonts w:cs="Times New Roman"/>
          <w:color w:val="auto"/>
          <w:sz w:val="20"/>
          <w:szCs w:val="20"/>
          <w:lang w:val="pt-PT"/>
        </w:rPr>
        <w:t>4.4. Reações de hipersensibilidade sistémica e respiratória.</w:t>
      </w:r>
    </w:p>
    <w:p w14:paraId="5D7D6E02" w14:textId="77777777" w:rsidR="0043129A" w:rsidRPr="00110D6C" w:rsidRDefault="0043129A" w:rsidP="00A17623">
      <w:pPr>
        <w:widowControl/>
        <w:rPr>
          <w:rFonts w:cs="Times New Roman"/>
          <w:color w:val="auto"/>
          <w:szCs w:val="22"/>
          <w:lang w:val="pt-PT"/>
        </w:rPr>
      </w:pPr>
    </w:p>
    <w:p w14:paraId="2FF21B5E"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Descrição de reações adversas selecionadas</w:t>
      </w:r>
    </w:p>
    <w:p w14:paraId="7610BA6A" w14:textId="77777777" w:rsidR="0043129A" w:rsidRPr="00110D6C" w:rsidRDefault="0043129A" w:rsidP="00A17623">
      <w:pPr>
        <w:widowControl/>
        <w:rPr>
          <w:rFonts w:cs="Times New Roman"/>
          <w:color w:val="auto"/>
          <w:szCs w:val="22"/>
          <w:lang w:val="pt-PT"/>
        </w:rPr>
      </w:pPr>
    </w:p>
    <w:p w14:paraId="7ACC6978"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Infeções</w:t>
      </w:r>
    </w:p>
    <w:p w14:paraId="0EF70F44"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Em estudos controlados por placebo em doentes com psoríase, artrite psoriática, doença de Crohn e colite ulcerosa, as taxas de infeção ou de infeção grave foram semelhantes entre os doentes tratados com ustecinumab e os doentes tratados com placebo. Na fase controlada por placebo destes estudos clínicos, a taxa de infeção foi de 1,3</w:t>
      </w:r>
      <w:r w:rsidR="00B910F9" w:rsidRPr="00110D6C">
        <w:rPr>
          <w:rFonts w:cs="Times New Roman"/>
          <w:color w:val="auto"/>
          <w:szCs w:val="22"/>
          <w:lang w:val="pt-PT"/>
        </w:rPr>
        <w:t>6 </w:t>
      </w:r>
      <w:r w:rsidRPr="00110D6C">
        <w:rPr>
          <w:rFonts w:cs="Times New Roman"/>
          <w:color w:val="auto"/>
          <w:szCs w:val="22"/>
          <w:lang w:val="pt-PT"/>
        </w:rPr>
        <w:t>por doente-ano de seguimento nos doentes tratados com ustecinumab, e de 1,3</w:t>
      </w:r>
      <w:r w:rsidR="00B910F9" w:rsidRPr="00110D6C">
        <w:rPr>
          <w:rFonts w:cs="Times New Roman"/>
          <w:color w:val="auto"/>
          <w:szCs w:val="22"/>
          <w:lang w:val="pt-PT"/>
        </w:rPr>
        <w:t>4 </w:t>
      </w:r>
      <w:r w:rsidRPr="00110D6C">
        <w:rPr>
          <w:rFonts w:cs="Times New Roman"/>
          <w:color w:val="auto"/>
          <w:szCs w:val="22"/>
          <w:lang w:val="pt-PT"/>
        </w:rPr>
        <w:t>nos doentes tratados com placebo. As infeções graves ocorreram numa taxa de 0,0</w:t>
      </w:r>
      <w:r w:rsidR="00B910F9" w:rsidRPr="00110D6C">
        <w:rPr>
          <w:rFonts w:cs="Times New Roman"/>
          <w:color w:val="auto"/>
          <w:szCs w:val="22"/>
          <w:lang w:val="pt-PT"/>
        </w:rPr>
        <w:t>3 </w:t>
      </w:r>
      <w:r w:rsidRPr="00110D6C">
        <w:rPr>
          <w:rFonts w:cs="Times New Roman"/>
          <w:color w:val="auto"/>
          <w:szCs w:val="22"/>
          <w:lang w:val="pt-PT"/>
        </w:rPr>
        <w:t>por doente-ano de seguimento nos doentes tratados com ustecinumab (3</w:t>
      </w:r>
      <w:r w:rsidR="00B910F9" w:rsidRPr="00110D6C">
        <w:rPr>
          <w:rFonts w:cs="Times New Roman"/>
          <w:color w:val="auto"/>
          <w:szCs w:val="22"/>
          <w:lang w:val="pt-PT"/>
        </w:rPr>
        <w:t>0 </w:t>
      </w:r>
      <w:r w:rsidRPr="00110D6C">
        <w:rPr>
          <w:rFonts w:cs="Times New Roman"/>
          <w:color w:val="auto"/>
          <w:szCs w:val="22"/>
          <w:lang w:val="pt-PT"/>
        </w:rPr>
        <w:t>infeções graves em 93</w:t>
      </w:r>
      <w:r w:rsidR="00B910F9" w:rsidRPr="00110D6C">
        <w:rPr>
          <w:rFonts w:cs="Times New Roman"/>
          <w:color w:val="auto"/>
          <w:szCs w:val="22"/>
          <w:lang w:val="pt-PT"/>
        </w:rPr>
        <w:t>0 </w:t>
      </w:r>
      <w:r w:rsidRPr="00110D6C">
        <w:rPr>
          <w:rFonts w:cs="Times New Roman"/>
          <w:color w:val="auto"/>
          <w:szCs w:val="22"/>
          <w:lang w:val="pt-PT"/>
        </w:rPr>
        <w:t>doente-anos de seguimento) e de 0,0</w:t>
      </w:r>
      <w:r w:rsidR="00B910F9" w:rsidRPr="00110D6C">
        <w:rPr>
          <w:rFonts w:cs="Times New Roman"/>
          <w:color w:val="auto"/>
          <w:szCs w:val="22"/>
          <w:lang w:val="pt-PT"/>
        </w:rPr>
        <w:t>3 </w:t>
      </w:r>
      <w:r w:rsidRPr="00110D6C">
        <w:rPr>
          <w:rFonts w:cs="Times New Roman"/>
          <w:color w:val="auto"/>
          <w:szCs w:val="22"/>
          <w:lang w:val="pt-PT"/>
        </w:rPr>
        <w:t>nos doentes tratados com placebo (1</w:t>
      </w:r>
      <w:r w:rsidR="00B910F9" w:rsidRPr="00110D6C">
        <w:rPr>
          <w:rFonts w:cs="Times New Roman"/>
          <w:color w:val="auto"/>
          <w:szCs w:val="22"/>
          <w:lang w:val="pt-PT"/>
        </w:rPr>
        <w:t>5 </w:t>
      </w:r>
      <w:r w:rsidRPr="00110D6C">
        <w:rPr>
          <w:rFonts w:cs="Times New Roman"/>
          <w:color w:val="auto"/>
          <w:szCs w:val="22"/>
          <w:lang w:val="pt-PT"/>
        </w:rPr>
        <w:t>infeções graves em 43</w:t>
      </w:r>
      <w:r w:rsidR="00B910F9" w:rsidRPr="00110D6C">
        <w:rPr>
          <w:rFonts w:cs="Times New Roman"/>
          <w:color w:val="auto"/>
          <w:szCs w:val="22"/>
          <w:lang w:val="pt-PT"/>
        </w:rPr>
        <w:t>4 </w:t>
      </w:r>
      <w:r w:rsidRPr="00110D6C">
        <w:rPr>
          <w:rFonts w:cs="Times New Roman"/>
          <w:color w:val="auto"/>
          <w:szCs w:val="22"/>
          <w:lang w:val="pt-PT"/>
        </w:rPr>
        <w:t>doente-anos de seguimento)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4.4).</w:t>
      </w:r>
    </w:p>
    <w:p w14:paraId="3711621F" w14:textId="77777777" w:rsidR="0043129A" w:rsidRPr="00110D6C" w:rsidRDefault="0043129A" w:rsidP="00A17623">
      <w:pPr>
        <w:widowControl/>
        <w:rPr>
          <w:rFonts w:cs="Times New Roman"/>
          <w:color w:val="auto"/>
          <w:szCs w:val="22"/>
          <w:lang w:val="pt-PT"/>
        </w:rPr>
      </w:pPr>
    </w:p>
    <w:p w14:paraId="30EDFE81" w14:textId="7E74466E" w:rsidR="0077031F" w:rsidRPr="00110D6C" w:rsidRDefault="00030085" w:rsidP="00A17623">
      <w:pPr>
        <w:widowControl/>
        <w:rPr>
          <w:rFonts w:cs="Times New Roman"/>
          <w:color w:val="auto"/>
          <w:szCs w:val="22"/>
          <w:lang w:val="pt-PT"/>
        </w:rPr>
      </w:pPr>
      <w:r w:rsidRPr="00110D6C">
        <w:rPr>
          <w:rFonts w:cs="Times New Roman"/>
          <w:color w:val="auto"/>
          <w:szCs w:val="22"/>
          <w:lang w:val="pt-PT"/>
        </w:rPr>
        <w:t>Nas fases controladas e não controladas dos estudos clínicos na psoríase, na artrite psoriática, na doença de Crohn e colite ulcerosa representando 1</w:t>
      </w:r>
      <w:r w:rsidR="00CC0C9B">
        <w:rPr>
          <w:rFonts w:cs="Times New Roman"/>
          <w:color w:val="auto"/>
          <w:szCs w:val="22"/>
          <w:lang w:val="pt-PT"/>
        </w:rPr>
        <w:t>5 227</w:t>
      </w:r>
      <w:r w:rsidR="00B910F9" w:rsidRPr="00110D6C">
        <w:rPr>
          <w:rFonts w:cs="Times New Roman"/>
          <w:color w:val="auto"/>
          <w:szCs w:val="22"/>
          <w:lang w:val="pt-PT"/>
        </w:rPr>
        <w:t> </w:t>
      </w:r>
      <w:r w:rsidRPr="00110D6C">
        <w:rPr>
          <w:rFonts w:cs="Times New Roman"/>
          <w:color w:val="auto"/>
          <w:szCs w:val="22"/>
          <w:lang w:val="pt-PT"/>
        </w:rPr>
        <w:t xml:space="preserve">doente-anos de exposição </w:t>
      </w:r>
      <w:r w:rsidR="00CC0C9B">
        <w:rPr>
          <w:rFonts w:cs="Times New Roman"/>
          <w:color w:val="auto"/>
          <w:szCs w:val="22"/>
          <w:lang w:val="pt-PT"/>
        </w:rPr>
        <w:t xml:space="preserve">a ustecinumab </w:t>
      </w:r>
      <w:r w:rsidRPr="00110D6C">
        <w:rPr>
          <w:rFonts w:cs="Times New Roman"/>
          <w:color w:val="auto"/>
          <w:szCs w:val="22"/>
          <w:lang w:val="pt-PT"/>
        </w:rPr>
        <w:t>em 67</w:t>
      </w:r>
      <w:r w:rsidR="00CC0C9B">
        <w:rPr>
          <w:rFonts w:cs="Times New Roman"/>
          <w:color w:val="auto"/>
          <w:szCs w:val="22"/>
          <w:lang w:val="pt-PT"/>
        </w:rPr>
        <w:t>1</w:t>
      </w:r>
      <w:r w:rsidRPr="00110D6C">
        <w:rPr>
          <w:rFonts w:cs="Times New Roman"/>
          <w:color w:val="auto"/>
          <w:szCs w:val="22"/>
          <w:lang w:val="pt-PT"/>
        </w:rPr>
        <w:t>0</w:t>
      </w:r>
      <w:r w:rsidR="00B910F9" w:rsidRPr="00110D6C">
        <w:rPr>
          <w:rFonts w:cs="Times New Roman"/>
          <w:color w:val="auto"/>
          <w:szCs w:val="22"/>
          <w:lang w:val="pt-PT"/>
        </w:rPr>
        <w:t> </w:t>
      </w:r>
      <w:r w:rsidRPr="00110D6C">
        <w:rPr>
          <w:rFonts w:cs="Times New Roman"/>
          <w:color w:val="auto"/>
          <w:szCs w:val="22"/>
          <w:lang w:val="pt-PT"/>
        </w:rPr>
        <w:t>doentes, a mediana de seguimento foi de 1,</w:t>
      </w:r>
      <w:r w:rsidR="00CC0C9B">
        <w:rPr>
          <w:rFonts w:cs="Times New Roman"/>
          <w:color w:val="auto"/>
          <w:szCs w:val="22"/>
          <w:lang w:val="pt-PT"/>
        </w:rPr>
        <w:t>2</w:t>
      </w:r>
      <w:r w:rsidR="00B910F9" w:rsidRPr="00110D6C">
        <w:rPr>
          <w:rFonts w:cs="Times New Roman"/>
          <w:color w:val="auto"/>
          <w:szCs w:val="22"/>
          <w:lang w:val="pt-PT"/>
        </w:rPr>
        <w:t> </w:t>
      </w:r>
      <w:r w:rsidRPr="00110D6C">
        <w:rPr>
          <w:rFonts w:cs="Times New Roman"/>
          <w:color w:val="auto"/>
          <w:szCs w:val="22"/>
          <w:lang w:val="pt-PT"/>
        </w:rPr>
        <w:t>anos; 1,</w:t>
      </w:r>
      <w:r w:rsidR="00CC0C9B">
        <w:rPr>
          <w:rFonts w:cs="Times New Roman"/>
          <w:color w:val="auto"/>
          <w:szCs w:val="22"/>
          <w:lang w:val="pt-PT"/>
        </w:rPr>
        <w:t>7</w:t>
      </w:r>
      <w:r w:rsidR="00B910F9" w:rsidRPr="00110D6C">
        <w:rPr>
          <w:rFonts w:cs="Times New Roman"/>
          <w:color w:val="auto"/>
          <w:szCs w:val="22"/>
          <w:lang w:val="pt-PT"/>
        </w:rPr>
        <w:t> </w:t>
      </w:r>
      <w:r w:rsidRPr="00110D6C">
        <w:rPr>
          <w:rFonts w:cs="Times New Roman"/>
          <w:color w:val="auto"/>
          <w:szCs w:val="22"/>
          <w:lang w:val="pt-PT"/>
        </w:rPr>
        <w:t>anos para estudos na doença psoriática, 0,</w:t>
      </w:r>
      <w:r w:rsidR="00B910F9" w:rsidRPr="00110D6C">
        <w:rPr>
          <w:rFonts w:cs="Times New Roman"/>
          <w:color w:val="auto"/>
          <w:szCs w:val="22"/>
          <w:lang w:val="pt-PT"/>
        </w:rPr>
        <w:t>6 </w:t>
      </w:r>
      <w:r w:rsidRPr="00110D6C">
        <w:rPr>
          <w:rFonts w:cs="Times New Roman"/>
          <w:color w:val="auto"/>
          <w:szCs w:val="22"/>
          <w:lang w:val="pt-PT"/>
        </w:rPr>
        <w:t xml:space="preserve">anos para estudos na doença de Crohn e </w:t>
      </w:r>
      <w:r w:rsidR="00CC0C9B">
        <w:rPr>
          <w:rFonts w:cs="Times New Roman"/>
          <w:color w:val="auto"/>
          <w:szCs w:val="22"/>
          <w:lang w:val="pt-PT"/>
        </w:rPr>
        <w:t>2,3</w:t>
      </w:r>
      <w:r w:rsidR="00B910F9" w:rsidRPr="00110D6C">
        <w:rPr>
          <w:rFonts w:cs="Times New Roman"/>
          <w:color w:val="auto"/>
          <w:szCs w:val="22"/>
          <w:lang w:val="pt-PT"/>
        </w:rPr>
        <w:t> </w:t>
      </w:r>
      <w:r w:rsidRPr="00110D6C">
        <w:rPr>
          <w:rFonts w:cs="Times New Roman"/>
          <w:color w:val="auto"/>
          <w:szCs w:val="22"/>
          <w:lang w:val="pt-PT"/>
        </w:rPr>
        <w:t>anos para estudos na colite ulcerosa. A taxa de infeção foi de 0,</w:t>
      </w:r>
      <w:r w:rsidR="00CC0C9B">
        <w:rPr>
          <w:rFonts w:cs="Times New Roman"/>
          <w:color w:val="auto"/>
          <w:szCs w:val="22"/>
          <w:lang w:val="pt-PT"/>
        </w:rPr>
        <w:t>85</w:t>
      </w:r>
      <w:r w:rsidR="00B910F9" w:rsidRPr="00110D6C">
        <w:rPr>
          <w:rFonts w:cs="Times New Roman"/>
          <w:color w:val="auto"/>
          <w:szCs w:val="22"/>
          <w:lang w:val="pt-PT"/>
        </w:rPr>
        <w:t> </w:t>
      </w:r>
      <w:r w:rsidRPr="00110D6C">
        <w:rPr>
          <w:rFonts w:cs="Times New Roman"/>
          <w:color w:val="auto"/>
          <w:szCs w:val="22"/>
          <w:lang w:val="pt-PT"/>
        </w:rPr>
        <w:t>por doente-ano de seguimento nos doentes tratados com ustecinumab, e a taxa de infeções graves foi de 0,0</w:t>
      </w:r>
      <w:r w:rsidR="00B910F9" w:rsidRPr="00110D6C">
        <w:rPr>
          <w:rFonts w:cs="Times New Roman"/>
          <w:color w:val="auto"/>
          <w:szCs w:val="22"/>
          <w:lang w:val="pt-PT"/>
        </w:rPr>
        <w:t>2 </w:t>
      </w:r>
      <w:r w:rsidRPr="00110D6C">
        <w:rPr>
          <w:rFonts w:cs="Times New Roman"/>
          <w:color w:val="auto"/>
          <w:szCs w:val="22"/>
          <w:lang w:val="pt-PT"/>
        </w:rPr>
        <w:t>por doente-ano de seguimento nos doentes tratados com ustecinumab (</w:t>
      </w:r>
      <w:r w:rsidR="00CC0C9B">
        <w:rPr>
          <w:rFonts w:cs="Times New Roman"/>
          <w:color w:val="auto"/>
          <w:szCs w:val="22"/>
          <w:lang w:val="pt-PT"/>
        </w:rPr>
        <w:t>28</w:t>
      </w:r>
      <w:r w:rsidR="00B910F9" w:rsidRPr="00110D6C">
        <w:rPr>
          <w:rFonts w:cs="Times New Roman"/>
          <w:color w:val="auto"/>
          <w:szCs w:val="22"/>
          <w:lang w:val="pt-PT"/>
        </w:rPr>
        <w:t>9 </w:t>
      </w:r>
      <w:r w:rsidRPr="00110D6C">
        <w:rPr>
          <w:rFonts w:cs="Times New Roman"/>
          <w:color w:val="auto"/>
          <w:szCs w:val="22"/>
          <w:lang w:val="pt-PT"/>
        </w:rPr>
        <w:t>infeções graves em 1</w:t>
      </w:r>
      <w:r w:rsidR="00CC0C9B">
        <w:rPr>
          <w:rFonts w:cs="Times New Roman"/>
          <w:color w:val="auto"/>
          <w:szCs w:val="22"/>
          <w:lang w:val="pt-PT"/>
        </w:rPr>
        <w:t>5 227</w:t>
      </w:r>
      <w:r w:rsidR="00B910F9" w:rsidRPr="00110D6C">
        <w:rPr>
          <w:rFonts w:cs="Times New Roman"/>
          <w:color w:val="auto"/>
          <w:szCs w:val="22"/>
          <w:lang w:val="pt-PT"/>
        </w:rPr>
        <w:t> </w:t>
      </w:r>
      <w:r w:rsidRPr="00110D6C">
        <w:rPr>
          <w:rFonts w:cs="Times New Roman"/>
          <w:color w:val="auto"/>
          <w:szCs w:val="22"/>
          <w:lang w:val="pt-PT"/>
        </w:rPr>
        <w:t>doente-anos de seguimento) e as infeções graves notificadas incluíram pneumonia, abcesso anal, celulite, diverticulite, gastroenterite e infeções virais.</w:t>
      </w:r>
    </w:p>
    <w:p w14:paraId="35495A07" w14:textId="77777777" w:rsidR="0043129A" w:rsidRPr="00110D6C" w:rsidRDefault="0043129A" w:rsidP="00A17623">
      <w:pPr>
        <w:widowControl/>
        <w:rPr>
          <w:rFonts w:cs="Times New Roman"/>
          <w:color w:val="auto"/>
          <w:szCs w:val="22"/>
          <w:lang w:val="pt-PT"/>
        </w:rPr>
      </w:pPr>
    </w:p>
    <w:p w14:paraId="5A0F9D1A"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Nos estudos clínicos, os doentes com tuberculose latente que foram tratados concomitantemente com isoniazida não desenvolveram tuberculose.</w:t>
      </w:r>
    </w:p>
    <w:p w14:paraId="240AD121" w14:textId="77777777" w:rsidR="0043129A" w:rsidRPr="00110D6C" w:rsidRDefault="0043129A" w:rsidP="00A17623">
      <w:pPr>
        <w:widowControl/>
        <w:rPr>
          <w:rFonts w:cs="Times New Roman"/>
          <w:color w:val="auto"/>
          <w:szCs w:val="22"/>
          <w:lang w:val="pt-PT"/>
        </w:rPr>
      </w:pPr>
    </w:p>
    <w:p w14:paraId="4E059AEE"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Doenças malignas</w:t>
      </w:r>
    </w:p>
    <w:p w14:paraId="4815824A" w14:textId="45557B5D" w:rsidR="0077031F" w:rsidRPr="00110D6C" w:rsidRDefault="00030085" w:rsidP="00A17623">
      <w:pPr>
        <w:widowControl/>
        <w:rPr>
          <w:rFonts w:cs="Times New Roman"/>
          <w:color w:val="auto"/>
          <w:szCs w:val="22"/>
          <w:lang w:val="pt-PT"/>
        </w:rPr>
      </w:pPr>
      <w:r w:rsidRPr="00110D6C">
        <w:rPr>
          <w:rFonts w:cs="Times New Roman"/>
          <w:color w:val="auto"/>
          <w:szCs w:val="22"/>
          <w:lang w:val="pt-PT"/>
        </w:rPr>
        <w:t>Na fase controlada por placebo dos estudos clínicos na psoríase, na artrite psoriática, na doença de Crohn e colite ulcerosa, a incidência de doenças malignas, excluindo o cancro de pele não-melanoma, foi de 0,1</w:t>
      </w:r>
      <w:r w:rsidR="00B910F9" w:rsidRPr="00110D6C">
        <w:rPr>
          <w:rFonts w:cs="Times New Roman"/>
          <w:color w:val="auto"/>
          <w:szCs w:val="22"/>
          <w:lang w:val="pt-PT"/>
        </w:rPr>
        <w:t>1 </w:t>
      </w:r>
      <w:r w:rsidRPr="00110D6C">
        <w:rPr>
          <w:rFonts w:cs="Times New Roman"/>
          <w:color w:val="auto"/>
          <w:szCs w:val="22"/>
          <w:lang w:val="pt-PT"/>
        </w:rPr>
        <w:t>por 10</w:t>
      </w:r>
      <w:r w:rsidR="00B910F9" w:rsidRPr="00110D6C">
        <w:rPr>
          <w:rFonts w:cs="Times New Roman"/>
          <w:color w:val="auto"/>
          <w:szCs w:val="22"/>
          <w:lang w:val="pt-PT"/>
        </w:rPr>
        <w:t>0 </w:t>
      </w:r>
      <w:r w:rsidRPr="00110D6C">
        <w:rPr>
          <w:rFonts w:cs="Times New Roman"/>
          <w:color w:val="auto"/>
          <w:szCs w:val="22"/>
          <w:lang w:val="pt-PT"/>
        </w:rPr>
        <w:t>doente-anos de seguimento nos doentes tratados com ustecinumab (</w:t>
      </w:r>
      <w:r w:rsidR="00B910F9" w:rsidRPr="00110D6C">
        <w:rPr>
          <w:rFonts w:cs="Times New Roman"/>
          <w:color w:val="auto"/>
          <w:szCs w:val="22"/>
          <w:lang w:val="pt-PT"/>
        </w:rPr>
        <w:t>1 </w:t>
      </w:r>
      <w:r w:rsidRPr="00110D6C">
        <w:rPr>
          <w:rFonts w:cs="Times New Roman"/>
          <w:color w:val="auto"/>
          <w:szCs w:val="22"/>
          <w:lang w:val="pt-PT"/>
        </w:rPr>
        <w:t>doente em 92</w:t>
      </w:r>
      <w:r w:rsidR="00B910F9" w:rsidRPr="00110D6C">
        <w:rPr>
          <w:rFonts w:cs="Times New Roman"/>
          <w:color w:val="auto"/>
          <w:szCs w:val="22"/>
          <w:lang w:val="pt-PT"/>
        </w:rPr>
        <w:t>9 </w:t>
      </w:r>
      <w:r w:rsidRPr="00110D6C">
        <w:rPr>
          <w:rFonts w:cs="Times New Roman"/>
          <w:color w:val="auto"/>
          <w:szCs w:val="22"/>
          <w:lang w:val="pt-PT"/>
        </w:rPr>
        <w:t>doente-anos de seguimento) em comparação com 0,2</w:t>
      </w:r>
      <w:r w:rsidR="00B910F9" w:rsidRPr="00110D6C">
        <w:rPr>
          <w:rFonts w:cs="Times New Roman"/>
          <w:color w:val="auto"/>
          <w:szCs w:val="22"/>
          <w:lang w:val="pt-PT"/>
        </w:rPr>
        <w:t>3 </w:t>
      </w:r>
      <w:r w:rsidRPr="00110D6C">
        <w:rPr>
          <w:rFonts w:cs="Times New Roman"/>
          <w:color w:val="auto"/>
          <w:szCs w:val="22"/>
          <w:lang w:val="pt-PT"/>
        </w:rPr>
        <w:t>nos doentes tratados com placebo (</w:t>
      </w:r>
      <w:r w:rsidR="00B910F9" w:rsidRPr="00110D6C">
        <w:rPr>
          <w:rFonts w:cs="Times New Roman"/>
          <w:color w:val="auto"/>
          <w:szCs w:val="22"/>
          <w:lang w:val="pt-PT"/>
        </w:rPr>
        <w:t>1 </w:t>
      </w:r>
      <w:r w:rsidRPr="00110D6C">
        <w:rPr>
          <w:rFonts w:cs="Times New Roman"/>
          <w:color w:val="auto"/>
          <w:szCs w:val="22"/>
          <w:lang w:val="pt-PT"/>
        </w:rPr>
        <w:t>doente em 43</w:t>
      </w:r>
      <w:r w:rsidR="00B910F9" w:rsidRPr="00110D6C">
        <w:rPr>
          <w:rFonts w:cs="Times New Roman"/>
          <w:color w:val="auto"/>
          <w:szCs w:val="22"/>
          <w:lang w:val="pt-PT"/>
        </w:rPr>
        <w:t>4 </w:t>
      </w:r>
      <w:r w:rsidRPr="00110D6C">
        <w:rPr>
          <w:rFonts w:cs="Times New Roman"/>
          <w:color w:val="auto"/>
          <w:szCs w:val="22"/>
          <w:lang w:val="pt-PT"/>
        </w:rPr>
        <w:t>doente-anos de seguimento). A incidência de cancro de pele não-melanoma foi de 0,4</w:t>
      </w:r>
      <w:r w:rsidR="00B910F9" w:rsidRPr="00110D6C">
        <w:rPr>
          <w:rFonts w:cs="Times New Roman"/>
          <w:color w:val="auto"/>
          <w:szCs w:val="22"/>
          <w:lang w:val="pt-PT"/>
        </w:rPr>
        <w:t>3 </w:t>
      </w:r>
      <w:r w:rsidRPr="00110D6C">
        <w:rPr>
          <w:rFonts w:cs="Times New Roman"/>
          <w:color w:val="auto"/>
          <w:szCs w:val="22"/>
          <w:lang w:val="pt-PT"/>
        </w:rPr>
        <w:t>por 10</w:t>
      </w:r>
      <w:r w:rsidR="00B910F9" w:rsidRPr="00110D6C">
        <w:rPr>
          <w:rFonts w:cs="Times New Roman"/>
          <w:color w:val="auto"/>
          <w:szCs w:val="22"/>
          <w:lang w:val="pt-PT"/>
        </w:rPr>
        <w:t>0 </w:t>
      </w:r>
      <w:r w:rsidRPr="00110D6C">
        <w:rPr>
          <w:rFonts w:cs="Times New Roman"/>
          <w:color w:val="auto"/>
          <w:szCs w:val="22"/>
          <w:lang w:val="pt-PT"/>
        </w:rPr>
        <w:t>doente-anos de seguimento nos doentes tratados com ustecinumab (</w:t>
      </w:r>
      <w:r w:rsidR="00B910F9" w:rsidRPr="00110D6C">
        <w:rPr>
          <w:rFonts w:cs="Times New Roman"/>
          <w:color w:val="auto"/>
          <w:szCs w:val="22"/>
          <w:lang w:val="pt-PT"/>
        </w:rPr>
        <w:t>4 </w:t>
      </w:r>
      <w:r w:rsidRPr="00110D6C">
        <w:rPr>
          <w:rFonts w:cs="Times New Roman"/>
          <w:color w:val="auto"/>
          <w:szCs w:val="22"/>
          <w:lang w:val="pt-PT"/>
        </w:rPr>
        <w:t>doentes em 92</w:t>
      </w:r>
      <w:r w:rsidR="00B910F9" w:rsidRPr="00110D6C">
        <w:rPr>
          <w:rFonts w:cs="Times New Roman"/>
          <w:color w:val="auto"/>
          <w:szCs w:val="22"/>
          <w:lang w:val="pt-PT"/>
        </w:rPr>
        <w:t>9 </w:t>
      </w:r>
      <w:r w:rsidRPr="00110D6C">
        <w:rPr>
          <w:rFonts w:cs="Times New Roman"/>
          <w:color w:val="auto"/>
          <w:szCs w:val="22"/>
          <w:lang w:val="pt-PT"/>
        </w:rPr>
        <w:t>doente-anos de seguimento) em comparação com 0,4</w:t>
      </w:r>
      <w:r w:rsidR="00B910F9" w:rsidRPr="00110D6C">
        <w:rPr>
          <w:rFonts w:cs="Times New Roman"/>
          <w:color w:val="auto"/>
          <w:szCs w:val="22"/>
          <w:lang w:val="pt-PT"/>
        </w:rPr>
        <w:t>6 </w:t>
      </w:r>
      <w:r w:rsidRPr="00110D6C">
        <w:rPr>
          <w:rFonts w:cs="Times New Roman"/>
          <w:color w:val="auto"/>
          <w:szCs w:val="22"/>
          <w:lang w:val="pt-PT"/>
        </w:rPr>
        <w:t>nos doentes tratados com placebo (</w:t>
      </w:r>
      <w:r w:rsidR="00B910F9" w:rsidRPr="00110D6C">
        <w:rPr>
          <w:rFonts w:cs="Times New Roman"/>
          <w:color w:val="auto"/>
          <w:szCs w:val="22"/>
          <w:lang w:val="pt-PT"/>
        </w:rPr>
        <w:t>2 </w:t>
      </w:r>
      <w:r w:rsidRPr="00110D6C">
        <w:rPr>
          <w:rFonts w:cs="Times New Roman"/>
          <w:color w:val="auto"/>
          <w:szCs w:val="22"/>
          <w:lang w:val="pt-PT"/>
        </w:rPr>
        <w:t>doentes em 43</w:t>
      </w:r>
      <w:r w:rsidR="00B910F9" w:rsidRPr="00110D6C">
        <w:rPr>
          <w:rFonts w:cs="Times New Roman"/>
          <w:color w:val="auto"/>
          <w:szCs w:val="22"/>
          <w:lang w:val="pt-PT"/>
        </w:rPr>
        <w:t>3 </w:t>
      </w:r>
      <w:r w:rsidRPr="00110D6C">
        <w:rPr>
          <w:rFonts w:cs="Times New Roman"/>
          <w:color w:val="auto"/>
          <w:szCs w:val="22"/>
          <w:lang w:val="pt-PT"/>
        </w:rPr>
        <w:t>doente-anos de seguimento).</w:t>
      </w:r>
    </w:p>
    <w:p w14:paraId="7C3424F3" w14:textId="77777777" w:rsidR="0043129A" w:rsidRPr="00110D6C" w:rsidRDefault="0043129A" w:rsidP="00A17623">
      <w:pPr>
        <w:widowControl/>
        <w:rPr>
          <w:rFonts w:cs="Times New Roman"/>
          <w:color w:val="auto"/>
          <w:szCs w:val="22"/>
          <w:lang w:val="pt-PT"/>
        </w:rPr>
      </w:pPr>
    </w:p>
    <w:p w14:paraId="777A76D5" w14:textId="45B7319E" w:rsidR="0077031F" w:rsidRPr="00110D6C" w:rsidRDefault="00030085" w:rsidP="00A17623">
      <w:pPr>
        <w:widowControl/>
        <w:rPr>
          <w:rFonts w:cs="Times New Roman"/>
          <w:color w:val="auto"/>
          <w:szCs w:val="22"/>
          <w:lang w:val="pt-PT"/>
        </w:rPr>
      </w:pPr>
      <w:r w:rsidRPr="00110D6C">
        <w:rPr>
          <w:rFonts w:cs="Times New Roman"/>
          <w:color w:val="auto"/>
          <w:szCs w:val="22"/>
          <w:lang w:val="pt-PT"/>
        </w:rPr>
        <w:t>Nas fases controladas e não controladas dos estudos clínicos na psoríase, na artrite psoriática, na doença de Crohn e colite ulcerosa, representando 1</w:t>
      </w:r>
      <w:r w:rsidR="00CC0C9B">
        <w:rPr>
          <w:rFonts w:cs="Times New Roman"/>
          <w:color w:val="auto"/>
          <w:szCs w:val="22"/>
          <w:lang w:val="pt-PT"/>
        </w:rPr>
        <w:t>5 205</w:t>
      </w:r>
      <w:r w:rsidR="00B910F9" w:rsidRPr="00110D6C">
        <w:rPr>
          <w:rFonts w:cs="Times New Roman"/>
          <w:color w:val="auto"/>
          <w:szCs w:val="22"/>
          <w:lang w:val="pt-PT"/>
        </w:rPr>
        <w:t> </w:t>
      </w:r>
      <w:r w:rsidRPr="00110D6C">
        <w:rPr>
          <w:rFonts w:cs="Times New Roman"/>
          <w:color w:val="auto"/>
          <w:szCs w:val="22"/>
          <w:lang w:val="pt-PT"/>
        </w:rPr>
        <w:t xml:space="preserve">doente-anos de exposição </w:t>
      </w:r>
      <w:r w:rsidR="00CC0C9B">
        <w:rPr>
          <w:rFonts w:cs="Times New Roman"/>
          <w:color w:val="auto"/>
          <w:szCs w:val="22"/>
          <w:lang w:val="pt-PT"/>
        </w:rPr>
        <w:t xml:space="preserve">a ustecinumab </w:t>
      </w:r>
      <w:r w:rsidRPr="00110D6C">
        <w:rPr>
          <w:rFonts w:cs="Times New Roman"/>
          <w:color w:val="auto"/>
          <w:szCs w:val="22"/>
          <w:lang w:val="pt-PT"/>
        </w:rPr>
        <w:t>em 67</w:t>
      </w:r>
      <w:r w:rsidR="00CC0C9B">
        <w:rPr>
          <w:rFonts w:cs="Times New Roman"/>
          <w:color w:val="auto"/>
          <w:szCs w:val="22"/>
          <w:lang w:val="pt-PT"/>
        </w:rPr>
        <w:t>1</w:t>
      </w:r>
      <w:r w:rsidRPr="00110D6C">
        <w:rPr>
          <w:rFonts w:cs="Times New Roman"/>
          <w:color w:val="auto"/>
          <w:szCs w:val="22"/>
          <w:lang w:val="pt-PT"/>
        </w:rPr>
        <w:t>0</w:t>
      </w:r>
      <w:r w:rsidR="00B910F9" w:rsidRPr="00110D6C">
        <w:rPr>
          <w:rFonts w:cs="Times New Roman"/>
          <w:color w:val="auto"/>
          <w:szCs w:val="22"/>
          <w:lang w:val="pt-PT"/>
        </w:rPr>
        <w:t> </w:t>
      </w:r>
      <w:r w:rsidRPr="00110D6C">
        <w:rPr>
          <w:rFonts w:cs="Times New Roman"/>
          <w:color w:val="auto"/>
          <w:szCs w:val="22"/>
          <w:lang w:val="pt-PT"/>
        </w:rPr>
        <w:t>doentes, a mediana de seguimento foi de 1,</w:t>
      </w:r>
      <w:r w:rsidR="00CC0C9B">
        <w:rPr>
          <w:rFonts w:cs="Times New Roman"/>
          <w:color w:val="auto"/>
          <w:szCs w:val="22"/>
          <w:lang w:val="pt-PT"/>
        </w:rPr>
        <w:t>2</w:t>
      </w:r>
      <w:r w:rsidR="00B910F9" w:rsidRPr="00110D6C">
        <w:rPr>
          <w:rFonts w:cs="Times New Roman"/>
          <w:color w:val="auto"/>
          <w:szCs w:val="22"/>
          <w:lang w:val="pt-PT"/>
        </w:rPr>
        <w:t> </w:t>
      </w:r>
      <w:r w:rsidRPr="00110D6C">
        <w:rPr>
          <w:rFonts w:cs="Times New Roman"/>
          <w:color w:val="auto"/>
          <w:szCs w:val="22"/>
          <w:lang w:val="pt-PT"/>
        </w:rPr>
        <w:t>anos; 1,</w:t>
      </w:r>
      <w:r w:rsidR="00CC0C9B">
        <w:rPr>
          <w:rFonts w:cs="Times New Roman"/>
          <w:color w:val="auto"/>
          <w:szCs w:val="22"/>
          <w:lang w:val="pt-PT"/>
        </w:rPr>
        <w:t>7</w:t>
      </w:r>
      <w:r w:rsidR="00B910F9" w:rsidRPr="00110D6C">
        <w:rPr>
          <w:rFonts w:cs="Times New Roman"/>
          <w:color w:val="auto"/>
          <w:szCs w:val="22"/>
          <w:lang w:val="pt-PT"/>
        </w:rPr>
        <w:t> </w:t>
      </w:r>
      <w:r w:rsidRPr="00110D6C">
        <w:rPr>
          <w:rFonts w:cs="Times New Roman"/>
          <w:color w:val="auto"/>
          <w:szCs w:val="22"/>
          <w:lang w:val="pt-PT"/>
        </w:rPr>
        <w:t>anos para estudos na doença psoriática, 0,</w:t>
      </w:r>
      <w:r w:rsidR="00B910F9" w:rsidRPr="00110D6C">
        <w:rPr>
          <w:rFonts w:cs="Times New Roman"/>
          <w:color w:val="auto"/>
          <w:szCs w:val="22"/>
          <w:lang w:val="pt-PT"/>
        </w:rPr>
        <w:t>6 </w:t>
      </w:r>
      <w:r w:rsidRPr="00110D6C">
        <w:rPr>
          <w:rFonts w:cs="Times New Roman"/>
          <w:color w:val="auto"/>
          <w:szCs w:val="22"/>
          <w:lang w:val="pt-PT"/>
        </w:rPr>
        <w:t xml:space="preserve">anos para estudos na doença de Crohn e </w:t>
      </w:r>
      <w:r w:rsidR="00CC0C9B">
        <w:rPr>
          <w:rFonts w:cs="Times New Roman"/>
          <w:color w:val="auto"/>
          <w:szCs w:val="22"/>
          <w:lang w:val="pt-PT"/>
        </w:rPr>
        <w:t>2,3</w:t>
      </w:r>
      <w:r w:rsidR="00B910F9" w:rsidRPr="00110D6C">
        <w:rPr>
          <w:rFonts w:cs="Times New Roman"/>
          <w:color w:val="auto"/>
          <w:szCs w:val="22"/>
          <w:lang w:val="pt-PT"/>
        </w:rPr>
        <w:t> </w:t>
      </w:r>
      <w:r w:rsidRPr="00110D6C">
        <w:rPr>
          <w:rFonts w:cs="Times New Roman"/>
          <w:color w:val="auto"/>
          <w:szCs w:val="22"/>
          <w:lang w:val="pt-PT"/>
        </w:rPr>
        <w:t xml:space="preserve">anos para estudos na colite ulcerosa. Foram relatados casos de doenças malignas excluindo cancro de pele não melanoma em </w:t>
      </w:r>
      <w:r w:rsidR="00CC0C9B">
        <w:rPr>
          <w:rFonts w:cs="Times New Roman"/>
          <w:color w:val="auto"/>
          <w:szCs w:val="22"/>
          <w:lang w:val="pt-PT"/>
        </w:rPr>
        <w:t>7</w:t>
      </w:r>
      <w:r w:rsidRPr="00110D6C">
        <w:rPr>
          <w:rFonts w:cs="Times New Roman"/>
          <w:color w:val="auto"/>
          <w:szCs w:val="22"/>
          <w:lang w:val="pt-PT"/>
        </w:rPr>
        <w:t>6</w:t>
      </w:r>
      <w:r w:rsidR="00B910F9" w:rsidRPr="00110D6C">
        <w:rPr>
          <w:rFonts w:cs="Times New Roman"/>
          <w:color w:val="auto"/>
          <w:szCs w:val="22"/>
          <w:lang w:val="pt-PT"/>
        </w:rPr>
        <w:t> </w:t>
      </w:r>
      <w:r w:rsidRPr="00110D6C">
        <w:rPr>
          <w:rFonts w:cs="Times New Roman"/>
          <w:color w:val="auto"/>
          <w:szCs w:val="22"/>
          <w:lang w:val="pt-PT"/>
        </w:rPr>
        <w:t>doentes em 1</w:t>
      </w:r>
      <w:r w:rsidR="00CC0C9B">
        <w:rPr>
          <w:rFonts w:cs="Times New Roman"/>
          <w:color w:val="auto"/>
          <w:szCs w:val="22"/>
          <w:lang w:val="pt-PT"/>
        </w:rPr>
        <w:t>5 205</w:t>
      </w:r>
      <w:r w:rsidR="00B910F9" w:rsidRPr="00110D6C">
        <w:rPr>
          <w:rFonts w:cs="Times New Roman"/>
          <w:color w:val="auto"/>
          <w:szCs w:val="22"/>
          <w:lang w:val="pt-PT"/>
        </w:rPr>
        <w:t> </w:t>
      </w:r>
      <w:r w:rsidRPr="00110D6C">
        <w:rPr>
          <w:rFonts w:cs="Times New Roman"/>
          <w:color w:val="auto"/>
          <w:szCs w:val="22"/>
          <w:lang w:val="pt-PT"/>
        </w:rPr>
        <w:t>doente-anos de seguimento (incidência de 0,5</w:t>
      </w:r>
      <w:r w:rsidR="00CC0C9B">
        <w:rPr>
          <w:rFonts w:cs="Times New Roman"/>
          <w:color w:val="auto"/>
          <w:szCs w:val="22"/>
          <w:lang w:val="pt-PT"/>
        </w:rPr>
        <w:t>0</w:t>
      </w:r>
      <w:r w:rsidR="00B910F9" w:rsidRPr="00110D6C">
        <w:rPr>
          <w:rFonts w:cs="Times New Roman"/>
          <w:color w:val="auto"/>
          <w:szCs w:val="22"/>
          <w:lang w:val="pt-PT"/>
        </w:rPr>
        <w:t> </w:t>
      </w:r>
      <w:r w:rsidRPr="00110D6C">
        <w:rPr>
          <w:rFonts w:cs="Times New Roman"/>
          <w:color w:val="auto"/>
          <w:szCs w:val="22"/>
          <w:lang w:val="pt-PT"/>
        </w:rPr>
        <w:t>por 10</w:t>
      </w:r>
      <w:r w:rsidR="00B910F9" w:rsidRPr="00110D6C">
        <w:rPr>
          <w:rFonts w:cs="Times New Roman"/>
          <w:color w:val="auto"/>
          <w:szCs w:val="22"/>
          <w:lang w:val="pt-PT"/>
        </w:rPr>
        <w:t>0 </w:t>
      </w:r>
      <w:r w:rsidRPr="00110D6C">
        <w:rPr>
          <w:rFonts w:cs="Times New Roman"/>
          <w:color w:val="auto"/>
          <w:szCs w:val="22"/>
          <w:lang w:val="pt-PT"/>
        </w:rPr>
        <w:t>doente-anos de seguimento para doentes tratados com ustecinumab). A incidência de doenças malignas relatadas em doentes tratados com ustecinumab foi</w:t>
      </w:r>
      <w:r w:rsidR="005562CC" w:rsidRPr="00110D6C">
        <w:rPr>
          <w:rFonts w:cs="Times New Roman"/>
          <w:color w:val="auto"/>
          <w:szCs w:val="22"/>
          <w:lang w:val="pt-PT"/>
        </w:rPr>
        <w:t xml:space="preserve"> </w:t>
      </w:r>
      <w:r w:rsidRPr="00110D6C">
        <w:rPr>
          <w:rFonts w:cs="Times New Roman"/>
          <w:color w:val="auto"/>
          <w:szCs w:val="22"/>
          <w:lang w:val="pt-PT"/>
        </w:rPr>
        <w:t>comparável à incidência expectável na população em geral (rácio de incidência padronizado</w:t>
      </w:r>
      <w:r w:rsidR="005562CC" w:rsidRPr="00110D6C">
        <w:rPr>
          <w:rFonts w:cs="Times New Roman"/>
          <w:color w:val="auto"/>
          <w:szCs w:val="22"/>
          <w:lang w:val="pt-PT"/>
        </w:rPr>
        <w:t> </w:t>
      </w:r>
      <w:r w:rsidRPr="00110D6C">
        <w:rPr>
          <w:rFonts w:cs="Times New Roman"/>
          <w:color w:val="auto"/>
          <w:szCs w:val="22"/>
          <w:lang w:val="pt-PT"/>
        </w:rPr>
        <w:t>=</w:t>
      </w:r>
      <w:r w:rsidR="005562CC" w:rsidRPr="00110D6C">
        <w:rPr>
          <w:rFonts w:cs="Times New Roman"/>
          <w:color w:val="auto"/>
          <w:szCs w:val="22"/>
          <w:lang w:val="pt-PT"/>
        </w:rPr>
        <w:t> </w:t>
      </w:r>
      <w:r w:rsidRPr="00110D6C">
        <w:rPr>
          <w:rFonts w:cs="Times New Roman"/>
          <w:color w:val="auto"/>
          <w:szCs w:val="22"/>
          <w:lang w:val="pt-PT"/>
        </w:rPr>
        <w:t>0,9</w:t>
      </w:r>
      <w:r w:rsidR="00CC0C9B">
        <w:rPr>
          <w:rFonts w:cs="Times New Roman"/>
          <w:color w:val="auto"/>
          <w:szCs w:val="22"/>
          <w:lang w:val="pt-PT"/>
        </w:rPr>
        <w:t>4</w:t>
      </w:r>
      <w:r w:rsidR="005562CC" w:rsidRPr="00110D6C">
        <w:rPr>
          <w:rFonts w:cs="Times New Roman"/>
          <w:color w:val="auto"/>
          <w:szCs w:val="22"/>
          <w:lang w:val="pt-PT"/>
        </w:rPr>
        <w:t xml:space="preserve"> </w:t>
      </w:r>
      <w:r w:rsidRPr="00110D6C">
        <w:rPr>
          <w:rFonts w:cs="Times New Roman"/>
          <w:color w:val="auto"/>
          <w:szCs w:val="22"/>
          <w:lang w:val="pt-PT"/>
        </w:rPr>
        <w:t>[intervalo de confiança de 95%: 0,7</w:t>
      </w:r>
      <w:r w:rsidR="00CC0C9B">
        <w:rPr>
          <w:rFonts w:cs="Times New Roman"/>
          <w:color w:val="auto"/>
          <w:szCs w:val="22"/>
          <w:lang w:val="pt-PT"/>
        </w:rPr>
        <w:t>3</w:t>
      </w:r>
      <w:r w:rsidRPr="00110D6C">
        <w:rPr>
          <w:rFonts w:cs="Times New Roman"/>
          <w:color w:val="auto"/>
          <w:szCs w:val="22"/>
          <w:lang w:val="pt-PT"/>
        </w:rPr>
        <w:t>, 1,</w:t>
      </w:r>
      <w:r w:rsidR="00CC0C9B">
        <w:rPr>
          <w:rFonts w:cs="Times New Roman"/>
          <w:color w:val="auto"/>
          <w:szCs w:val="22"/>
          <w:lang w:val="pt-PT"/>
        </w:rPr>
        <w:t>18</w:t>
      </w:r>
      <w:r w:rsidRPr="00110D6C">
        <w:rPr>
          <w:rFonts w:cs="Times New Roman"/>
          <w:color w:val="auto"/>
          <w:szCs w:val="22"/>
          <w:lang w:val="pt-PT"/>
        </w:rPr>
        <w:t xml:space="preserve">], ajustada por idade, género e raça). As doenças malignas mais frequentemente observadas, para além do cancro de pele não melanoma, foram os cancros da próstata, </w:t>
      </w:r>
      <w:r w:rsidR="00CC0C9B">
        <w:rPr>
          <w:rFonts w:cs="Times New Roman"/>
          <w:color w:val="auto"/>
          <w:szCs w:val="22"/>
          <w:lang w:val="pt-PT"/>
        </w:rPr>
        <w:t xml:space="preserve">melanoma, </w:t>
      </w:r>
      <w:r w:rsidRPr="00110D6C">
        <w:rPr>
          <w:rFonts w:cs="Times New Roman"/>
          <w:color w:val="auto"/>
          <w:szCs w:val="22"/>
          <w:lang w:val="pt-PT"/>
        </w:rPr>
        <w:t>colo</w:t>
      </w:r>
      <w:r w:rsidR="00E2467D">
        <w:rPr>
          <w:rFonts w:cs="Times New Roman"/>
          <w:color w:val="auto"/>
          <w:szCs w:val="22"/>
          <w:lang w:val="pt-PT"/>
        </w:rPr>
        <w:t>r</w:t>
      </w:r>
      <w:r w:rsidRPr="00110D6C">
        <w:rPr>
          <w:rFonts w:cs="Times New Roman"/>
          <w:color w:val="auto"/>
          <w:szCs w:val="22"/>
          <w:lang w:val="pt-PT"/>
        </w:rPr>
        <w:t>retal e mama. A incidência do cancro de pele não melanoma foi 0,4</w:t>
      </w:r>
      <w:r w:rsidR="00CC0C9B">
        <w:rPr>
          <w:rFonts w:cs="Times New Roman"/>
          <w:color w:val="auto"/>
          <w:szCs w:val="22"/>
          <w:lang w:val="pt-PT"/>
        </w:rPr>
        <w:t>6</w:t>
      </w:r>
      <w:r w:rsidR="00B910F9" w:rsidRPr="00110D6C">
        <w:rPr>
          <w:rFonts w:cs="Times New Roman"/>
          <w:color w:val="auto"/>
          <w:szCs w:val="22"/>
          <w:lang w:val="pt-PT"/>
        </w:rPr>
        <w:t> </w:t>
      </w:r>
      <w:r w:rsidRPr="00110D6C">
        <w:rPr>
          <w:rFonts w:cs="Times New Roman"/>
          <w:color w:val="auto"/>
          <w:szCs w:val="22"/>
          <w:lang w:val="pt-PT"/>
        </w:rPr>
        <w:t>por 10</w:t>
      </w:r>
      <w:r w:rsidR="00B910F9" w:rsidRPr="00110D6C">
        <w:rPr>
          <w:rFonts w:cs="Times New Roman"/>
          <w:color w:val="auto"/>
          <w:szCs w:val="22"/>
          <w:lang w:val="pt-PT"/>
        </w:rPr>
        <w:t>0 </w:t>
      </w:r>
      <w:r w:rsidRPr="00110D6C">
        <w:rPr>
          <w:rFonts w:cs="Times New Roman"/>
          <w:color w:val="auto"/>
          <w:szCs w:val="22"/>
          <w:lang w:val="pt-PT"/>
        </w:rPr>
        <w:t>doente-anos de seguimento para doentes tratados com ustecinumab (</w:t>
      </w:r>
      <w:r w:rsidR="00B910F9" w:rsidRPr="00110D6C">
        <w:rPr>
          <w:rFonts w:cs="Times New Roman"/>
          <w:color w:val="auto"/>
          <w:szCs w:val="22"/>
          <w:lang w:val="pt-PT"/>
        </w:rPr>
        <w:t>6</w:t>
      </w:r>
      <w:r w:rsidR="00CC0C9B">
        <w:rPr>
          <w:rFonts w:cs="Times New Roman"/>
          <w:color w:val="auto"/>
          <w:szCs w:val="22"/>
          <w:lang w:val="pt-PT"/>
        </w:rPr>
        <w:t>9</w:t>
      </w:r>
      <w:r w:rsidR="00B910F9" w:rsidRPr="00110D6C">
        <w:rPr>
          <w:rFonts w:cs="Times New Roman"/>
          <w:color w:val="auto"/>
          <w:szCs w:val="22"/>
          <w:lang w:val="pt-PT"/>
        </w:rPr>
        <w:t> </w:t>
      </w:r>
      <w:r w:rsidRPr="00110D6C">
        <w:rPr>
          <w:rFonts w:cs="Times New Roman"/>
          <w:color w:val="auto"/>
          <w:szCs w:val="22"/>
          <w:lang w:val="pt-PT"/>
        </w:rPr>
        <w:t>doentes em 1</w:t>
      </w:r>
      <w:r w:rsidR="00CC0C9B">
        <w:rPr>
          <w:rFonts w:cs="Times New Roman"/>
          <w:color w:val="auto"/>
          <w:szCs w:val="22"/>
          <w:lang w:val="pt-PT"/>
        </w:rPr>
        <w:t>5 165</w:t>
      </w:r>
      <w:r w:rsidR="00B910F9" w:rsidRPr="00110D6C">
        <w:rPr>
          <w:rFonts w:cs="Times New Roman"/>
          <w:color w:val="auto"/>
          <w:szCs w:val="22"/>
          <w:lang w:val="pt-PT"/>
        </w:rPr>
        <w:t> </w:t>
      </w:r>
      <w:r w:rsidRPr="00110D6C">
        <w:rPr>
          <w:rFonts w:cs="Times New Roman"/>
          <w:color w:val="auto"/>
          <w:szCs w:val="22"/>
          <w:lang w:val="pt-PT"/>
        </w:rPr>
        <w:t>doente- anos de seguimento). A taxa de doentes com carcinoma espinocelular versus carcinoma basocelular (3:1) é comparável à taxa expectável na população em geral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4.4).</w:t>
      </w:r>
    </w:p>
    <w:p w14:paraId="302DD39F" w14:textId="77777777" w:rsidR="0043129A" w:rsidRPr="00110D6C" w:rsidRDefault="0043129A" w:rsidP="00A17623">
      <w:pPr>
        <w:widowControl/>
        <w:rPr>
          <w:rFonts w:cs="Times New Roman"/>
          <w:color w:val="auto"/>
          <w:szCs w:val="22"/>
          <w:lang w:val="pt-PT"/>
        </w:rPr>
      </w:pPr>
    </w:p>
    <w:p w14:paraId="691C598B"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Reações de hipersensibilidade</w:t>
      </w:r>
    </w:p>
    <w:p w14:paraId="7FA42114" w14:textId="3C831C3D" w:rsidR="0077031F" w:rsidRPr="00110D6C" w:rsidRDefault="00030085" w:rsidP="00A17623">
      <w:pPr>
        <w:widowControl/>
        <w:rPr>
          <w:rFonts w:cs="Times New Roman"/>
          <w:color w:val="auto"/>
          <w:szCs w:val="22"/>
          <w:lang w:val="pt-PT"/>
        </w:rPr>
      </w:pPr>
      <w:r w:rsidRPr="00110D6C">
        <w:rPr>
          <w:rFonts w:cs="Times New Roman"/>
          <w:color w:val="auto"/>
          <w:szCs w:val="22"/>
          <w:lang w:val="pt-PT"/>
        </w:rPr>
        <w:t>Na fase controlada dos estudos clínicos na psoríase e na artrite psoriática com ustecinumab, observou-se a ocorrência quer de erupção cutânea, quer de urticária em &lt;</w:t>
      </w:r>
      <w:r w:rsidR="00F5387C" w:rsidRPr="00110D6C">
        <w:rPr>
          <w:rFonts w:cs="Times New Roman"/>
          <w:color w:val="auto"/>
          <w:szCs w:val="22"/>
          <w:lang w:val="pt-PT"/>
        </w:rPr>
        <w:t> </w:t>
      </w:r>
      <w:r w:rsidRPr="00110D6C">
        <w:rPr>
          <w:rFonts w:cs="Times New Roman"/>
          <w:color w:val="auto"/>
          <w:szCs w:val="22"/>
          <w:lang w:val="pt-PT"/>
        </w:rPr>
        <w:t>1% dos doentes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4.4).</w:t>
      </w:r>
    </w:p>
    <w:p w14:paraId="5695F892" w14:textId="77777777" w:rsidR="0043129A" w:rsidRPr="00110D6C" w:rsidRDefault="0043129A" w:rsidP="00A17623">
      <w:pPr>
        <w:widowControl/>
        <w:rPr>
          <w:rFonts w:cs="Times New Roman"/>
          <w:color w:val="auto"/>
          <w:szCs w:val="22"/>
          <w:lang w:val="pt-PT"/>
        </w:rPr>
      </w:pPr>
    </w:p>
    <w:p w14:paraId="526DE011"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População pediátrica</w:t>
      </w:r>
    </w:p>
    <w:p w14:paraId="5C39BCA6" w14:textId="77777777" w:rsidR="0077031F" w:rsidRPr="00110D6C" w:rsidRDefault="00030085" w:rsidP="00A17623">
      <w:pPr>
        <w:widowControl/>
        <w:rPr>
          <w:rFonts w:cs="Times New Roman"/>
          <w:color w:val="auto"/>
          <w:szCs w:val="22"/>
          <w:lang w:val="pt-PT"/>
        </w:rPr>
      </w:pPr>
      <w:r w:rsidRPr="00110D6C">
        <w:rPr>
          <w:rFonts w:cs="Times New Roman"/>
          <w:i/>
          <w:iCs/>
          <w:color w:val="auto"/>
          <w:szCs w:val="22"/>
          <w:lang w:val="pt-PT"/>
        </w:rPr>
        <w:t xml:space="preserve">Doentes pediátricos com idade igual ou superior a </w:t>
      </w:r>
      <w:r w:rsidR="00B910F9" w:rsidRPr="00110D6C">
        <w:rPr>
          <w:rFonts w:cs="Times New Roman"/>
          <w:i/>
          <w:iCs/>
          <w:color w:val="auto"/>
          <w:szCs w:val="22"/>
          <w:lang w:val="pt-PT"/>
        </w:rPr>
        <w:t>6 </w:t>
      </w:r>
      <w:r w:rsidRPr="00110D6C">
        <w:rPr>
          <w:rFonts w:cs="Times New Roman"/>
          <w:i/>
          <w:iCs/>
          <w:color w:val="auto"/>
          <w:szCs w:val="22"/>
          <w:lang w:val="pt-PT"/>
        </w:rPr>
        <w:t>anos com psoríase em placas</w:t>
      </w:r>
    </w:p>
    <w:p w14:paraId="2E07094B"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 segurança de ustecinumab foi estudada em dois estudos de fase </w:t>
      </w:r>
      <w:r w:rsidR="00B910F9" w:rsidRPr="00110D6C">
        <w:rPr>
          <w:rFonts w:cs="Times New Roman"/>
          <w:color w:val="auto"/>
          <w:szCs w:val="22"/>
          <w:lang w:val="pt-PT"/>
        </w:rPr>
        <w:t>3 </w:t>
      </w:r>
      <w:r w:rsidRPr="00110D6C">
        <w:rPr>
          <w:rFonts w:cs="Times New Roman"/>
          <w:color w:val="auto"/>
          <w:szCs w:val="22"/>
          <w:lang w:val="pt-PT"/>
        </w:rPr>
        <w:t>em doentes pediátricos com psoríase em placas moderada a grave. O primeiro estudo envolveu 11</w:t>
      </w:r>
      <w:r w:rsidR="00B910F9" w:rsidRPr="00110D6C">
        <w:rPr>
          <w:rFonts w:cs="Times New Roman"/>
          <w:color w:val="auto"/>
          <w:szCs w:val="22"/>
          <w:lang w:val="pt-PT"/>
        </w:rPr>
        <w:t>0 </w:t>
      </w:r>
      <w:r w:rsidRPr="00110D6C">
        <w:rPr>
          <w:rFonts w:cs="Times New Roman"/>
          <w:color w:val="auto"/>
          <w:szCs w:val="22"/>
          <w:lang w:val="pt-PT"/>
        </w:rPr>
        <w:t>doentes com idade entre os 1</w:t>
      </w:r>
      <w:r w:rsidR="00B910F9" w:rsidRPr="00110D6C">
        <w:rPr>
          <w:rFonts w:cs="Times New Roman"/>
          <w:color w:val="auto"/>
          <w:szCs w:val="22"/>
          <w:lang w:val="pt-PT"/>
        </w:rPr>
        <w:t>2 </w:t>
      </w:r>
      <w:r w:rsidRPr="00110D6C">
        <w:rPr>
          <w:rFonts w:cs="Times New Roman"/>
          <w:color w:val="auto"/>
          <w:szCs w:val="22"/>
          <w:lang w:val="pt-PT"/>
        </w:rPr>
        <w:t>e os 1</w:t>
      </w:r>
      <w:r w:rsidR="00B910F9" w:rsidRPr="00110D6C">
        <w:rPr>
          <w:rFonts w:cs="Times New Roman"/>
          <w:color w:val="auto"/>
          <w:szCs w:val="22"/>
          <w:lang w:val="pt-PT"/>
        </w:rPr>
        <w:t>7 </w:t>
      </w:r>
      <w:r w:rsidRPr="00110D6C">
        <w:rPr>
          <w:rFonts w:cs="Times New Roman"/>
          <w:color w:val="auto"/>
          <w:szCs w:val="22"/>
          <w:lang w:val="pt-PT"/>
        </w:rPr>
        <w:t>anos tratados até 6</w:t>
      </w:r>
      <w:r w:rsidR="00B910F9" w:rsidRPr="00110D6C">
        <w:rPr>
          <w:rFonts w:cs="Times New Roman"/>
          <w:color w:val="auto"/>
          <w:szCs w:val="22"/>
          <w:lang w:val="pt-PT"/>
        </w:rPr>
        <w:t>0 </w:t>
      </w:r>
      <w:r w:rsidRPr="00110D6C">
        <w:rPr>
          <w:rFonts w:cs="Times New Roman"/>
          <w:color w:val="auto"/>
          <w:szCs w:val="22"/>
          <w:lang w:val="pt-PT"/>
        </w:rPr>
        <w:t>semanas e o segundo estudo envolveu 4</w:t>
      </w:r>
      <w:r w:rsidR="00B910F9" w:rsidRPr="00110D6C">
        <w:rPr>
          <w:rFonts w:cs="Times New Roman"/>
          <w:color w:val="auto"/>
          <w:szCs w:val="22"/>
          <w:lang w:val="pt-PT"/>
        </w:rPr>
        <w:t>4 </w:t>
      </w:r>
      <w:r w:rsidRPr="00110D6C">
        <w:rPr>
          <w:rFonts w:cs="Times New Roman"/>
          <w:color w:val="auto"/>
          <w:szCs w:val="22"/>
          <w:lang w:val="pt-PT"/>
        </w:rPr>
        <w:t xml:space="preserve">doentes com idade entre os </w:t>
      </w:r>
      <w:r w:rsidR="00B910F9" w:rsidRPr="00110D6C">
        <w:rPr>
          <w:rFonts w:cs="Times New Roman"/>
          <w:color w:val="auto"/>
          <w:szCs w:val="22"/>
          <w:lang w:val="pt-PT"/>
        </w:rPr>
        <w:t>6 </w:t>
      </w:r>
      <w:r w:rsidRPr="00110D6C">
        <w:rPr>
          <w:rFonts w:cs="Times New Roman"/>
          <w:color w:val="auto"/>
          <w:szCs w:val="22"/>
          <w:lang w:val="pt-PT"/>
        </w:rPr>
        <w:t>e os 1</w:t>
      </w:r>
      <w:r w:rsidR="00B910F9" w:rsidRPr="00110D6C">
        <w:rPr>
          <w:rFonts w:cs="Times New Roman"/>
          <w:color w:val="auto"/>
          <w:szCs w:val="22"/>
          <w:lang w:val="pt-PT"/>
        </w:rPr>
        <w:t>1 </w:t>
      </w:r>
      <w:r w:rsidRPr="00110D6C">
        <w:rPr>
          <w:rFonts w:cs="Times New Roman"/>
          <w:color w:val="auto"/>
          <w:szCs w:val="22"/>
          <w:lang w:val="pt-PT"/>
        </w:rPr>
        <w:t>anos tratados até 5</w:t>
      </w:r>
      <w:r w:rsidR="00B910F9" w:rsidRPr="00110D6C">
        <w:rPr>
          <w:rFonts w:cs="Times New Roman"/>
          <w:color w:val="auto"/>
          <w:szCs w:val="22"/>
          <w:lang w:val="pt-PT"/>
        </w:rPr>
        <w:t>6 </w:t>
      </w:r>
      <w:r w:rsidRPr="00110D6C">
        <w:rPr>
          <w:rFonts w:cs="Times New Roman"/>
          <w:color w:val="auto"/>
          <w:szCs w:val="22"/>
          <w:lang w:val="pt-PT"/>
        </w:rPr>
        <w:t xml:space="preserve">semanas. Em geral, os acontecimentos adversos notificados nestes dois estudos com dados de segurança até </w:t>
      </w:r>
      <w:r w:rsidR="00B910F9" w:rsidRPr="00110D6C">
        <w:rPr>
          <w:rFonts w:cs="Times New Roman"/>
          <w:color w:val="auto"/>
          <w:szCs w:val="22"/>
          <w:lang w:val="pt-PT"/>
        </w:rPr>
        <w:t>1 </w:t>
      </w:r>
      <w:r w:rsidRPr="00110D6C">
        <w:rPr>
          <w:rFonts w:cs="Times New Roman"/>
          <w:color w:val="auto"/>
          <w:szCs w:val="22"/>
          <w:lang w:val="pt-PT"/>
        </w:rPr>
        <w:t>ano foram semelhantes aos observados em estudos anteriores em adultos com psoríase em placas.</w:t>
      </w:r>
    </w:p>
    <w:p w14:paraId="5EFC45AE" w14:textId="77777777" w:rsidR="0043129A" w:rsidRPr="00110D6C" w:rsidRDefault="0043129A" w:rsidP="00A17623">
      <w:pPr>
        <w:widowControl/>
        <w:rPr>
          <w:rFonts w:cs="Times New Roman"/>
          <w:color w:val="auto"/>
          <w:szCs w:val="22"/>
          <w:lang w:val="pt-PT"/>
        </w:rPr>
      </w:pPr>
    </w:p>
    <w:p w14:paraId="0F0A1056"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Notificação de suspeitas de reações adversas</w:t>
      </w:r>
    </w:p>
    <w:p w14:paraId="10216AD8" w14:textId="0485465D"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110D6C">
        <w:rPr>
          <w:rFonts w:cs="Times New Roman"/>
          <w:color w:val="auto"/>
          <w:szCs w:val="22"/>
          <w:highlight w:val="lightGray"/>
          <w:lang w:val="pt-PT"/>
        </w:rPr>
        <w:t xml:space="preserve">do sistema nacional de notificação mencionado no </w:t>
      </w:r>
      <w:hyperlink r:id="rId13" w:history="1">
        <w:r w:rsidRPr="00E2467D">
          <w:rPr>
            <w:rStyle w:val="Hyperlink"/>
            <w:rFonts w:cs="Times New Roman"/>
            <w:szCs w:val="22"/>
            <w:highlight w:val="lightGray"/>
            <w:lang w:val="pt-PT"/>
          </w:rPr>
          <w:t>Apêndice</w:t>
        </w:r>
        <w:r w:rsidR="00DA7FFC" w:rsidRPr="00E2467D">
          <w:rPr>
            <w:rStyle w:val="Hyperlink"/>
            <w:rFonts w:cs="Times New Roman"/>
            <w:szCs w:val="22"/>
            <w:highlight w:val="lightGray"/>
            <w:lang w:val="pt-PT"/>
          </w:rPr>
          <w:t> </w:t>
        </w:r>
        <w:r w:rsidRPr="00E2467D">
          <w:rPr>
            <w:rStyle w:val="Hyperlink"/>
            <w:rFonts w:cs="Times New Roman"/>
            <w:szCs w:val="22"/>
            <w:highlight w:val="lightGray"/>
            <w:lang w:val="pt-PT"/>
          </w:rPr>
          <w:t>V</w:t>
        </w:r>
      </w:hyperlink>
      <w:r w:rsidRPr="00110D6C">
        <w:rPr>
          <w:rFonts w:cs="Times New Roman"/>
          <w:color w:val="auto"/>
          <w:szCs w:val="22"/>
          <w:highlight w:val="lightGray"/>
          <w:lang w:val="pt-PT"/>
        </w:rPr>
        <w:t>.</w:t>
      </w:r>
    </w:p>
    <w:p w14:paraId="6D0C8B66" w14:textId="77777777" w:rsidR="00DC3C01" w:rsidRPr="00110D6C" w:rsidRDefault="00DC3C01" w:rsidP="002057DA">
      <w:pPr>
        <w:widowControl/>
        <w:rPr>
          <w:rFonts w:cs="Times New Roman"/>
          <w:bCs/>
          <w:color w:val="auto"/>
          <w:szCs w:val="22"/>
          <w:lang w:val="pt-PT"/>
        </w:rPr>
      </w:pPr>
      <w:bookmarkStart w:id="37" w:name="bookmark72"/>
    </w:p>
    <w:p w14:paraId="154CCB55"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4.9</w:t>
      </w:r>
      <w:r w:rsidRPr="00110D6C">
        <w:rPr>
          <w:rFonts w:cs="Times New Roman"/>
          <w:b/>
          <w:bCs/>
          <w:color w:val="auto"/>
          <w:szCs w:val="22"/>
          <w:lang w:val="pt-PT"/>
        </w:rPr>
        <w:tab/>
      </w:r>
      <w:r w:rsidR="00030085" w:rsidRPr="00110D6C">
        <w:rPr>
          <w:rFonts w:cs="Times New Roman"/>
          <w:b/>
          <w:bCs/>
          <w:color w:val="auto"/>
          <w:szCs w:val="22"/>
          <w:lang w:val="pt-PT"/>
        </w:rPr>
        <w:t>Sobredosagem</w:t>
      </w:r>
      <w:bookmarkEnd w:id="37"/>
    </w:p>
    <w:p w14:paraId="3E213859" w14:textId="77777777" w:rsidR="0043129A" w:rsidRPr="00110D6C" w:rsidRDefault="0043129A" w:rsidP="00A17623">
      <w:pPr>
        <w:widowControl/>
        <w:rPr>
          <w:rFonts w:cs="Times New Roman"/>
          <w:color w:val="auto"/>
          <w:szCs w:val="22"/>
          <w:lang w:val="pt-PT"/>
        </w:rPr>
      </w:pPr>
    </w:p>
    <w:p w14:paraId="1B7B7837"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Foram administradas doses únicas até </w:t>
      </w:r>
      <w:r w:rsidR="00B910F9" w:rsidRPr="00110D6C">
        <w:rPr>
          <w:rFonts w:cs="Times New Roman"/>
          <w:color w:val="auto"/>
          <w:szCs w:val="22"/>
          <w:lang w:val="pt-PT"/>
        </w:rPr>
        <w:t>6 </w:t>
      </w:r>
      <w:r w:rsidRPr="00110D6C">
        <w:rPr>
          <w:rFonts w:cs="Times New Roman"/>
          <w:color w:val="auto"/>
          <w:szCs w:val="22"/>
          <w:lang w:val="pt-PT"/>
        </w:rPr>
        <w:t>mg/kg, por via intravenosa, em estudos clínicos sem toxicidade limitante de dose. No caso de sobredosagem, recomenda-se a monitorização do doente em relação a quaisquer sinais ou sintomas de reações adversas e a instituição imediata de tratamento sintomático apropriado.</w:t>
      </w:r>
    </w:p>
    <w:p w14:paraId="6ABF8D33" w14:textId="77777777" w:rsidR="0043129A" w:rsidRPr="00110D6C" w:rsidRDefault="0043129A" w:rsidP="00A17623">
      <w:pPr>
        <w:widowControl/>
        <w:rPr>
          <w:rFonts w:cs="Times New Roman"/>
          <w:color w:val="auto"/>
          <w:szCs w:val="22"/>
          <w:lang w:val="pt-PT"/>
        </w:rPr>
      </w:pPr>
    </w:p>
    <w:p w14:paraId="5198D8B5" w14:textId="77777777" w:rsidR="0043129A" w:rsidRPr="00110D6C" w:rsidRDefault="0043129A" w:rsidP="00A17623">
      <w:pPr>
        <w:widowControl/>
        <w:rPr>
          <w:rFonts w:cs="Times New Roman"/>
          <w:color w:val="auto"/>
          <w:szCs w:val="22"/>
          <w:lang w:val="pt-PT"/>
        </w:rPr>
      </w:pPr>
    </w:p>
    <w:p w14:paraId="6FBE8945"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5.</w:t>
      </w:r>
      <w:r w:rsidRPr="00110D6C">
        <w:rPr>
          <w:rFonts w:cs="Times New Roman"/>
          <w:b/>
          <w:bCs/>
          <w:color w:val="auto"/>
          <w:szCs w:val="22"/>
          <w:lang w:val="pt-PT"/>
        </w:rPr>
        <w:tab/>
      </w:r>
      <w:r w:rsidR="00030085" w:rsidRPr="00110D6C">
        <w:rPr>
          <w:rFonts w:cs="Times New Roman"/>
          <w:b/>
          <w:bCs/>
          <w:color w:val="auto"/>
          <w:szCs w:val="22"/>
          <w:lang w:val="pt-PT"/>
        </w:rPr>
        <w:t>PROPRIEDADES FARMACOLÓGICAS</w:t>
      </w:r>
    </w:p>
    <w:p w14:paraId="7BA4FD05" w14:textId="77777777" w:rsidR="00DC3C01" w:rsidRPr="00110D6C" w:rsidRDefault="00DC3C01" w:rsidP="002057DA">
      <w:pPr>
        <w:widowControl/>
        <w:rPr>
          <w:rFonts w:cs="Times New Roman"/>
          <w:bCs/>
          <w:color w:val="auto"/>
          <w:szCs w:val="22"/>
          <w:lang w:val="pt-PT"/>
        </w:rPr>
      </w:pPr>
      <w:bookmarkStart w:id="38" w:name="bookmark74"/>
    </w:p>
    <w:p w14:paraId="038BAAD2"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5.1</w:t>
      </w:r>
      <w:r w:rsidRPr="00110D6C">
        <w:rPr>
          <w:rFonts w:cs="Times New Roman"/>
          <w:b/>
          <w:bCs/>
          <w:color w:val="auto"/>
          <w:szCs w:val="22"/>
          <w:lang w:val="pt-PT"/>
        </w:rPr>
        <w:tab/>
      </w:r>
      <w:r w:rsidR="00030085" w:rsidRPr="00110D6C">
        <w:rPr>
          <w:rFonts w:cs="Times New Roman"/>
          <w:b/>
          <w:bCs/>
          <w:color w:val="auto"/>
          <w:szCs w:val="22"/>
          <w:lang w:val="pt-PT"/>
        </w:rPr>
        <w:t>Propriedades farmacodinâmicas</w:t>
      </w:r>
      <w:bookmarkEnd w:id="38"/>
    </w:p>
    <w:p w14:paraId="2024F376" w14:textId="77777777" w:rsidR="0043129A" w:rsidRPr="00110D6C" w:rsidRDefault="0043129A" w:rsidP="00A17623">
      <w:pPr>
        <w:widowControl/>
        <w:rPr>
          <w:rFonts w:cs="Times New Roman"/>
          <w:color w:val="auto"/>
          <w:szCs w:val="22"/>
          <w:lang w:val="pt-PT"/>
        </w:rPr>
      </w:pPr>
    </w:p>
    <w:p w14:paraId="449CC00C"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Grupo farmacoterapêutico: Imunossupressores, inibidores da interleucina, código ATC: L04AC05</w:t>
      </w:r>
    </w:p>
    <w:p w14:paraId="2C833E68" w14:textId="77777777" w:rsidR="00E2467D" w:rsidRDefault="00E2467D" w:rsidP="00E2467D">
      <w:pPr>
        <w:widowControl/>
        <w:rPr>
          <w:rFonts w:cs="Times New Roman"/>
          <w:color w:val="auto"/>
          <w:szCs w:val="22"/>
          <w:lang w:val="pt-PT"/>
        </w:rPr>
      </w:pPr>
    </w:p>
    <w:p w14:paraId="41FDE3CA" w14:textId="77777777" w:rsidR="00E2467D" w:rsidRDefault="00E2467D" w:rsidP="00E2467D">
      <w:pPr>
        <w:widowControl/>
      </w:pPr>
      <w:r>
        <w:rPr>
          <w:rFonts w:cs="Times New Roman"/>
          <w:color w:val="auto"/>
          <w:szCs w:val="22"/>
          <w:lang w:val="pt-PT"/>
        </w:rPr>
        <w:t xml:space="preserve">Fymskina </w:t>
      </w:r>
      <w:r w:rsidRPr="00487FCB">
        <w:t xml:space="preserve">é um medicamento biológico similar. Está disponível informação pormenorizada no sítio da internet da Agência Europeia de Medicamentos </w:t>
      </w:r>
      <w:hyperlink r:id="rId14" w:history="1">
        <w:r w:rsidRPr="003E58F8">
          <w:rPr>
            <w:rStyle w:val="Hyperlink"/>
            <w:noProof/>
          </w:rPr>
          <w:t>https://www.ema.europa.eu</w:t>
        </w:r>
      </w:hyperlink>
      <w:r w:rsidRPr="002D4719">
        <w:rPr>
          <w:color w:val="0000FF"/>
        </w:rPr>
        <w:t>.</w:t>
      </w:r>
    </w:p>
    <w:p w14:paraId="4C805F74" w14:textId="77777777" w:rsidR="0043129A" w:rsidRPr="00110D6C" w:rsidRDefault="0043129A" w:rsidP="00A17623">
      <w:pPr>
        <w:widowControl/>
        <w:rPr>
          <w:rFonts w:cs="Times New Roman"/>
          <w:color w:val="auto"/>
          <w:szCs w:val="22"/>
          <w:lang w:val="pt-PT"/>
        </w:rPr>
      </w:pPr>
    </w:p>
    <w:p w14:paraId="73DACFD6"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Mecanismo de ação</w:t>
      </w:r>
    </w:p>
    <w:p w14:paraId="2C6437C2" w14:textId="754324D8" w:rsidR="0077031F" w:rsidRPr="00110D6C" w:rsidRDefault="00030085" w:rsidP="00A17623">
      <w:pPr>
        <w:widowControl/>
        <w:rPr>
          <w:rFonts w:cs="Times New Roman"/>
          <w:color w:val="auto"/>
          <w:szCs w:val="22"/>
          <w:lang w:val="pt-PT"/>
        </w:rPr>
      </w:pPr>
      <w:r w:rsidRPr="00110D6C">
        <w:rPr>
          <w:rFonts w:cs="Times New Roman"/>
          <w:color w:val="auto"/>
          <w:szCs w:val="22"/>
          <w:lang w:val="pt-PT"/>
        </w:rPr>
        <w:t>O ustecinumab é um anticorpo monoclonal IgG1κ totalmente humano que se liga com especificidade à subunidade partilhada da proteína p4</w:t>
      </w:r>
      <w:r w:rsidR="00B910F9" w:rsidRPr="00110D6C">
        <w:rPr>
          <w:rFonts w:cs="Times New Roman"/>
          <w:color w:val="auto"/>
          <w:szCs w:val="22"/>
          <w:lang w:val="pt-PT"/>
        </w:rPr>
        <w:t>0 </w:t>
      </w:r>
      <w:r w:rsidRPr="00110D6C">
        <w:rPr>
          <w:rFonts w:cs="Times New Roman"/>
          <w:color w:val="auto"/>
          <w:szCs w:val="22"/>
          <w:lang w:val="pt-PT"/>
        </w:rPr>
        <w:t>das citocinas humanas interleucina (IL)-1</w:t>
      </w:r>
      <w:r w:rsidR="00B910F9" w:rsidRPr="00110D6C">
        <w:rPr>
          <w:rFonts w:cs="Times New Roman"/>
          <w:color w:val="auto"/>
          <w:szCs w:val="22"/>
          <w:lang w:val="pt-PT"/>
        </w:rPr>
        <w:t>2 </w:t>
      </w:r>
      <w:r w:rsidRPr="00110D6C">
        <w:rPr>
          <w:rFonts w:cs="Times New Roman"/>
          <w:color w:val="auto"/>
          <w:szCs w:val="22"/>
          <w:lang w:val="pt-PT"/>
        </w:rPr>
        <w:t>e IL-23. O ustecinumab inibe a bioatividade das IL-1</w:t>
      </w:r>
      <w:r w:rsidR="00B910F9" w:rsidRPr="00110D6C">
        <w:rPr>
          <w:rFonts w:cs="Times New Roman"/>
          <w:color w:val="auto"/>
          <w:szCs w:val="22"/>
          <w:lang w:val="pt-PT"/>
        </w:rPr>
        <w:t>2 </w:t>
      </w:r>
      <w:r w:rsidRPr="00110D6C">
        <w:rPr>
          <w:rFonts w:cs="Times New Roman"/>
          <w:color w:val="auto"/>
          <w:szCs w:val="22"/>
          <w:lang w:val="pt-PT"/>
        </w:rPr>
        <w:t>e IL-2</w:t>
      </w:r>
      <w:r w:rsidR="00B910F9" w:rsidRPr="00110D6C">
        <w:rPr>
          <w:rFonts w:cs="Times New Roman"/>
          <w:color w:val="auto"/>
          <w:szCs w:val="22"/>
          <w:lang w:val="pt-PT"/>
        </w:rPr>
        <w:t>3 </w:t>
      </w:r>
      <w:r w:rsidRPr="00110D6C">
        <w:rPr>
          <w:rFonts w:cs="Times New Roman"/>
          <w:color w:val="auto"/>
          <w:szCs w:val="22"/>
          <w:lang w:val="pt-PT"/>
        </w:rPr>
        <w:t>humanas, ao impedir que a p4</w:t>
      </w:r>
      <w:r w:rsidR="00B910F9" w:rsidRPr="00110D6C">
        <w:rPr>
          <w:rFonts w:cs="Times New Roman"/>
          <w:color w:val="auto"/>
          <w:szCs w:val="22"/>
          <w:lang w:val="pt-PT"/>
        </w:rPr>
        <w:t>0 </w:t>
      </w:r>
      <w:r w:rsidRPr="00110D6C">
        <w:rPr>
          <w:rFonts w:cs="Times New Roman"/>
          <w:color w:val="auto"/>
          <w:szCs w:val="22"/>
          <w:lang w:val="pt-PT"/>
        </w:rPr>
        <w:t>se ligue ao seu recetor proteico IL-12R</w:t>
      </w:r>
      <w:r w:rsidR="005562CC" w:rsidRPr="00110D6C">
        <w:rPr>
          <w:rFonts w:cs="Times New Roman"/>
          <w:color w:val="auto"/>
          <w:szCs w:val="22"/>
          <w:lang w:val="pt-PT"/>
        </w:rPr>
        <w:sym w:font="Symbol" w:char="F062"/>
      </w:r>
      <w:r w:rsidR="00B910F9" w:rsidRPr="00110D6C">
        <w:rPr>
          <w:rFonts w:cs="Times New Roman"/>
          <w:color w:val="auto"/>
          <w:szCs w:val="22"/>
          <w:lang w:val="pt-PT"/>
        </w:rPr>
        <w:t>1 </w:t>
      </w:r>
      <w:r w:rsidRPr="00110D6C">
        <w:rPr>
          <w:rFonts w:cs="Times New Roman"/>
          <w:color w:val="auto"/>
          <w:szCs w:val="22"/>
          <w:lang w:val="pt-PT"/>
        </w:rPr>
        <w:t>expresso na superfície das células imunitárias. O ustecinumab não se liga à IL-1</w:t>
      </w:r>
      <w:r w:rsidR="00B910F9" w:rsidRPr="00110D6C">
        <w:rPr>
          <w:rFonts w:cs="Times New Roman"/>
          <w:color w:val="auto"/>
          <w:szCs w:val="22"/>
          <w:lang w:val="pt-PT"/>
        </w:rPr>
        <w:t>2 </w:t>
      </w:r>
      <w:r w:rsidRPr="00110D6C">
        <w:rPr>
          <w:rFonts w:cs="Times New Roman"/>
          <w:color w:val="auto"/>
          <w:szCs w:val="22"/>
          <w:lang w:val="pt-PT"/>
        </w:rPr>
        <w:t>ou à IL-2</w:t>
      </w:r>
      <w:r w:rsidR="00B910F9" w:rsidRPr="00110D6C">
        <w:rPr>
          <w:rFonts w:cs="Times New Roman"/>
          <w:color w:val="auto"/>
          <w:szCs w:val="22"/>
          <w:lang w:val="pt-PT"/>
        </w:rPr>
        <w:t>3 </w:t>
      </w:r>
      <w:r w:rsidRPr="00110D6C">
        <w:rPr>
          <w:rFonts w:cs="Times New Roman"/>
          <w:color w:val="auto"/>
          <w:szCs w:val="22"/>
          <w:lang w:val="pt-PT"/>
        </w:rPr>
        <w:t>quando estas se encontram já ligadas aos recetores IL-12R</w:t>
      </w:r>
      <w:r w:rsidR="005562CC" w:rsidRPr="00110D6C">
        <w:rPr>
          <w:rFonts w:cs="Times New Roman"/>
          <w:color w:val="auto"/>
          <w:szCs w:val="22"/>
          <w:lang w:val="pt-PT"/>
        </w:rPr>
        <w:sym w:font="Symbol" w:char="F062"/>
      </w:r>
      <w:r w:rsidR="00B910F9" w:rsidRPr="00110D6C">
        <w:rPr>
          <w:rFonts w:cs="Times New Roman"/>
          <w:color w:val="auto"/>
          <w:szCs w:val="22"/>
          <w:lang w:val="pt-PT"/>
        </w:rPr>
        <w:t>1 </w:t>
      </w:r>
      <w:r w:rsidRPr="00110D6C">
        <w:rPr>
          <w:rFonts w:cs="Times New Roman"/>
          <w:color w:val="auto"/>
          <w:szCs w:val="22"/>
          <w:lang w:val="pt-PT"/>
        </w:rPr>
        <w:t>da superfície celular. Assim, não é provável que o ustecinumab contribua para a citotoxicidade mediada por complemento ou por anticorpo das células com recetores da IL-1</w:t>
      </w:r>
      <w:r w:rsidR="00B910F9" w:rsidRPr="00110D6C">
        <w:rPr>
          <w:rFonts w:cs="Times New Roman"/>
          <w:color w:val="auto"/>
          <w:szCs w:val="22"/>
          <w:lang w:val="pt-PT"/>
        </w:rPr>
        <w:t>2 </w:t>
      </w:r>
      <w:r w:rsidRPr="00110D6C">
        <w:rPr>
          <w:rFonts w:cs="Times New Roman"/>
          <w:color w:val="auto"/>
          <w:szCs w:val="22"/>
          <w:lang w:val="pt-PT"/>
        </w:rPr>
        <w:t>e/ou da IL-23. A IL-1</w:t>
      </w:r>
      <w:r w:rsidR="00B910F9" w:rsidRPr="00110D6C">
        <w:rPr>
          <w:rFonts w:cs="Times New Roman"/>
          <w:color w:val="auto"/>
          <w:szCs w:val="22"/>
          <w:lang w:val="pt-PT"/>
        </w:rPr>
        <w:t>2 </w:t>
      </w:r>
      <w:r w:rsidRPr="00110D6C">
        <w:rPr>
          <w:rFonts w:cs="Times New Roman"/>
          <w:color w:val="auto"/>
          <w:szCs w:val="22"/>
          <w:lang w:val="pt-PT"/>
        </w:rPr>
        <w:t>e a IL-2</w:t>
      </w:r>
      <w:r w:rsidR="00B910F9" w:rsidRPr="00110D6C">
        <w:rPr>
          <w:rFonts w:cs="Times New Roman"/>
          <w:color w:val="auto"/>
          <w:szCs w:val="22"/>
          <w:lang w:val="pt-PT"/>
        </w:rPr>
        <w:t>3 </w:t>
      </w:r>
      <w:r w:rsidRPr="00110D6C">
        <w:rPr>
          <w:rFonts w:cs="Times New Roman"/>
          <w:color w:val="auto"/>
          <w:szCs w:val="22"/>
          <w:lang w:val="pt-PT"/>
        </w:rPr>
        <w:t>são citocinas heterodiméricas secretadas por células ativadas por antigénios, tais como macrófagos e células dendríticas, e ambas as citocinas participam em funções imunitárias; a IL-1</w:t>
      </w:r>
      <w:r w:rsidR="00B910F9" w:rsidRPr="00110D6C">
        <w:rPr>
          <w:rFonts w:cs="Times New Roman"/>
          <w:color w:val="auto"/>
          <w:szCs w:val="22"/>
          <w:lang w:val="pt-PT"/>
        </w:rPr>
        <w:t>2 </w:t>
      </w:r>
      <w:r w:rsidRPr="00110D6C">
        <w:rPr>
          <w:rFonts w:cs="Times New Roman"/>
          <w:color w:val="auto"/>
          <w:szCs w:val="22"/>
          <w:lang w:val="pt-PT"/>
        </w:rPr>
        <w:t xml:space="preserve">estimula as células </w:t>
      </w:r>
      <w:r w:rsidRPr="00110D6C">
        <w:rPr>
          <w:rFonts w:cs="Times New Roman"/>
          <w:i/>
          <w:iCs/>
          <w:color w:val="auto"/>
          <w:szCs w:val="22"/>
          <w:lang w:val="pt-PT"/>
        </w:rPr>
        <w:t>natural killer</w:t>
      </w:r>
      <w:r w:rsidRPr="00110D6C">
        <w:rPr>
          <w:rFonts w:cs="Times New Roman"/>
          <w:color w:val="auto"/>
          <w:szCs w:val="22"/>
          <w:lang w:val="pt-PT"/>
        </w:rPr>
        <w:t xml:space="preserve"> (NK) e a diferenciação das células T CD4+ no fenótipo T </w:t>
      </w:r>
      <w:r w:rsidRPr="00110D6C">
        <w:rPr>
          <w:rFonts w:cs="Times New Roman"/>
          <w:i/>
          <w:iCs/>
          <w:color w:val="auto"/>
          <w:szCs w:val="22"/>
          <w:lang w:val="pt-PT"/>
        </w:rPr>
        <w:t>helper</w:t>
      </w:r>
      <w:r w:rsidRPr="00110D6C">
        <w:rPr>
          <w:rFonts w:cs="Times New Roman"/>
          <w:color w:val="auto"/>
          <w:szCs w:val="22"/>
          <w:lang w:val="pt-PT"/>
        </w:rPr>
        <w:t xml:space="preserve"> </w:t>
      </w:r>
      <w:r w:rsidR="00B910F9" w:rsidRPr="00110D6C">
        <w:rPr>
          <w:rFonts w:cs="Times New Roman"/>
          <w:color w:val="auto"/>
          <w:szCs w:val="22"/>
          <w:lang w:val="pt-PT"/>
        </w:rPr>
        <w:t>1 </w:t>
      </w:r>
      <w:r w:rsidRPr="00110D6C">
        <w:rPr>
          <w:rFonts w:cs="Times New Roman"/>
          <w:color w:val="auto"/>
          <w:szCs w:val="22"/>
          <w:lang w:val="pt-PT"/>
        </w:rPr>
        <w:t>(Th1), a IL-2</w:t>
      </w:r>
      <w:r w:rsidR="00B910F9" w:rsidRPr="00110D6C">
        <w:rPr>
          <w:rFonts w:cs="Times New Roman"/>
          <w:color w:val="auto"/>
          <w:szCs w:val="22"/>
          <w:lang w:val="pt-PT"/>
        </w:rPr>
        <w:t>3</w:t>
      </w:r>
      <w:r w:rsidR="00E2467D">
        <w:rPr>
          <w:rFonts w:cs="Times New Roman"/>
          <w:color w:val="auto"/>
          <w:szCs w:val="22"/>
          <w:lang w:val="pt-PT"/>
        </w:rPr>
        <w:t xml:space="preserve"> </w:t>
      </w:r>
      <w:r w:rsidRPr="00110D6C">
        <w:rPr>
          <w:rFonts w:cs="Times New Roman"/>
          <w:color w:val="auto"/>
          <w:szCs w:val="22"/>
          <w:lang w:val="pt-PT"/>
        </w:rPr>
        <w:t xml:space="preserve">induz a via T </w:t>
      </w:r>
      <w:r w:rsidRPr="00110D6C">
        <w:rPr>
          <w:rFonts w:cs="Times New Roman"/>
          <w:i/>
          <w:iCs/>
          <w:color w:val="auto"/>
          <w:szCs w:val="22"/>
          <w:lang w:val="pt-PT"/>
        </w:rPr>
        <w:t>helper</w:t>
      </w:r>
      <w:r w:rsidRPr="00110D6C">
        <w:rPr>
          <w:rFonts w:cs="Times New Roman"/>
          <w:color w:val="auto"/>
          <w:szCs w:val="22"/>
          <w:lang w:val="pt-PT"/>
        </w:rPr>
        <w:t xml:space="preserve"> 1</w:t>
      </w:r>
      <w:r w:rsidR="00B910F9" w:rsidRPr="00110D6C">
        <w:rPr>
          <w:rFonts w:cs="Times New Roman"/>
          <w:color w:val="auto"/>
          <w:szCs w:val="22"/>
          <w:lang w:val="pt-PT"/>
        </w:rPr>
        <w:t>7 </w:t>
      </w:r>
      <w:r w:rsidRPr="00110D6C">
        <w:rPr>
          <w:rFonts w:cs="Times New Roman"/>
          <w:color w:val="auto"/>
          <w:szCs w:val="22"/>
          <w:lang w:val="pt-PT"/>
        </w:rPr>
        <w:t>(Th17). No entanto, a regulação anómala das interleucinas, IL-1</w:t>
      </w:r>
      <w:r w:rsidR="00B910F9" w:rsidRPr="00110D6C">
        <w:rPr>
          <w:rFonts w:cs="Times New Roman"/>
          <w:color w:val="auto"/>
          <w:szCs w:val="22"/>
          <w:lang w:val="pt-PT"/>
        </w:rPr>
        <w:t>2 </w:t>
      </w:r>
      <w:r w:rsidRPr="00110D6C">
        <w:rPr>
          <w:rFonts w:cs="Times New Roman"/>
          <w:color w:val="auto"/>
          <w:szCs w:val="22"/>
          <w:lang w:val="pt-PT"/>
        </w:rPr>
        <w:t>e IL-23, tem sido associada a doenças mediadas pelo sistema imunitário, tais como a psoríase, a artrite psoriática</w:t>
      </w:r>
      <w:r w:rsidR="00590835">
        <w:rPr>
          <w:rFonts w:cs="Times New Roman"/>
          <w:color w:val="auto"/>
          <w:szCs w:val="22"/>
          <w:lang w:val="pt-PT"/>
        </w:rPr>
        <w:t xml:space="preserve"> e</w:t>
      </w:r>
      <w:r w:rsidRPr="00110D6C">
        <w:rPr>
          <w:rFonts w:cs="Times New Roman"/>
          <w:color w:val="auto"/>
          <w:szCs w:val="22"/>
          <w:lang w:val="pt-PT"/>
        </w:rPr>
        <w:t xml:space="preserve"> a doença de Crohn.</w:t>
      </w:r>
    </w:p>
    <w:p w14:paraId="1BBBE06D" w14:textId="77777777" w:rsidR="0043129A" w:rsidRPr="00110D6C" w:rsidRDefault="0043129A" w:rsidP="00A17623">
      <w:pPr>
        <w:widowControl/>
        <w:rPr>
          <w:rFonts w:cs="Times New Roman"/>
          <w:color w:val="auto"/>
          <w:szCs w:val="22"/>
          <w:lang w:val="pt-PT"/>
        </w:rPr>
      </w:pPr>
    </w:p>
    <w:p w14:paraId="119D6C00" w14:textId="3306E315" w:rsidR="0077031F" w:rsidRPr="00110D6C" w:rsidRDefault="00030085" w:rsidP="00A17623">
      <w:pPr>
        <w:widowControl/>
        <w:rPr>
          <w:rFonts w:cs="Times New Roman"/>
          <w:color w:val="auto"/>
          <w:szCs w:val="22"/>
          <w:lang w:val="pt-PT"/>
        </w:rPr>
      </w:pPr>
      <w:r w:rsidRPr="00110D6C">
        <w:rPr>
          <w:rFonts w:cs="Times New Roman"/>
          <w:color w:val="auto"/>
          <w:szCs w:val="22"/>
          <w:lang w:val="pt-PT"/>
        </w:rPr>
        <w:t>Através da ligação à subunidade partilhada da proteína p4</w:t>
      </w:r>
      <w:r w:rsidR="00B910F9" w:rsidRPr="00110D6C">
        <w:rPr>
          <w:rFonts w:cs="Times New Roman"/>
          <w:color w:val="auto"/>
          <w:szCs w:val="22"/>
          <w:lang w:val="pt-PT"/>
        </w:rPr>
        <w:t>0 </w:t>
      </w:r>
      <w:r w:rsidRPr="00110D6C">
        <w:rPr>
          <w:rFonts w:cs="Times New Roman"/>
          <w:color w:val="auto"/>
          <w:szCs w:val="22"/>
          <w:lang w:val="pt-PT"/>
        </w:rPr>
        <w:t>da IL-1</w:t>
      </w:r>
      <w:r w:rsidR="00B910F9" w:rsidRPr="00110D6C">
        <w:rPr>
          <w:rFonts w:cs="Times New Roman"/>
          <w:color w:val="auto"/>
          <w:szCs w:val="22"/>
          <w:lang w:val="pt-PT"/>
        </w:rPr>
        <w:t>2 </w:t>
      </w:r>
      <w:r w:rsidRPr="00110D6C">
        <w:rPr>
          <w:rFonts w:cs="Times New Roman"/>
          <w:color w:val="auto"/>
          <w:szCs w:val="22"/>
          <w:lang w:val="pt-PT"/>
        </w:rPr>
        <w:t>e IL-23, o ustecinumab pode exercer o seu efeito clínico sobre a psoríase, a artrite psoriática</w:t>
      </w:r>
      <w:r w:rsidR="001F6CEF">
        <w:rPr>
          <w:rFonts w:cs="Times New Roman"/>
          <w:color w:val="auto"/>
          <w:szCs w:val="22"/>
          <w:lang w:val="pt-PT"/>
        </w:rPr>
        <w:t xml:space="preserve"> e</w:t>
      </w:r>
      <w:r w:rsidRPr="00110D6C">
        <w:rPr>
          <w:rFonts w:cs="Times New Roman"/>
          <w:color w:val="auto"/>
          <w:szCs w:val="22"/>
          <w:lang w:val="pt-PT"/>
        </w:rPr>
        <w:t xml:space="preserve"> a doença de Crohn através da interrupção das vias das citocinas Th</w:t>
      </w:r>
      <w:r w:rsidR="00B910F9" w:rsidRPr="00110D6C">
        <w:rPr>
          <w:rFonts w:cs="Times New Roman"/>
          <w:color w:val="auto"/>
          <w:szCs w:val="22"/>
          <w:lang w:val="pt-PT"/>
        </w:rPr>
        <w:t>1 </w:t>
      </w:r>
      <w:r w:rsidRPr="00110D6C">
        <w:rPr>
          <w:rFonts w:cs="Times New Roman"/>
          <w:color w:val="auto"/>
          <w:szCs w:val="22"/>
          <w:lang w:val="pt-PT"/>
        </w:rPr>
        <w:t>e Th17, ambas essenciais para a patologia destas doenças.</w:t>
      </w:r>
    </w:p>
    <w:p w14:paraId="5F44EA87" w14:textId="77777777" w:rsidR="0043129A" w:rsidRPr="00110D6C" w:rsidRDefault="0043129A" w:rsidP="00A17623">
      <w:pPr>
        <w:widowControl/>
        <w:rPr>
          <w:rFonts w:cs="Times New Roman"/>
          <w:color w:val="auto"/>
          <w:szCs w:val="22"/>
          <w:lang w:val="pt-PT"/>
        </w:rPr>
      </w:pPr>
    </w:p>
    <w:p w14:paraId="71E63586"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Em doentes com doença de Crohn, o tratamento com ustecinumab resultou numa diminuição dos marcadores inflamatórios incluindo a Proteína C Reativa (PCR) e a calprotectina fecal durante a fase de indução, os quais foram mantidos durante a fase de manutenção. A PCR foi avaliada durante a extensão do estudo e as reduções observadas durante a manutenção foram, de forma geral, sustentadas até à semana</w:t>
      </w:r>
      <w:r w:rsidR="005B2D5C" w:rsidRPr="00110D6C">
        <w:rPr>
          <w:rFonts w:cs="Times New Roman"/>
          <w:color w:val="auto"/>
          <w:szCs w:val="22"/>
          <w:lang w:val="pt-PT"/>
        </w:rPr>
        <w:t> </w:t>
      </w:r>
      <w:r w:rsidRPr="00110D6C">
        <w:rPr>
          <w:rFonts w:cs="Times New Roman"/>
          <w:color w:val="auto"/>
          <w:szCs w:val="22"/>
          <w:lang w:val="pt-PT"/>
        </w:rPr>
        <w:t>252.</w:t>
      </w:r>
    </w:p>
    <w:p w14:paraId="0AC140D2" w14:textId="77777777" w:rsidR="0043129A" w:rsidRPr="00110D6C" w:rsidRDefault="0043129A" w:rsidP="00A17623">
      <w:pPr>
        <w:widowControl/>
        <w:rPr>
          <w:rFonts w:cs="Times New Roman"/>
          <w:color w:val="auto"/>
          <w:szCs w:val="22"/>
          <w:lang w:val="pt-PT"/>
        </w:rPr>
      </w:pPr>
    </w:p>
    <w:p w14:paraId="32E06B04"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Imunização</w:t>
      </w:r>
    </w:p>
    <w:p w14:paraId="6676512B" w14:textId="7C100C03"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Durante a extensão a longo prazo do Estudo da Psoríase </w:t>
      </w:r>
      <w:r w:rsidR="00B910F9" w:rsidRPr="00110D6C">
        <w:rPr>
          <w:rFonts w:cs="Times New Roman"/>
          <w:color w:val="auto"/>
          <w:szCs w:val="22"/>
          <w:lang w:val="pt-PT"/>
        </w:rPr>
        <w:t>2 </w:t>
      </w:r>
      <w:r w:rsidRPr="00110D6C">
        <w:rPr>
          <w:rFonts w:cs="Times New Roman"/>
          <w:color w:val="auto"/>
          <w:szCs w:val="22"/>
          <w:lang w:val="pt-PT"/>
        </w:rPr>
        <w:t xml:space="preserve">(PHOENIX 2), os doentes adultos tratados com </w:t>
      </w:r>
      <w:r w:rsidR="00E2467D" w:rsidRPr="00110D6C">
        <w:rPr>
          <w:rFonts w:cs="Times New Roman"/>
          <w:color w:val="auto"/>
          <w:szCs w:val="22"/>
          <w:lang w:val="pt-PT"/>
        </w:rPr>
        <w:t>ustecinumab</w:t>
      </w:r>
      <w:r w:rsidRPr="00110D6C">
        <w:rPr>
          <w:rFonts w:cs="Times New Roman"/>
          <w:color w:val="auto"/>
          <w:szCs w:val="22"/>
          <w:lang w:val="pt-PT"/>
        </w:rPr>
        <w:t xml:space="preserve"> por, pelo menos, 3,</w:t>
      </w:r>
      <w:r w:rsidR="00B910F9" w:rsidRPr="00110D6C">
        <w:rPr>
          <w:rFonts w:cs="Times New Roman"/>
          <w:color w:val="auto"/>
          <w:szCs w:val="22"/>
          <w:lang w:val="pt-PT"/>
        </w:rPr>
        <w:t>5 </w:t>
      </w:r>
      <w:r w:rsidRPr="00110D6C">
        <w:rPr>
          <w:rFonts w:cs="Times New Roman"/>
          <w:color w:val="auto"/>
          <w:szCs w:val="22"/>
          <w:lang w:val="pt-PT"/>
        </w:rPr>
        <w:t xml:space="preserve">anos desenvolveram respostas de anticorpos quer ao polissacárido do pneumococos quer à vacina do tétano, semelhantes ao grupo de controlo sujeito a tratamento não sistémico da psoríase. Proporções semelhantes de doentes adultos desenvolveram níveis protetores de anticorpos anti-pneumococos e anti-tétano e os títulos de anticorpos foram similares entre os doentes tratados com </w:t>
      </w:r>
      <w:r w:rsidR="00E2467D" w:rsidRPr="00110D6C">
        <w:rPr>
          <w:rFonts w:cs="Times New Roman"/>
          <w:color w:val="auto"/>
          <w:szCs w:val="22"/>
          <w:lang w:val="pt-PT"/>
        </w:rPr>
        <w:t>ustecinumab</w:t>
      </w:r>
      <w:r w:rsidRPr="00110D6C">
        <w:rPr>
          <w:rFonts w:cs="Times New Roman"/>
          <w:color w:val="auto"/>
          <w:szCs w:val="22"/>
          <w:lang w:val="pt-PT"/>
        </w:rPr>
        <w:t xml:space="preserve"> e doentes controlo.</w:t>
      </w:r>
    </w:p>
    <w:p w14:paraId="6414BADB" w14:textId="77777777" w:rsidR="0043129A" w:rsidRPr="00110D6C" w:rsidRDefault="0043129A" w:rsidP="00A17623">
      <w:pPr>
        <w:widowControl/>
        <w:rPr>
          <w:rFonts w:cs="Times New Roman"/>
          <w:color w:val="auto"/>
          <w:szCs w:val="22"/>
          <w:lang w:val="pt-PT"/>
        </w:rPr>
      </w:pPr>
    </w:p>
    <w:p w14:paraId="0A515467"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Eficácia clínica</w:t>
      </w:r>
    </w:p>
    <w:p w14:paraId="6D1FBC05" w14:textId="77777777" w:rsidR="0043129A" w:rsidRPr="00110D6C" w:rsidRDefault="0043129A" w:rsidP="00A17623">
      <w:pPr>
        <w:widowControl/>
        <w:rPr>
          <w:rFonts w:cs="Times New Roman"/>
          <w:color w:val="auto"/>
          <w:szCs w:val="22"/>
          <w:lang w:val="pt-PT"/>
        </w:rPr>
      </w:pPr>
    </w:p>
    <w:p w14:paraId="757D0C64"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Psoríase em placas (Adultos)</w:t>
      </w:r>
    </w:p>
    <w:p w14:paraId="59514CD7"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 segurança e a eficácia de ustecinumab foram avaliadas em 199</w:t>
      </w:r>
      <w:r w:rsidR="00B910F9" w:rsidRPr="00110D6C">
        <w:rPr>
          <w:rFonts w:cs="Times New Roman"/>
          <w:color w:val="auto"/>
          <w:szCs w:val="22"/>
          <w:lang w:val="pt-PT"/>
        </w:rPr>
        <w:t>6 </w:t>
      </w:r>
      <w:r w:rsidRPr="00110D6C">
        <w:rPr>
          <w:rFonts w:cs="Times New Roman"/>
          <w:color w:val="auto"/>
          <w:szCs w:val="22"/>
          <w:lang w:val="pt-PT"/>
        </w:rPr>
        <w:t>doentes em dois estudos aleatorizados, em dupla ocultação, controlados por placebo, realizados em doentes com psoríase em placas, moderada a grave e que eram candidatos a fototerapia ou a terapêutica sistémica.</w:t>
      </w:r>
    </w:p>
    <w:p w14:paraId="1EFDBF55"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Adicionalmente, um estudo aleatorizado, com avaliação cega, controlado por comparador ativo, comparou ustecinumab e etanercept em doentes com psoríase em placas moderada a grave, que apresentavam uma resposta inadequada, intolerância, ou contraindicação, à utilização de ciclosporina, MTX ou PUVA.</w:t>
      </w:r>
    </w:p>
    <w:p w14:paraId="07A1D096" w14:textId="77777777" w:rsidR="0043129A" w:rsidRPr="00110D6C" w:rsidRDefault="0043129A" w:rsidP="00A17623">
      <w:pPr>
        <w:widowControl/>
        <w:rPr>
          <w:rFonts w:cs="Times New Roman"/>
          <w:color w:val="auto"/>
          <w:szCs w:val="22"/>
          <w:lang w:val="pt-PT"/>
        </w:rPr>
      </w:pPr>
    </w:p>
    <w:p w14:paraId="4D8E640D" w14:textId="0EA9CA0D" w:rsidR="00E2467D" w:rsidRDefault="00030085" w:rsidP="00A17623">
      <w:pPr>
        <w:widowControl/>
        <w:rPr>
          <w:rFonts w:cs="Times New Roman"/>
          <w:color w:val="auto"/>
          <w:szCs w:val="22"/>
          <w:lang w:val="pt-PT"/>
        </w:rPr>
      </w:pPr>
      <w:r w:rsidRPr="00110D6C">
        <w:rPr>
          <w:rFonts w:cs="Times New Roman"/>
          <w:color w:val="auto"/>
          <w:szCs w:val="22"/>
          <w:lang w:val="pt-PT"/>
        </w:rPr>
        <w:t>O Estudo da Psoríase</w:t>
      </w:r>
      <w:r w:rsidR="005B2D5C" w:rsidRPr="00110D6C">
        <w:rPr>
          <w:rFonts w:cs="Times New Roman"/>
          <w:color w:val="auto"/>
          <w:szCs w:val="22"/>
          <w:lang w:val="pt-PT"/>
        </w:rPr>
        <w:t> </w:t>
      </w:r>
      <w:r w:rsidR="00B910F9" w:rsidRPr="00110D6C">
        <w:rPr>
          <w:rFonts w:cs="Times New Roman"/>
          <w:color w:val="auto"/>
          <w:szCs w:val="22"/>
          <w:lang w:val="pt-PT"/>
        </w:rPr>
        <w:t>1</w:t>
      </w:r>
      <w:r w:rsidR="005B2D5C" w:rsidRPr="00110D6C">
        <w:rPr>
          <w:rFonts w:cs="Times New Roman"/>
          <w:color w:val="auto"/>
          <w:szCs w:val="22"/>
          <w:lang w:val="pt-PT"/>
        </w:rPr>
        <w:t xml:space="preserve"> </w:t>
      </w:r>
      <w:r w:rsidRPr="00110D6C">
        <w:rPr>
          <w:rFonts w:cs="Times New Roman"/>
          <w:color w:val="auto"/>
          <w:szCs w:val="22"/>
          <w:lang w:val="pt-PT"/>
        </w:rPr>
        <w:t>(PHOENIX</w:t>
      </w:r>
      <w:r w:rsidR="005B2D5C" w:rsidRPr="00110D6C">
        <w:rPr>
          <w:rFonts w:cs="Times New Roman"/>
          <w:color w:val="auto"/>
          <w:szCs w:val="22"/>
          <w:lang w:val="pt-PT"/>
        </w:rPr>
        <w:t> </w:t>
      </w:r>
      <w:r w:rsidRPr="00110D6C">
        <w:rPr>
          <w:rFonts w:cs="Times New Roman"/>
          <w:color w:val="auto"/>
          <w:szCs w:val="22"/>
          <w:lang w:val="pt-PT"/>
        </w:rPr>
        <w:t>1) avaliou 76</w:t>
      </w:r>
      <w:r w:rsidR="00B910F9" w:rsidRPr="00110D6C">
        <w:rPr>
          <w:rFonts w:cs="Times New Roman"/>
          <w:color w:val="auto"/>
          <w:szCs w:val="22"/>
          <w:lang w:val="pt-PT"/>
        </w:rPr>
        <w:t>6 </w:t>
      </w:r>
      <w:r w:rsidRPr="00110D6C">
        <w:rPr>
          <w:rFonts w:cs="Times New Roman"/>
          <w:color w:val="auto"/>
          <w:szCs w:val="22"/>
          <w:lang w:val="pt-PT"/>
        </w:rPr>
        <w:t>doentes. Cinquenta e três por cento destes doentes não respondiam, eram intolerantes, ou tinham uma contraindicação para outra terapêutica sistémica.</w:t>
      </w:r>
    </w:p>
    <w:p w14:paraId="65CBC083" w14:textId="22B90B0C" w:rsidR="0077031F" w:rsidRPr="00110D6C" w:rsidRDefault="00030085" w:rsidP="00A17623">
      <w:pPr>
        <w:widowControl/>
        <w:rPr>
          <w:rFonts w:cs="Times New Roman"/>
          <w:color w:val="auto"/>
          <w:szCs w:val="22"/>
          <w:lang w:val="pt-PT"/>
        </w:rPr>
      </w:pPr>
      <w:r w:rsidRPr="00110D6C">
        <w:rPr>
          <w:rFonts w:cs="Times New Roman"/>
          <w:color w:val="auto"/>
          <w:szCs w:val="22"/>
          <w:lang w:val="pt-PT"/>
        </w:rPr>
        <w:t>Os doentes aleatorizados para ustecinumab receberam doses de 4</w:t>
      </w:r>
      <w:r w:rsidR="00B910F9" w:rsidRPr="00110D6C">
        <w:rPr>
          <w:rFonts w:cs="Times New Roman"/>
          <w:color w:val="auto"/>
          <w:szCs w:val="22"/>
          <w:lang w:val="pt-PT"/>
        </w:rPr>
        <w:t>5 </w:t>
      </w:r>
      <w:r w:rsidRPr="00110D6C">
        <w:rPr>
          <w:rFonts w:cs="Times New Roman"/>
          <w:color w:val="auto"/>
          <w:szCs w:val="22"/>
          <w:lang w:val="pt-PT"/>
        </w:rPr>
        <w:t>mg ou 9</w:t>
      </w:r>
      <w:r w:rsidR="00B910F9" w:rsidRPr="00110D6C">
        <w:rPr>
          <w:rFonts w:cs="Times New Roman"/>
          <w:color w:val="auto"/>
          <w:szCs w:val="22"/>
          <w:lang w:val="pt-PT"/>
        </w:rPr>
        <w:t>0 </w:t>
      </w:r>
      <w:r w:rsidRPr="00110D6C">
        <w:rPr>
          <w:rFonts w:cs="Times New Roman"/>
          <w:color w:val="auto"/>
          <w:szCs w:val="22"/>
          <w:lang w:val="pt-PT"/>
        </w:rPr>
        <w:t>mg nas Semanas</w:t>
      </w:r>
      <w:r w:rsidR="005B2D5C" w:rsidRPr="00110D6C">
        <w:rPr>
          <w:rFonts w:cs="Times New Roman"/>
          <w:color w:val="auto"/>
          <w:szCs w:val="22"/>
          <w:lang w:val="pt-PT"/>
        </w:rPr>
        <w:t> </w:t>
      </w:r>
      <w:r w:rsidR="00B910F9" w:rsidRPr="00110D6C">
        <w:rPr>
          <w:rFonts w:cs="Times New Roman"/>
          <w:color w:val="auto"/>
          <w:szCs w:val="22"/>
          <w:lang w:val="pt-PT"/>
        </w:rPr>
        <w:t>0</w:t>
      </w:r>
      <w:r w:rsidR="005B2D5C" w:rsidRPr="00110D6C">
        <w:rPr>
          <w:rFonts w:cs="Times New Roman"/>
          <w:color w:val="auto"/>
          <w:szCs w:val="22"/>
          <w:lang w:val="pt-PT"/>
        </w:rPr>
        <w:t xml:space="preserve"> </w:t>
      </w:r>
      <w:r w:rsidRPr="00110D6C">
        <w:rPr>
          <w:rFonts w:cs="Times New Roman"/>
          <w:color w:val="auto"/>
          <w:szCs w:val="22"/>
          <w:lang w:val="pt-PT"/>
        </w:rPr>
        <w:t xml:space="preserve">e </w:t>
      </w:r>
      <w:r w:rsidR="00B910F9" w:rsidRPr="00110D6C">
        <w:rPr>
          <w:rFonts w:cs="Times New Roman"/>
          <w:color w:val="auto"/>
          <w:szCs w:val="22"/>
          <w:lang w:val="pt-PT"/>
        </w:rPr>
        <w:t>4 </w:t>
      </w:r>
      <w:r w:rsidRPr="00110D6C">
        <w:rPr>
          <w:rFonts w:cs="Times New Roman"/>
          <w:color w:val="auto"/>
          <w:szCs w:val="22"/>
          <w:lang w:val="pt-PT"/>
        </w:rPr>
        <w:t>e continuaram a receber a mesma dose em intervalos de 1</w:t>
      </w:r>
      <w:r w:rsidR="00B910F9" w:rsidRPr="00110D6C">
        <w:rPr>
          <w:rFonts w:cs="Times New Roman"/>
          <w:color w:val="auto"/>
          <w:szCs w:val="22"/>
          <w:lang w:val="pt-PT"/>
        </w:rPr>
        <w:t>2 </w:t>
      </w:r>
      <w:r w:rsidRPr="00110D6C">
        <w:rPr>
          <w:rFonts w:cs="Times New Roman"/>
          <w:color w:val="auto"/>
          <w:szCs w:val="22"/>
          <w:lang w:val="pt-PT"/>
        </w:rPr>
        <w:t>semanas. Os doentes aleatorizados para receberem placebo nas Semanas</w:t>
      </w:r>
      <w:r w:rsidR="005B2D5C" w:rsidRPr="00110D6C">
        <w:rPr>
          <w:rFonts w:cs="Times New Roman"/>
          <w:color w:val="auto"/>
          <w:szCs w:val="22"/>
          <w:lang w:val="pt-PT"/>
        </w:rPr>
        <w:t> </w:t>
      </w:r>
      <w:r w:rsidR="00B910F9" w:rsidRPr="00110D6C">
        <w:rPr>
          <w:rFonts w:cs="Times New Roman"/>
          <w:color w:val="auto"/>
          <w:szCs w:val="22"/>
          <w:lang w:val="pt-PT"/>
        </w:rPr>
        <w:t>0</w:t>
      </w:r>
      <w:r w:rsidR="005B2D5C" w:rsidRPr="00110D6C">
        <w:rPr>
          <w:rFonts w:cs="Times New Roman"/>
          <w:color w:val="auto"/>
          <w:szCs w:val="22"/>
          <w:lang w:val="pt-PT"/>
        </w:rPr>
        <w:t xml:space="preserve"> </w:t>
      </w:r>
      <w:r w:rsidRPr="00110D6C">
        <w:rPr>
          <w:rFonts w:cs="Times New Roman"/>
          <w:color w:val="auto"/>
          <w:szCs w:val="22"/>
          <w:lang w:val="pt-PT"/>
        </w:rPr>
        <w:t xml:space="preserve">e </w:t>
      </w:r>
      <w:r w:rsidR="00B910F9" w:rsidRPr="00110D6C">
        <w:rPr>
          <w:rFonts w:cs="Times New Roman"/>
          <w:color w:val="auto"/>
          <w:szCs w:val="22"/>
          <w:lang w:val="pt-PT"/>
        </w:rPr>
        <w:t>4 </w:t>
      </w:r>
      <w:r w:rsidRPr="00110D6C">
        <w:rPr>
          <w:rFonts w:cs="Times New Roman"/>
          <w:color w:val="auto"/>
          <w:szCs w:val="22"/>
          <w:lang w:val="pt-PT"/>
        </w:rPr>
        <w:t>passaram para o grupo tratado com ustecinumab (4</w:t>
      </w:r>
      <w:r w:rsidR="00B910F9" w:rsidRPr="00110D6C">
        <w:rPr>
          <w:rFonts w:cs="Times New Roman"/>
          <w:color w:val="auto"/>
          <w:szCs w:val="22"/>
          <w:lang w:val="pt-PT"/>
        </w:rPr>
        <w:t>5 </w:t>
      </w:r>
      <w:r w:rsidRPr="00110D6C">
        <w:rPr>
          <w:rFonts w:cs="Times New Roman"/>
          <w:color w:val="auto"/>
          <w:szCs w:val="22"/>
          <w:lang w:val="pt-PT"/>
        </w:rPr>
        <w:t xml:space="preserve">mg ou </w:t>
      </w:r>
      <w:r w:rsidRPr="00110D6C">
        <w:rPr>
          <w:rFonts w:cs="Times New Roman"/>
          <w:color w:val="auto"/>
          <w:szCs w:val="22"/>
          <w:lang w:val="pt-PT"/>
        </w:rPr>
        <w:lastRenderedPageBreak/>
        <w:t>9</w:t>
      </w:r>
      <w:r w:rsidR="00B910F9" w:rsidRPr="00110D6C">
        <w:rPr>
          <w:rFonts w:cs="Times New Roman"/>
          <w:color w:val="auto"/>
          <w:szCs w:val="22"/>
          <w:lang w:val="pt-PT"/>
        </w:rPr>
        <w:t>0 </w:t>
      </w:r>
      <w:r w:rsidRPr="00110D6C">
        <w:rPr>
          <w:rFonts w:cs="Times New Roman"/>
          <w:color w:val="auto"/>
          <w:szCs w:val="22"/>
          <w:lang w:val="pt-PT"/>
        </w:rPr>
        <w:t>mg) nas Semanas</w:t>
      </w:r>
      <w:r w:rsidR="005B2D5C" w:rsidRPr="00110D6C">
        <w:rPr>
          <w:rFonts w:cs="Times New Roman"/>
          <w:color w:val="auto"/>
          <w:szCs w:val="22"/>
          <w:lang w:val="pt-PT"/>
        </w:rPr>
        <w:t> </w:t>
      </w:r>
      <w:r w:rsidRPr="00110D6C">
        <w:rPr>
          <w:rFonts w:cs="Times New Roman"/>
          <w:color w:val="auto"/>
          <w:szCs w:val="22"/>
          <w:lang w:val="pt-PT"/>
        </w:rPr>
        <w:t>1</w:t>
      </w:r>
      <w:r w:rsidR="00B910F9" w:rsidRPr="00110D6C">
        <w:rPr>
          <w:rFonts w:cs="Times New Roman"/>
          <w:color w:val="auto"/>
          <w:szCs w:val="22"/>
          <w:lang w:val="pt-PT"/>
        </w:rPr>
        <w:t>2</w:t>
      </w:r>
      <w:r w:rsidR="005B2D5C" w:rsidRPr="00110D6C">
        <w:rPr>
          <w:rFonts w:cs="Times New Roman"/>
          <w:color w:val="auto"/>
          <w:szCs w:val="22"/>
          <w:lang w:val="pt-PT"/>
        </w:rPr>
        <w:t xml:space="preserve"> </w:t>
      </w:r>
      <w:r w:rsidRPr="00110D6C">
        <w:rPr>
          <w:rFonts w:cs="Times New Roman"/>
          <w:color w:val="auto"/>
          <w:szCs w:val="22"/>
          <w:lang w:val="pt-PT"/>
        </w:rPr>
        <w:t>e 16, tendo continuado a receber a mesma dose em intervalos de 1</w:t>
      </w:r>
      <w:r w:rsidR="00B910F9" w:rsidRPr="00110D6C">
        <w:rPr>
          <w:rFonts w:cs="Times New Roman"/>
          <w:color w:val="auto"/>
          <w:szCs w:val="22"/>
          <w:lang w:val="pt-PT"/>
        </w:rPr>
        <w:t>2 </w:t>
      </w:r>
      <w:r w:rsidRPr="00110D6C">
        <w:rPr>
          <w:rFonts w:cs="Times New Roman"/>
          <w:color w:val="auto"/>
          <w:szCs w:val="22"/>
          <w:lang w:val="pt-PT"/>
        </w:rPr>
        <w:t>semanas. Os doentes originalmente aleatorizados para receberem ustecinumab que atingiram uma resposta de 7</w:t>
      </w:r>
      <w:r w:rsidR="00B910F9" w:rsidRPr="00110D6C">
        <w:rPr>
          <w:rFonts w:cs="Times New Roman"/>
          <w:color w:val="auto"/>
          <w:szCs w:val="22"/>
          <w:lang w:val="pt-PT"/>
        </w:rPr>
        <w:t>5 </w:t>
      </w:r>
      <w:r w:rsidRPr="00110D6C">
        <w:rPr>
          <w:rFonts w:cs="Times New Roman"/>
          <w:color w:val="auto"/>
          <w:szCs w:val="22"/>
          <w:lang w:val="pt-PT"/>
        </w:rPr>
        <w:t xml:space="preserve">no </w:t>
      </w:r>
      <w:r w:rsidRPr="00110D6C">
        <w:rPr>
          <w:rFonts w:cs="Times New Roman"/>
          <w:i/>
          <w:iCs/>
          <w:color w:val="auto"/>
          <w:szCs w:val="22"/>
          <w:lang w:val="pt-PT"/>
        </w:rPr>
        <w:t>Psoriasis Area and Severity Index</w:t>
      </w:r>
      <w:r w:rsidRPr="00110D6C">
        <w:rPr>
          <w:rFonts w:cs="Times New Roman"/>
          <w:color w:val="auto"/>
          <w:szCs w:val="22"/>
          <w:lang w:val="pt-PT"/>
        </w:rPr>
        <w:t xml:space="preserve"> (uma melhoria na área de psoríase e índice de gravidade (PASI) de, pelo menos, 75% relativamente ao valor basal) em ambas as Semanas</w:t>
      </w:r>
      <w:r w:rsidR="005B2D5C" w:rsidRPr="00110D6C">
        <w:rPr>
          <w:rFonts w:cs="Times New Roman"/>
          <w:color w:val="auto"/>
          <w:szCs w:val="22"/>
          <w:lang w:val="pt-PT"/>
        </w:rPr>
        <w:t> </w:t>
      </w:r>
      <w:r w:rsidRPr="00110D6C">
        <w:rPr>
          <w:rFonts w:cs="Times New Roman"/>
          <w:color w:val="auto"/>
          <w:szCs w:val="22"/>
          <w:lang w:val="pt-PT"/>
        </w:rPr>
        <w:t>2</w:t>
      </w:r>
      <w:r w:rsidR="00B910F9" w:rsidRPr="00110D6C">
        <w:rPr>
          <w:rFonts w:cs="Times New Roman"/>
          <w:color w:val="auto"/>
          <w:szCs w:val="22"/>
          <w:lang w:val="pt-PT"/>
        </w:rPr>
        <w:t>8</w:t>
      </w:r>
      <w:r w:rsidR="005B2D5C" w:rsidRPr="00110D6C">
        <w:rPr>
          <w:rFonts w:cs="Times New Roman"/>
          <w:color w:val="auto"/>
          <w:szCs w:val="22"/>
          <w:lang w:val="pt-PT"/>
        </w:rPr>
        <w:t xml:space="preserve"> </w:t>
      </w:r>
      <w:r w:rsidRPr="00110D6C">
        <w:rPr>
          <w:rFonts w:cs="Times New Roman"/>
          <w:color w:val="auto"/>
          <w:szCs w:val="22"/>
          <w:lang w:val="pt-PT"/>
        </w:rPr>
        <w:t>e 4</w:t>
      </w:r>
      <w:r w:rsidR="00B910F9" w:rsidRPr="00110D6C">
        <w:rPr>
          <w:rFonts w:cs="Times New Roman"/>
          <w:color w:val="auto"/>
          <w:szCs w:val="22"/>
          <w:lang w:val="pt-PT"/>
        </w:rPr>
        <w:t>0 </w:t>
      </w:r>
      <w:r w:rsidRPr="00110D6C">
        <w:rPr>
          <w:rFonts w:cs="Times New Roman"/>
          <w:color w:val="auto"/>
          <w:szCs w:val="22"/>
          <w:lang w:val="pt-PT"/>
        </w:rPr>
        <w:t xml:space="preserve">foram realeatorizados para receberem </w:t>
      </w:r>
      <w:r w:rsidR="00E2467D" w:rsidRPr="00110D6C">
        <w:rPr>
          <w:rFonts w:cs="Times New Roman"/>
          <w:color w:val="auto"/>
          <w:szCs w:val="22"/>
          <w:lang w:val="pt-PT"/>
        </w:rPr>
        <w:t>ustecinumab</w:t>
      </w:r>
      <w:r w:rsidRPr="00110D6C">
        <w:rPr>
          <w:rFonts w:cs="Times New Roman"/>
          <w:color w:val="auto"/>
          <w:szCs w:val="22"/>
          <w:lang w:val="pt-PT"/>
        </w:rPr>
        <w:t xml:space="preserve"> cada 1</w:t>
      </w:r>
      <w:r w:rsidR="00B910F9" w:rsidRPr="00110D6C">
        <w:rPr>
          <w:rFonts w:cs="Times New Roman"/>
          <w:color w:val="auto"/>
          <w:szCs w:val="22"/>
          <w:lang w:val="pt-PT"/>
        </w:rPr>
        <w:t>2 </w:t>
      </w:r>
      <w:r w:rsidRPr="00110D6C">
        <w:rPr>
          <w:rFonts w:cs="Times New Roman"/>
          <w:color w:val="auto"/>
          <w:szCs w:val="22"/>
          <w:lang w:val="pt-PT"/>
        </w:rPr>
        <w:t>semanas ou para receberem placebo (i.e., abandono da terapêutica). Os doentes que foram realeatorizados para receberem placebo na Semana</w:t>
      </w:r>
      <w:r w:rsidR="005B2D5C" w:rsidRPr="00110D6C">
        <w:rPr>
          <w:rFonts w:cs="Times New Roman"/>
          <w:color w:val="auto"/>
          <w:szCs w:val="22"/>
          <w:lang w:val="pt-PT"/>
        </w:rPr>
        <w:t> </w:t>
      </w:r>
      <w:r w:rsidRPr="00110D6C">
        <w:rPr>
          <w:rFonts w:cs="Times New Roman"/>
          <w:color w:val="auto"/>
          <w:szCs w:val="22"/>
          <w:lang w:val="pt-PT"/>
        </w:rPr>
        <w:t>4</w:t>
      </w:r>
      <w:r w:rsidR="00B910F9" w:rsidRPr="00110D6C">
        <w:rPr>
          <w:rFonts w:cs="Times New Roman"/>
          <w:color w:val="auto"/>
          <w:szCs w:val="22"/>
          <w:lang w:val="pt-PT"/>
        </w:rPr>
        <w:t>0</w:t>
      </w:r>
      <w:r w:rsidR="005B2D5C" w:rsidRPr="00110D6C">
        <w:rPr>
          <w:rFonts w:cs="Times New Roman"/>
          <w:color w:val="auto"/>
          <w:szCs w:val="22"/>
          <w:lang w:val="pt-PT"/>
        </w:rPr>
        <w:t xml:space="preserve"> </w:t>
      </w:r>
      <w:r w:rsidRPr="00110D6C">
        <w:rPr>
          <w:rFonts w:cs="Times New Roman"/>
          <w:color w:val="auto"/>
          <w:szCs w:val="22"/>
          <w:lang w:val="pt-PT"/>
        </w:rPr>
        <w:t>reiniciaram ustecinumab no seu regime posológico original quando apresentaram uma perda de, pelo menos, 50% na sua melhoria do índice PASI obtida na Semana</w:t>
      </w:r>
      <w:r w:rsidR="005B2D5C" w:rsidRPr="00110D6C">
        <w:rPr>
          <w:rFonts w:cs="Times New Roman"/>
          <w:color w:val="auto"/>
          <w:szCs w:val="22"/>
          <w:lang w:val="pt-PT"/>
        </w:rPr>
        <w:t> </w:t>
      </w:r>
      <w:r w:rsidRPr="00110D6C">
        <w:rPr>
          <w:rFonts w:cs="Times New Roman"/>
          <w:color w:val="auto"/>
          <w:szCs w:val="22"/>
          <w:lang w:val="pt-PT"/>
        </w:rPr>
        <w:t>40. Todos os doentes foram seguidos até 7</w:t>
      </w:r>
      <w:r w:rsidR="00B910F9" w:rsidRPr="00110D6C">
        <w:rPr>
          <w:rFonts w:cs="Times New Roman"/>
          <w:color w:val="auto"/>
          <w:szCs w:val="22"/>
          <w:lang w:val="pt-PT"/>
        </w:rPr>
        <w:t>6 </w:t>
      </w:r>
      <w:r w:rsidRPr="00110D6C">
        <w:rPr>
          <w:rFonts w:cs="Times New Roman"/>
          <w:color w:val="auto"/>
          <w:szCs w:val="22"/>
          <w:lang w:val="pt-PT"/>
        </w:rPr>
        <w:t>semanas após a primeira administração do tratamento em estudo.</w:t>
      </w:r>
    </w:p>
    <w:p w14:paraId="54A5605E" w14:textId="77777777" w:rsidR="0043129A" w:rsidRPr="00110D6C" w:rsidRDefault="0043129A" w:rsidP="00A17623">
      <w:pPr>
        <w:widowControl/>
        <w:rPr>
          <w:rFonts w:cs="Times New Roman"/>
          <w:color w:val="auto"/>
          <w:szCs w:val="22"/>
          <w:lang w:val="pt-PT"/>
        </w:rPr>
      </w:pPr>
    </w:p>
    <w:p w14:paraId="1B48AC6C" w14:textId="77777777" w:rsidR="00686A2C" w:rsidRDefault="00030085" w:rsidP="00A17623">
      <w:pPr>
        <w:widowControl/>
        <w:rPr>
          <w:rFonts w:cs="Times New Roman"/>
          <w:color w:val="auto"/>
          <w:szCs w:val="22"/>
          <w:lang w:val="pt-PT"/>
        </w:rPr>
      </w:pPr>
      <w:r w:rsidRPr="00110D6C">
        <w:rPr>
          <w:rFonts w:cs="Times New Roman"/>
          <w:color w:val="auto"/>
          <w:szCs w:val="22"/>
          <w:lang w:val="pt-PT"/>
        </w:rPr>
        <w:t>O Estudo da Psoríase</w:t>
      </w:r>
      <w:r w:rsidR="00DA7FFC" w:rsidRPr="00110D6C">
        <w:rPr>
          <w:rFonts w:cs="Times New Roman"/>
          <w:color w:val="auto"/>
          <w:szCs w:val="22"/>
          <w:lang w:val="pt-PT"/>
        </w:rPr>
        <w:t> </w:t>
      </w:r>
      <w:r w:rsidR="00B910F9" w:rsidRPr="00110D6C">
        <w:rPr>
          <w:rFonts w:cs="Times New Roman"/>
          <w:color w:val="auto"/>
          <w:szCs w:val="22"/>
          <w:lang w:val="pt-PT"/>
        </w:rPr>
        <w:t>2</w:t>
      </w:r>
      <w:r w:rsidR="00DA7FFC" w:rsidRPr="00110D6C">
        <w:rPr>
          <w:rFonts w:cs="Times New Roman"/>
          <w:color w:val="auto"/>
          <w:szCs w:val="22"/>
          <w:lang w:val="pt-PT"/>
        </w:rPr>
        <w:t xml:space="preserve"> </w:t>
      </w:r>
      <w:r w:rsidRPr="00110D6C">
        <w:rPr>
          <w:rFonts w:cs="Times New Roman"/>
          <w:color w:val="auto"/>
          <w:szCs w:val="22"/>
          <w:lang w:val="pt-PT"/>
        </w:rPr>
        <w:t>(PHOENIX 2) avaliou 123</w:t>
      </w:r>
      <w:r w:rsidR="00B910F9" w:rsidRPr="00110D6C">
        <w:rPr>
          <w:rFonts w:cs="Times New Roman"/>
          <w:color w:val="auto"/>
          <w:szCs w:val="22"/>
          <w:lang w:val="pt-PT"/>
        </w:rPr>
        <w:t>0 </w:t>
      </w:r>
      <w:r w:rsidRPr="00110D6C">
        <w:rPr>
          <w:rFonts w:cs="Times New Roman"/>
          <w:color w:val="auto"/>
          <w:szCs w:val="22"/>
          <w:lang w:val="pt-PT"/>
        </w:rPr>
        <w:t>doentes. Sessenta e um por cento destes doentes eram não respondedores, intolerantes, ou tinham uma contraindicação para outra terapêutica sistémica. Os doentes aleatorizados para ustecinumab receberam doses de 4</w:t>
      </w:r>
      <w:r w:rsidR="00B910F9" w:rsidRPr="00110D6C">
        <w:rPr>
          <w:rFonts w:cs="Times New Roman"/>
          <w:color w:val="auto"/>
          <w:szCs w:val="22"/>
          <w:lang w:val="pt-PT"/>
        </w:rPr>
        <w:t>5 </w:t>
      </w:r>
      <w:r w:rsidRPr="00110D6C">
        <w:rPr>
          <w:rFonts w:cs="Times New Roman"/>
          <w:color w:val="auto"/>
          <w:szCs w:val="22"/>
          <w:lang w:val="pt-PT"/>
        </w:rPr>
        <w:t>mg ou 9</w:t>
      </w:r>
      <w:r w:rsidR="00B910F9" w:rsidRPr="00110D6C">
        <w:rPr>
          <w:rFonts w:cs="Times New Roman"/>
          <w:color w:val="auto"/>
          <w:szCs w:val="22"/>
          <w:lang w:val="pt-PT"/>
        </w:rPr>
        <w:t>0 </w:t>
      </w:r>
      <w:r w:rsidRPr="00110D6C">
        <w:rPr>
          <w:rFonts w:cs="Times New Roman"/>
          <w:color w:val="auto"/>
          <w:szCs w:val="22"/>
          <w:lang w:val="pt-PT"/>
        </w:rPr>
        <w:t>mg nas Semanas</w:t>
      </w:r>
      <w:r w:rsidR="005B2D5C" w:rsidRPr="00110D6C">
        <w:rPr>
          <w:rFonts w:cs="Times New Roman"/>
          <w:color w:val="auto"/>
          <w:szCs w:val="22"/>
          <w:lang w:val="pt-PT"/>
        </w:rPr>
        <w:t> </w:t>
      </w:r>
      <w:r w:rsidR="00B910F9" w:rsidRPr="00110D6C">
        <w:rPr>
          <w:rFonts w:cs="Times New Roman"/>
          <w:color w:val="auto"/>
          <w:szCs w:val="22"/>
          <w:lang w:val="pt-PT"/>
        </w:rPr>
        <w:t>0 </w:t>
      </w:r>
      <w:r w:rsidRPr="00110D6C">
        <w:rPr>
          <w:rFonts w:cs="Times New Roman"/>
          <w:color w:val="auto"/>
          <w:szCs w:val="22"/>
          <w:lang w:val="pt-PT"/>
        </w:rPr>
        <w:t>e 4, seguidas de uma dose adicional na semana</w:t>
      </w:r>
      <w:r w:rsidR="005B2D5C" w:rsidRPr="00110D6C">
        <w:rPr>
          <w:rFonts w:cs="Times New Roman"/>
          <w:color w:val="auto"/>
          <w:szCs w:val="22"/>
          <w:lang w:val="pt-PT"/>
        </w:rPr>
        <w:t> </w:t>
      </w:r>
      <w:r w:rsidRPr="00110D6C">
        <w:rPr>
          <w:rFonts w:cs="Times New Roman"/>
          <w:color w:val="auto"/>
          <w:szCs w:val="22"/>
          <w:lang w:val="pt-PT"/>
        </w:rPr>
        <w:t xml:space="preserve">16. </w:t>
      </w:r>
    </w:p>
    <w:p w14:paraId="676EDCDF" w14:textId="39DE2BF2" w:rsidR="0077031F" w:rsidRPr="00110D6C" w:rsidRDefault="00030085" w:rsidP="00A17623">
      <w:pPr>
        <w:widowControl/>
        <w:rPr>
          <w:rFonts w:cs="Times New Roman"/>
          <w:color w:val="auto"/>
          <w:szCs w:val="22"/>
          <w:lang w:val="pt-PT"/>
        </w:rPr>
      </w:pPr>
      <w:r w:rsidRPr="00110D6C">
        <w:rPr>
          <w:rFonts w:cs="Times New Roman"/>
          <w:color w:val="auto"/>
          <w:szCs w:val="22"/>
          <w:lang w:val="pt-PT"/>
        </w:rPr>
        <w:t>Os doentes aleatorizados para receberem placebo nas Semanas</w:t>
      </w:r>
      <w:r w:rsidR="005B2D5C" w:rsidRPr="00110D6C">
        <w:rPr>
          <w:rFonts w:cs="Times New Roman"/>
          <w:color w:val="auto"/>
          <w:szCs w:val="22"/>
          <w:lang w:val="pt-PT"/>
        </w:rPr>
        <w:t> </w:t>
      </w:r>
      <w:r w:rsidR="00B910F9" w:rsidRPr="00110D6C">
        <w:rPr>
          <w:rFonts w:cs="Times New Roman"/>
          <w:color w:val="auto"/>
          <w:szCs w:val="22"/>
          <w:lang w:val="pt-PT"/>
        </w:rPr>
        <w:t>0</w:t>
      </w:r>
      <w:r w:rsidR="005B2D5C" w:rsidRPr="00110D6C">
        <w:rPr>
          <w:rFonts w:cs="Times New Roman"/>
          <w:color w:val="auto"/>
          <w:szCs w:val="22"/>
          <w:lang w:val="pt-PT"/>
        </w:rPr>
        <w:t xml:space="preserve"> </w:t>
      </w:r>
      <w:r w:rsidRPr="00110D6C">
        <w:rPr>
          <w:rFonts w:cs="Times New Roman"/>
          <w:color w:val="auto"/>
          <w:szCs w:val="22"/>
          <w:lang w:val="pt-PT"/>
        </w:rPr>
        <w:t xml:space="preserve">e </w:t>
      </w:r>
      <w:r w:rsidR="00B910F9" w:rsidRPr="00110D6C">
        <w:rPr>
          <w:rFonts w:cs="Times New Roman"/>
          <w:color w:val="auto"/>
          <w:szCs w:val="22"/>
          <w:lang w:val="pt-PT"/>
        </w:rPr>
        <w:t>4 </w:t>
      </w:r>
      <w:r w:rsidRPr="00110D6C">
        <w:rPr>
          <w:rFonts w:cs="Times New Roman"/>
          <w:color w:val="auto"/>
          <w:szCs w:val="22"/>
          <w:lang w:val="pt-PT"/>
        </w:rPr>
        <w:t>passaram para o grupo tratado com ustecinumab (4</w:t>
      </w:r>
      <w:r w:rsidR="00B910F9" w:rsidRPr="00110D6C">
        <w:rPr>
          <w:rFonts w:cs="Times New Roman"/>
          <w:color w:val="auto"/>
          <w:szCs w:val="22"/>
          <w:lang w:val="pt-PT"/>
        </w:rPr>
        <w:t>5 </w:t>
      </w:r>
      <w:r w:rsidRPr="00110D6C">
        <w:rPr>
          <w:rFonts w:cs="Times New Roman"/>
          <w:color w:val="auto"/>
          <w:szCs w:val="22"/>
          <w:lang w:val="pt-PT"/>
        </w:rPr>
        <w:t>mg ou 9</w:t>
      </w:r>
      <w:r w:rsidR="00B910F9" w:rsidRPr="00110D6C">
        <w:rPr>
          <w:rFonts w:cs="Times New Roman"/>
          <w:color w:val="auto"/>
          <w:szCs w:val="22"/>
          <w:lang w:val="pt-PT"/>
        </w:rPr>
        <w:t>0 </w:t>
      </w:r>
      <w:r w:rsidRPr="00110D6C">
        <w:rPr>
          <w:rFonts w:cs="Times New Roman"/>
          <w:color w:val="auto"/>
          <w:szCs w:val="22"/>
          <w:lang w:val="pt-PT"/>
        </w:rPr>
        <w:t>mg) nas Semanas</w:t>
      </w:r>
      <w:r w:rsidR="005B2D5C" w:rsidRPr="00110D6C">
        <w:rPr>
          <w:rFonts w:cs="Times New Roman"/>
          <w:color w:val="auto"/>
          <w:szCs w:val="22"/>
          <w:lang w:val="pt-PT"/>
        </w:rPr>
        <w:t> </w:t>
      </w:r>
      <w:r w:rsidRPr="00110D6C">
        <w:rPr>
          <w:rFonts w:cs="Times New Roman"/>
          <w:color w:val="auto"/>
          <w:szCs w:val="22"/>
          <w:lang w:val="pt-PT"/>
        </w:rPr>
        <w:t>1</w:t>
      </w:r>
      <w:r w:rsidR="00B910F9" w:rsidRPr="00110D6C">
        <w:rPr>
          <w:rFonts w:cs="Times New Roman"/>
          <w:color w:val="auto"/>
          <w:szCs w:val="22"/>
          <w:lang w:val="pt-PT"/>
        </w:rPr>
        <w:t>2</w:t>
      </w:r>
      <w:r w:rsidR="005B2D5C" w:rsidRPr="00110D6C">
        <w:rPr>
          <w:rFonts w:cs="Times New Roman"/>
          <w:color w:val="auto"/>
          <w:szCs w:val="22"/>
          <w:lang w:val="pt-PT"/>
        </w:rPr>
        <w:t xml:space="preserve"> </w:t>
      </w:r>
      <w:r w:rsidRPr="00110D6C">
        <w:rPr>
          <w:rFonts w:cs="Times New Roman"/>
          <w:color w:val="auto"/>
          <w:szCs w:val="22"/>
          <w:lang w:val="pt-PT"/>
        </w:rPr>
        <w:t>e 16. Todos os doentes foram seguidos até 5</w:t>
      </w:r>
      <w:r w:rsidR="00B910F9" w:rsidRPr="00110D6C">
        <w:rPr>
          <w:rFonts w:cs="Times New Roman"/>
          <w:color w:val="auto"/>
          <w:szCs w:val="22"/>
          <w:lang w:val="pt-PT"/>
        </w:rPr>
        <w:t>2 </w:t>
      </w:r>
      <w:r w:rsidRPr="00110D6C">
        <w:rPr>
          <w:rFonts w:cs="Times New Roman"/>
          <w:color w:val="auto"/>
          <w:szCs w:val="22"/>
          <w:lang w:val="pt-PT"/>
        </w:rPr>
        <w:t>semanas após a primeira administração do tratamento em estudo.</w:t>
      </w:r>
    </w:p>
    <w:p w14:paraId="231C5857" w14:textId="77777777" w:rsidR="0043129A" w:rsidRPr="00110D6C" w:rsidRDefault="0043129A" w:rsidP="00A17623">
      <w:pPr>
        <w:widowControl/>
        <w:rPr>
          <w:rFonts w:cs="Times New Roman"/>
          <w:color w:val="auto"/>
          <w:szCs w:val="22"/>
          <w:lang w:val="pt-PT"/>
        </w:rPr>
      </w:pPr>
    </w:p>
    <w:p w14:paraId="1175C8B7"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O Estudo da Psoríase </w:t>
      </w:r>
      <w:r w:rsidR="00B910F9" w:rsidRPr="00110D6C">
        <w:rPr>
          <w:rFonts w:cs="Times New Roman"/>
          <w:color w:val="auto"/>
          <w:szCs w:val="22"/>
          <w:lang w:val="pt-PT"/>
        </w:rPr>
        <w:t>3 </w:t>
      </w:r>
      <w:r w:rsidRPr="00110D6C">
        <w:rPr>
          <w:rFonts w:cs="Times New Roman"/>
          <w:color w:val="auto"/>
          <w:szCs w:val="22"/>
          <w:lang w:val="pt-PT"/>
        </w:rPr>
        <w:t>(ACCEPT) avaliou 90</w:t>
      </w:r>
      <w:r w:rsidR="00B910F9" w:rsidRPr="00110D6C">
        <w:rPr>
          <w:rFonts w:cs="Times New Roman"/>
          <w:color w:val="auto"/>
          <w:szCs w:val="22"/>
          <w:lang w:val="pt-PT"/>
        </w:rPr>
        <w:t>3 </w:t>
      </w:r>
      <w:r w:rsidRPr="00110D6C">
        <w:rPr>
          <w:rFonts w:cs="Times New Roman"/>
          <w:color w:val="auto"/>
          <w:szCs w:val="22"/>
          <w:lang w:val="pt-PT"/>
        </w:rPr>
        <w:t>doentes com psoríase moderada a grave que responderam inadequadamente, foram intolerantes, ou tinham contraindicação para outra terapêutica sistémica, e comparou a eficácia de ustecinumab e etanercept e avaliou a segurança de ustecinumab e etanercept. Durante as 1</w:t>
      </w:r>
      <w:r w:rsidR="00B910F9" w:rsidRPr="00110D6C">
        <w:rPr>
          <w:rFonts w:cs="Times New Roman"/>
          <w:color w:val="auto"/>
          <w:szCs w:val="22"/>
          <w:lang w:val="pt-PT"/>
        </w:rPr>
        <w:t>2 </w:t>
      </w:r>
      <w:r w:rsidRPr="00110D6C">
        <w:rPr>
          <w:rFonts w:cs="Times New Roman"/>
          <w:color w:val="auto"/>
          <w:szCs w:val="22"/>
          <w:lang w:val="pt-PT"/>
        </w:rPr>
        <w:t>semanas da fase do estudo controlada por comparador ativo, os doentes foram aleatorizados para receberem etanercept (5</w:t>
      </w:r>
      <w:r w:rsidR="00B910F9" w:rsidRPr="00110D6C">
        <w:rPr>
          <w:rFonts w:cs="Times New Roman"/>
          <w:color w:val="auto"/>
          <w:szCs w:val="22"/>
          <w:lang w:val="pt-PT"/>
        </w:rPr>
        <w:t>0 </w:t>
      </w:r>
      <w:r w:rsidRPr="00110D6C">
        <w:rPr>
          <w:rFonts w:cs="Times New Roman"/>
          <w:color w:val="auto"/>
          <w:szCs w:val="22"/>
          <w:lang w:val="pt-PT"/>
        </w:rPr>
        <w:t>mg, duas vezes por semana), ustecinumab 4</w:t>
      </w:r>
      <w:r w:rsidR="00B910F9" w:rsidRPr="00110D6C">
        <w:rPr>
          <w:rFonts w:cs="Times New Roman"/>
          <w:color w:val="auto"/>
          <w:szCs w:val="22"/>
          <w:lang w:val="pt-PT"/>
        </w:rPr>
        <w:t>5 </w:t>
      </w:r>
      <w:r w:rsidRPr="00110D6C">
        <w:rPr>
          <w:rFonts w:cs="Times New Roman"/>
          <w:color w:val="auto"/>
          <w:szCs w:val="22"/>
          <w:lang w:val="pt-PT"/>
        </w:rPr>
        <w:t>mg nas Semanas</w:t>
      </w:r>
      <w:r w:rsidR="005B2D5C" w:rsidRPr="00110D6C">
        <w:rPr>
          <w:rFonts w:cs="Times New Roman"/>
          <w:color w:val="auto"/>
          <w:szCs w:val="22"/>
          <w:lang w:val="pt-PT"/>
        </w:rPr>
        <w:t> </w:t>
      </w:r>
      <w:r w:rsidR="00B910F9" w:rsidRPr="00110D6C">
        <w:rPr>
          <w:rFonts w:cs="Times New Roman"/>
          <w:color w:val="auto"/>
          <w:szCs w:val="22"/>
          <w:lang w:val="pt-PT"/>
        </w:rPr>
        <w:t>0</w:t>
      </w:r>
      <w:r w:rsidR="005B2D5C" w:rsidRPr="00110D6C">
        <w:rPr>
          <w:rFonts w:cs="Times New Roman"/>
          <w:color w:val="auto"/>
          <w:szCs w:val="22"/>
          <w:lang w:val="pt-PT"/>
        </w:rPr>
        <w:t xml:space="preserve"> </w:t>
      </w:r>
      <w:r w:rsidRPr="00110D6C">
        <w:rPr>
          <w:rFonts w:cs="Times New Roman"/>
          <w:color w:val="auto"/>
          <w:szCs w:val="22"/>
          <w:lang w:val="pt-PT"/>
        </w:rPr>
        <w:t>e 4, ou ustecinumab 9</w:t>
      </w:r>
      <w:r w:rsidR="00B910F9" w:rsidRPr="00110D6C">
        <w:rPr>
          <w:rFonts w:cs="Times New Roman"/>
          <w:color w:val="auto"/>
          <w:szCs w:val="22"/>
          <w:lang w:val="pt-PT"/>
        </w:rPr>
        <w:t>0 </w:t>
      </w:r>
      <w:r w:rsidRPr="00110D6C">
        <w:rPr>
          <w:rFonts w:cs="Times New Roman"/>
          <w:color w:val="auto"/>
          <w:szCs w:val="22"/>
          <w:lang w:val="pt-PT"/>
        </w:rPr>
        <w:t>mg nas Semanas</w:t>
      </w:r>
      <w:r w:rsidR="005B2D5C" w:rsidRPr="00110D6C">
        <w:rPr>
          <w:rFonts w:cs="Times New Roman"/>
          <w:color w:val="auto"/>
          <w:szCs w:val="22"/>
          <w:lang w:val="pt-PT"/>
        </w:rPr>
        <w:t> </w:t>
      </w:r>
      <w:r w:rsidR="00B910F9" w:rsidRPr="00110D6C">
        <w:rPr>
          <w:rFonts w:cs="Times New Roman"/>
          <w:color w:val="auto"/>
          <w:szCs w:val="22"/>
          <w:lang w:val="pt-PT"/>
        </w:rPr>
        <w:t>0 </w:t>
      </w:r>
      <w:r w:rsidRPr="00110D6C">
        <w:rPr>
          <w:rFonts w:cs="Times New Roman"/>
          <w:color w:val="auto"/>
          <w:szCs w:val="22"/>
          <w:lang w:val="pt-PT"/>
        </w:rPr>
        <w:t>e 4.</w:t>
      </w:r>
    </w:p>
    <w:p w14:paraId="6EA1D66A" w14:textId="77777777" w:rsidR="0043129A" w:rsidRPr="00110D6C" w:rsidRDefault="0043129A" w:rsidP="00A17623">
      <w:pPr>
        <w:widowControl/>
        <w:rPr>
          <w:rFonts w:cs="Times New Roman"/>
          <w:color w:val="auto"/>
          <w:szCs w:val="22"/>
          <w:lang w:val="pt-PT"/>
        </w:rPr>
      </w:pPr>
    </w:p>
    <w:p w14:paraId="51AB9AB7"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As características iniciais da doença eram geralmente consistentes entre todos os grupos de tratamento nos Estudos da Psoríase </w:t>
      </w:r>
      <w:r w:rsidR="00B910F9" w:rsidRPr="00110D6C">
        <w:rPr>
          <w:rFonts w:cs="Times New Roman"/>
          <w:color w:val="auto"/>
          <w:szCs w:val="22"/>
          <w:lang w:val="pt-PT"/>
        </w:rPr>
        <w:t>1 </w:t>
      </w:r>
      <w:r w:rsidRPr="00110D6C">
        <w:rPr>
          <w:rFonts w:cs="Times New Roman"/>
          <w:color w:val="auto"/>
          <w:szCs w:val="22"/>
          <w:lang w:val="pt-PT"/>
        </w:rPr>
        <w:t xml:space="preserve">e </w:t>
      </w:r>
      <w:r w:rsidR="00B910F9" w:rsidRPr="00110D6C">
        <w:rPr>
          <w:rFonts w:cs="Times New Roman"/>
          <w:color w:val="auto"/>
          <w:szCs w:val="22"/>
          <w:lang w:val="pt-PT"/>
        </w:rPr>
        <w:t>2 </w:t>
      </w:r>
      <w:r w:rsidRPr="00110D6C">
        <w:rPr>
          <w:rFonts w:cs="Times New Roman"/>
          <w:color w:val="auto"/>
          <w:szCs w:val="22"/>
          <w:lang w:val="pt-PT"/>
        </w:rPr>
        <w:t>apresentando uma mediana de pontuação inicial do índice PASI de 1</w:t>
      </w:r>
      <w:r w:rsidR="00B910F9" w:rsidRPr="00110D6C">
        <w:rPr>
          <w:rFonts w:cs="Times New Roman"/>
          <w:color w:val="auto"/>
          <w:szCs w:val="22"/>
          <w:lang w:val="pt-PT"/>
        </w:rPr>
        <w:t>7 </w:t>
      </w:r>
      <w:r w:rsidRPr="00110D6C">
        <w:rPr>
          <w:rFonts w:cs="Times New Roman"/>
          <w:color w:val="auto"/>
          <w:szCs w:val="22"/>
          <w:lang w:val="pt-PT"/>
        </w:rPr>
        <w:t>a 18, uma mediana inicial da Área de Superfície Corporal (BSA) ≥</w:t>
      </w:r>
      <w:r w:rsidR="00F5387C" w:rsidRPr="00110D6C">
        <w:rPr>
          <w:rFonts w:cs="Times New Roman"/>
          <w:color w:val="auto"/>
          <w:szCs w:val="22"/>
          <w:lang w:val="pt-PT"/>
        </w:rPr>
        <w:t> </w:t>
      </w:r>
      <w:r w:rsidRPr="00110D6C">
        <w:rPr>
          <w:rFonts w:cs="Times New Roman"/>
          <w:color w:val="auto"/>
          <w:szCs w:val="22"/>
          <w:lang w:val="pt-PT"/>
        </w:rPr>
        <w:t>20, e uma mediana do Índice Dermatológico de Qualidade de Vida (DLQI) situado entre 1</w:t>
      </w:r>
      <w:r w:rsidR="00B910F9" w:rsidRPr="00110D6C">
        <w:rPr>
          <w:rFonts w:cs="Times New Roman"/>
          <w:color w:val="auto"/>
          <w:szCs w:val="22"/>
          <w:lang w:val="pt-PT"/>
        </w:rPr>
        <w:t>0 </w:t>
      </w:r>
      <w:r w:rsidRPr="00110D6C">
        <w:rPr>
          <w:rFonts w:cs="Times New Roman"/>
          <w:color w:val="auto"/>
          <w:szCs w:val="22"/>
          <w:lang w:val="pt-PT"/>
        </w:rPr>
        <w:t>e 12. Aproximadamente um terço (Estudo da Psoríase 1) e um quarto (Estudo da Psoríase 2) dos indivíduos apresentavam Artrite Psoriática (AP). Foram igualmente observados níveis similares de gravidade da doença no Estudo da Psoríase 3.</w:t>
      </w:r>
    </w:p>
    <w:p w14:paraId="3F5B4236" w14:textId="77777777" w:rsidR="0043129A" w:rsidRPr="00110D6C" w:rsidRDefault="0043129A" w:rsidP="00A17623">
      <w:pPr>
        <w:widowControl/>
        <w:rPr>
          <w:rFonts w:cs="Times New Roman"/>
          <w:color w:val="auto"/>
          <w:szCs w:val="22"/>
          <w:lang w:val="pt-PT"/>
        </w:rPr>
      </w:pPr>
    </w:p>
    <w:p w14:paraId="2B07E264" w14:textId="2FAA5BC3" w:rsidR="0077031F" w:rsidRPr="00110D6C" w:rsidRDefault="00030085" w:rsidP="00A17623">
      <w:pPr>
        <w:widowControl/>
        <w:rPr>
          <w:rFonts w:cs="Times New Roman"/>
          <w:color w:val="auto"/>
          <w:szCs w:val="22"/>
          <w:lang w:val="pt-PT"/>
        </w:rPr>
      </w:pPr>
      <w:r w:rsidRPr="00110D6C">
        <w:rPr>
          <w:rFonts w:cs="Times New Roman"/>
          <w:color w:val="auto"/>
          <w:szCs w:val="22"/>
          <w:lang w:val="pt-PT"/>
        </w:rPr>
        <w:t>O parâmetro de avaliação primário nestes estudos foi a proporção de doentes que alcançaram uma resposta no índice de PASI 7</w:t>
      </w:r>
      <w:r w:rsidR="00B910F9" w:rsidRPr="00110D6C">
        <w:rPr>
          <w:rFonts w:cs="Times New Roman"/>
          <w:color w:val="auto"/>
          <w:szCs w:val="22"/>
          <w:lang w:val="pt-PT"/>
        </w:rPr>
        <w:t>5 </w:t>
      </w:r>
      <w:r w:rsidRPr="00110D6C">
        <w:rPr>
          <w:rFonts w:cs="Times New Roman"/>
          <w:color w:val="auto"/>
          <w:szCs w:val="22"/>
          <w:lang w:val="pt-PT"/>
        </w:rPr>
        <w:t>desde a avaliação inicial na Semana</w:t>
      </w:r>
      <w:r w:rsidR="005B2D5C" w:rsidRPr="00110D6C">
        <w:rPr>
          <w:rFonts w:cs="Times New Roman"/>
          <w:color w:val="auto"/>
          <w:szCs w:val="22"/>
          <w:lang w:val="pt-PT"/>
        </w:rPr>
        <w:t> </w:t>
      </w:r>
      <w:r w:rsidRPr="00110D6C">
        <w:rPr>
          <w:rFonts w:cs="Times New Roman"/>
          <w:color w:val="auto"/>
          <w:szCs w:val="22"/>
          <w:lang w:val="pt-PT"/>
        </w:rPr>
        <w:t>1</w:t>
      </w:r>
      <w:r w:rsidR="00B910F9" w:rsidRPr="00110D6C">
        <w:rPr>
          <w:rFonts w:cs="Times New Roman"/>
          <w:color w:val="auto"/>
          <w:szCs w:val="22"/>
          <w:lang w:val="pt-PT"/>
        </w:rPr>
        <w:t>2</w:t>
      </w:r>
      <w:r w:rsidR="005B2D5C" w:rsidRPr="00110D6C">
        <w:rPr>
          <w:rFonts w:cs="Times New Roman"/>
          <w:color w:val="auto"/>
          <w:szCs w:val="22"/>
          <w:lang w:val="pt-PT"/>
        </w:rPr>
        <w:t xml:space="preserve"> </w:t>
      </w:r>
      <w:r w:rsidRPr="00110D6C">
        <w:rPr>
          <w:rFonts w:cs="Times New Roman"/>
          <w:color w:val="auto"/>
          <w:szCs w:val="22"/>
          <w:lang w:val="pt-PT"/>
        </w:rPr>
        <w:t xml:space="preserve">(ver Tabelas </w:t>
      </w:r>
      <w:r w:rsidR="00E2467D">
        <w:rPr>
          <w:rFonts w:cs="Times New Roman"/>
          <w:color w:val="auto"/>
          <w:szCs w:val="22"/>
          <w:lang w:val="pt-PT"/>
        </w:rPr>
        <w:t>3</w:t>
      </w:r>
      <w:r w:rsidR="00B910F9" w:rsidRPr="00110D6C">
        <w:rPr>
          <w:rFonts w:cs="Times New Roman"/>
          <w:color w:val="auto"/>
          <w:szCs w:val="22"/>
          <w:lang w:val="pt-PT"/>
        </w:rPr>
        <w:t> </w:t>
      </w:r>
      <w:r w:rsidRPr="00110D6C">
        <w:rPr>
          <w:rFonts w:cs="Times New Roman"/>
          <w:color w:val="auto"/>
          <w:szCs w:val="22"/>
          <w:lang w:val="pt-PT"/>
        </w:rPr>
        <w:t xml:space="preserve">e </w:t>
      </w:r>
      <w:r w:rsidR="00E2467D">
        <w:rPr>
          <w:rFonts w:cs="Times New Roman"/>
          <w:color w:val="auto"/>
          <w:szCs w:val="22"/>
          <w:lang w:val="pt-PT"/>
        </w:rPr>
        <w:t>4</w:t>
      </w:r>
      <w:r w:rsidRPr="00110D6C">
        <w:rPr>
          <w:rFonts w:cs="Times New Roman"/>
          <w:color w:val="auto"/>
          <w:szCs w:val="22"/>
          <w:lang w:val="pt-PT"/>
        </w:rPr>
        <w:t>).</w:t>
      </w:r>
    </w:p>
    <w:p w14:paraId="6884E8D2" w14:textId="77777777" w:rsidR="00DA7FFC" w:rsidRPr="00110D6C" w:rsidRDefault="00DA7FFC" w:rsidP="00A17623">
      <w:pPr>
        <w:widowControl/>
        <w:rPr>
          <w:rFonts w:cs="Times New Roman"/>
          <w:color w:val="auto"/>
          <w:szCs w:val="22"/>
          <w:lang w:val="pt-PT"/>
        </w:rPr>
      </w:pPr>
    </w:p>
    <w:p w14:paraId="4DE4BFF7" w14:textId="4F707D5B" w:rsidR="0077031F" w:rsidRDefault="00030085" w:rsidP="0043129A">
      <w:pPr>
        <w:widowControl/>
        <w:ind w:left="1134" w:hanging="1134"/>
        <w:rPr>
          <w:rFonts w:cs="Times New Roman"/>
          <w:i/>
          <w:iCs/>
          <w:color w:val="auto"/>
          <w:szCs w:val="22"/>
          <w:lang w:val="pt-PT"/>
        </w:rPr>
      </w:pPr>
      <w:r w:rsidRPr="00110D6C">
        <w:rPr>
          <w:rFonts w:cs="Times New Roman"/>
          <w:i/>
          <w:iCs/>
          <w:color w:val="auto"/>
          <w:szCs w:val="22"/>
          <w:lang w:val="pt-PT"/>
        </w:rPr>
        <w:t>Tabela</w:t>
      </w:r>
      <w:r w:rsidR="00982985" w:rsidRPr="00110D6C">
        <w:rPr>
          <w:rFonts w:cs="Times New Roman"/>
          <w:i/>
          <w:iCs/>
          <w:color w:val="auto"/>
          <w:szCs w:val="22"/>
          <w:lang w:val="pt-PT"/>
        </w:rPr>
        <w:t> </w:t>
      </w:r>
      <w:r w:rsidR="00E2467D">
        <w:rPr>
          <w:rFonts w:cs="Times New Roman"/>
          <w:i/>
          <w:iCs/>
          <w:color w:val="auto"/>
          <w:szCs w:val="22"/>
          <w:lang w:val="pt-PT"/>
        </w:rPr>
        <w:t>3</w:t>
      </w:r>
      <w:r w:rsidR="0043129A" w:rsidRPr="00110D6C">
        <w:rPr>
          <w:rFonts w:cs="Times New Roman"/>
          <w:i/>
          <w:iCs/>
          <w:color w:val="auto"/>
          <w:szCs w:val="22"/>
          <w:lang w:val="pt-PT"/>
        </w:rPr>
        <w:tab/>
      </w:r>
      <w:r w:rsidRPr="00110D6C">
        <w:rPr>
          <w:rFonts w:cs="Times New Roman"/>
          <w:i/>
          <w:iCs/>
          <w:color w:val="auto"/>
          <w:szCs w:val="22"/>
          <w:lang w:val="pt-PT"/>
        </w:rPr>
        <w:t>Resumo da resposta clínica no Estudo da Psoríase</w:t>
      </w:r>
      <w:r w:rsidR="00686A2C">
        <w:rPr>
          <w:rFonts w:cs="Times New Roman"/>
          <w:i/>
          <w:iCs/>
          <w:color w:val="auto"/>
          <w:szCs w:val="22"/>
          <w:lang w:val="pt-PT"/>
        </w:rPr>
        <w:t> </w:t>
      </w:r>
      <w:r w:rsidR="00B910F9" w:rsidRPr="00110D6C">
        <w:rPr>
          <w:rFonts w:cs="Times New Roman"/>
          <w:i/>
          <w:iCs/>
          <w:color w:val="auto"/>
          <w:szCs w:val="22"/>
          <w:lang w:val="pt-PT"/>
        </w:rPr>
        <w:t>1 </w:t>
      </w:r>
      <w:r w:rsidRPr="00110D6C">
        <w:rPr>
          <w:rFonts w:cs="Times New Roman"/>
          <w:i/>
          <w:iCs/>
          <w:color w:val="auto"/>
          <w:szCs w:val="22"/>
          <w:lang w:val="pt-PT"/>
        </w:rPr>
        <w:t>(PHOENIX</w:t>
      </w:r>
      <w:r w:rsidR="005B2D5C" w:rsidRPr="00110D6C">
        <w:rPr>
          <w:rFonts w:cs="Times New Roman"/>
          <w:i/>
          <w:iCs/>
          <w:color w:val="auto"/>
          <w:szCs w:val="22"/>
          <w:lang w:val="pt-PT"/>
        </w:rPr>
        <w:t> </w:t>
      </w:r>
      <w:r w:rsidRPr="00110D6C">
        <w:rPr>
          <w:rFonts w:cs="Times New Roman"/>
          <w:i/>
          <w:iCs/>
          <w:color w:val="auto"/>
          <w:szCs w:val="22"/>
          <w:lang w:val="pt-PT"/>
        </w:rPr>
        <w:t>1) e no Estudo da Psoríase</w:t>
      </w:r>
      <w:r w:rsidR="005B2D5C" w:rsidRPr="00110D6C">
        <w:rPr>
          <w:rFonts w:cs="Times New Roman"/>
          <w:i/>
          <w:iCs/>
          <w:color w:val="auto"/>
          <w:szCs w:val="22"/>
          <w:lang w:val="pt-PT"/>
        </w:rPr>
        <w:t> </w:t>
      </w:r>
      <w:r w:rsidR="00B910F9" w:rsidRPr="00110D6C">
        <w:rPr>
          <w:rFonts w:cs="Times New Roman"/>
          <w:i/>
          <w:iCs/>
          <w:color w:val="auto"/>
          <w:szCs w:val="22"/>
          <w:lang w:val="pt-PT"/>
        </w:rPr>
        <w:t>2</w:t>
      </w:r>
      <w:r w:rsidR="005B2D5C" w:rsidRPr="00110D6C">
        <w:rPr>
          <w:rFonts w:cs="Times New Roman"/>
          <w:i/>
          <w:iCs/>
          <w:color w:val="auto"/>
          <w:szCs w:val="22"/>
          <w:lang w:val="pt-PT"/>
        </w:rPr>
        <w:t xml:space="preserve"> </w:t>
      </w:r>
      <w:r w:rsidRPr="00110D6C">
        <w:rPr>
          <w:rFonts w:cs="Times New Roman"/>
          <w:i/>
          <w:iCs/>
          <w:color w:val="auto"/>
          <w:szCs w:val="22"/>
          <w:lang w:val="pt-PT"/>
        </w:rPr>
        <w:t>(PHOENIX</w:t>
      </w:r>
      <w:r w:rsidR="005B2D5C" w:rsidRPr="00110D6C">
        <w:rPr>
          <w:rFonts w:cs="Times New Roman"/>
          <w:i/>
          <w:iCs/>
          <w:color w:val="auto"/>
          <w:szCs w:val="22"/>
          <w:lang w:val="pt-PT"/>
        </w:rPr>
        <w:t> </w:t>
      </w:r>
      <w:r w:rsidRPr="00110D6C">
        <w:rPr>
          <w:rFonts w:cs="Times New Roman"/>
          <w:i/>
          <w:iCs/>
          <w:color w:val="auto"/>
          <w:szCs w:val="22"/>
          <w:lang w:val="pt-PT"/>
        </w:rPr>
        <w:t>2)</w:t>
      </w:r>
    </w:p>
    <w:p w14:paraId="59A9C83D" w14:textId="77777777" w:rsidR="00587D68" w:rsidRPr="00110D6C" w:rsidRDefault="00587D68" w:rsidP="0043129A">
      <w:pPr>
        <w:widowControl/>
        <w:ind w:left="1134" w:hanging="1134"/>
        <w:rPr>
          <w:rFonts w:cs="Times New Roman"/>
          <w:color w:val="auto"/>
          <w:szCs w:val="22"/>
          <w:lang w:val="pt-PT"/>
        </w:rPr>
      </w:pPr>
    </w:p>
    <w:tbl>
      <w:tblPr>
        <w:tblOverlap w:val="never"/>
        <w:tblW w:w="0" w:type="auto"/>
        <w:tblLayout w:type="fixed"/>
        <w:tblLook w:val="04A0" w:firstRow="1" w:lastRow="0" w:firstColumn="1" w:lastColumn="0" w:noHBand="0" w:noVBand="1"/>
      </w:tblPr>
      <w:tblGrid>
        <w:gridCol w:w="3019"/>
        <w:gridCol w:w="1094"/>
        <w:gridCol w:w="1277"/>
        <w:gridCol w:w="1277"/>
        <w:gridCol w:w="1195"/>
        <w:gridCol w:w="1210"/>
      </w:tblGrid>
      <w:tr w:rsidR="0077031F" w:rsidRPr="00110D6C" w14:paraId="7736B273" w14:textId="77777777" w:rsidTr="0043129A">
        <w:tc>
          <w:tcPr>
            <w:tcW w:w="3019" w:type="dxa"/>
            <w:tcBorders>
              <w:top w:val="single" w:sz="4" w:space="0" w:color="auto"/>
              <w:left w:val="single" w:sz="4" w:space="0" w:color="auto"/>
            </w:tcBorders>
            <w:shd w:val="clear" w:color="auto" w:fill="auto"/>
          </w:tcPr>
          <w:p w14:paraId="5BA55459" w14:textId="77777777" w:rsidR="0077031F" w:rsidRPr="00110D6C" w:rsidRDefault="0077031F" w:rsidP="0043129A">
            <w:pPr>
              <w:widowControl/>
              <w:rPr>
                <w:rFonts w:cs="Times New Roman"/>
                <w:color w:val="auto"/>
                <w:szCs w:val="22"/>
                <w:lang w:val="pt-PT"/>
              </w:rPr>
            </w:pPr>
          </w:p>
        </w:tc>
        <w:tc>
          <w:tcPr>
            <w:tcW w:w="3648" w:type="dxa"/>
            <w:gridSpan w:val="3"/>
            <w:tcBorders>
              <w:top w:val="single" w:sz="4" w:space="0" w:color="auto"/>
              <w:left w:val="single" w:sz="4" w:space="0" w:color="auto"/>
            </w:tcBorders>
            <w:shd w:val="clear" w:color="auto" w:fill="auto"/>
          </w:tcPr>
          <w:p w14:paraId="70A1D091"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Semana</w:t>
            </w:r>
            <w:r w:rsidR="005B2D5C" w:rsidRPr="00110D6C">
              <w:rPr>
                <w:rFonts w:cs="Times New Roman"/>
                <w:color w:val="auto"/>
                <w:szCs w:val="22"/>
                <w:lang w:val="pt-PT"/>
              </w:rPr>
              <w:t> </w:t>
            </w:r>
            <w:r w:rsidRPr="00110D6C">
              <w:rPr>
                <w:rFonts w:cs="Times New Roman"/>
                <w:color w:val="auto"/>
                <w:szCs w:val="22"/>
                <w:lang w:val="pt-PT"/>
              </w:rPr>
              <w:t>12</w:t>
            </w:r>
          </w:p>
          <w:p w14:paraId="0ACB3CA5" w14:textId="77777777" w:rsidR="0043129A" w:rsidRPr="00110D6C" w:rsidRDefault="00B910F9" w:rsidP="0043129A">
            <w:pPr>
              <w:widowControl/>
              <w:jc w:val="center"/>
              <w:rPr>
                <w:rFonts w:cs="Times New Roman"/>
                <w:color w:val="auto"/>
                <w:szCs w:val="22"/>
                <w:lang w:val="pt-PT"/>
              </w:rPr>
            </w:pPr>
            <w:r w:rsidRPr="00110D6C">
              <w:rPr>
                <w:rFonts w:cs="Times New Roman"/>
                <w:color w:val="auto"/>
                <w:szCs w:val="22"/>
                <w:lang w:val="pt-PT"/>
              </w:rPr>
              <w:t>2 </w:t>
            </w:r>
            <w:r w:rsidR="00030085" w:rsidRPr="00110D6C">
              <w:rPr>
                <w:rFonts w:cs="Times New Roman"/>
                <w:color w:val="auto"/>
                <w:szCs w:val="22"/>
                <w:lang w:val="pt-PT"/>
              </w:rPr>
              <w:t>doses</w:t>
            </w:r>
          </w:p>
          <w:p w14:paraId="31E2440F" w14:textId="77777777" w:rsidR="0077031F" w:rsidRPr="00110D6C" w:rsidRDefault="00030085" w:rsidP="005562CC">
            <w:pPr>
              <w:widowControl/>
              <w:jc w:val="center"/>
              <w:rPr>
                <w:rFonts w:cs="Times New Roman"/>
                <w:color w:val="auto"/>
                <w:szCs w:val="22"/>
                <w:lang w:val="pt-PT"/>
              </w:rPr>
            </w:pPr>
            <w:r w:rsidRPr="00110D6C">
              <w:rPr>
                <w:rFonts w:cs="Times New Roman"/>
                <w:color w:val="auto"/>
                <w:szCs w:val="22"/>
                <w:lang w:val="pt-PT"/>
              </w:rPr>
              <w:t>(Semana</w:t>
            </w:r>
            <w:r w:rsidR="005B2D5C" w:rsidRPr="00110D6C">
              <w:rPr>
                <w:rFonts w:cs="Times New Roman"/>
                <w:color w:val="auto"/>
                <w:szCs w:val="22"/>
                <w:lang w:val="pt-PT"/>
              </w:rPr>
              <w:t> </w:t>
            </w:r>
            <w:r w:rsidR="00B910F9" w:rsidRPr="00110D6C">
              <w:rPr>
                <w:rFonts w:cs="Times New Roman"/>
                <w:color w:val="auto"/>
                <w:szCs w:val="22"/>
                <w:lang w:val="pt-PT"/>
              </w:rPr>
              <w:t>0</w:t>
            </w:r>
            <w:r w:rsidR="005B2D5C" w:rsidRPr="00110D6C">
              <w:rPr>
                <w:rFonts w:cs="Times New Roman"/>
                <w:color w:val="auto"/>
                <w:szCs w:val="22"/>
                <w:lang w:val="pt-PT"/>
              </w:rPr>
              <w:t xml:space="preserve"> </w:t>
            </w:r>
            <w:r w:rsidRPr="00110D6C">
              <w:rPr>
                <w:rFonts w:cs="Times New Roman"/>
                <w:color w:val="auto"/>
                <w:szCs w:val="22"/>
                <w:lang w:val="pt-PT"/>
              </w:rPr>
              <w:t>e Semana</w:t>
            </w:r>
            <w:r w:rsidR="005562CC" w:rsidRPr="00110D6C">
              <w:rPr>
                <w:rFonts w:cs="Times New Roman"/>
                <w:color w:val="auto"/>
                <w:szCs w:val="22"/>
                <w:lang w:val="pt-PT"/>
              </w:rPr>
              <w:t> </w:t>
            </w:r>
            <w:r w:rsidRPr="00110D6C">
              <w:rPr>
                <w:rFonts w:cs="Times New Roman"/>
                <w:color w:val="auto"/>
                <w:szCs w:val="22"/>
                <w:lang w:val="pt-PT"/>
              </w:rPr>
              <w:t>4)</w:t>
            </w:r>
          </w:p>
        </w:tc>
        <w:tc>
          <w:tcPr>
            <w:tcW w:w="2405" w:type="dxa"/>
            <w:gridSpan w:val="2"/>
            <w:tcBorders>
              <w:top w:val="single" w:sz="4" w:space="0" w:color="auto"/>
              <w:left w:val="single" w:sz="4" w:space="0" w:color="auto"/>
              <w:right w:val="single" w:sz="4" w:space="0" w:color="auto"/>
            </w:tcBorders>
            <w:shd w:val="clear" w:color="auto" w:fill="auto"/>
          </w:tcPr>
          <w:p w14:paraId="5059BD2E"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Semana</w:t>
            </w:r>
            <w:r w:rsidR="005B2D5C" w:rsidRPr="00110D6C">
              <w:rPr>
                <w:rFonts w:cs="Times New Roman"/>
                <w:color w:val="auto"/>
                <w:szCs w:val="22"/>
                <w:lang w:val="pt-PT"/>
              </w:rPr>
              <w:t> </w:t>
            </w:r>
            <w:r w:rsidRPr="00110D6C">
              <w:rPr>
                <w:rFonts w:cs="Times New Roman"/>
                <w:color w:val="auto"/>
                <w:szCs w:val="22"/>
                <w:lang w:val="pt-PT"/>
              </w:rPr>
              <w:t>28</w:t>
            </w:r>
          </w:p>
          <w:p w14:paraId="1DBB5D5D" w14:textId="77777777" w:rsidR="0043129A" w:rsidRPr="00110D6C" w:rsidRDefault="00B910F9" w:rsidP="0043129A">
            <w:pPr>
              <w:widowControl/>
              <w:jc w:val="center"/>
              <w:rPr>
                <w:rFonts w:cs="Times New Roman"/>
                <w:color w:val="auto"/>
                <w:szCs w:val="22"/>
                <w:lang w:val="pt-PT"/>
              </w:rPr>
            </w:pPr>
            <w:r w:rsidRPr="00110D6C">
              <w:rPr>
                <w:rFonts w:cs="Times New Roman"/>
                <w:color w:val="auto"/>
                <w:szCs w:val="22"/>
                <w:lang w:val="pt-PT"/>
              </w:rPr>
              <w:t>3 </w:t>
            </w:r>
            <w:r w:rsidR="00030085" w:rsidRPr="00110D6C">
              <w:rPr>
                <w:rFonts w:cs="Times New Roman"/>
                <w:color w:val="auto"/>
                <w:szCs w:val="22"/>
                <w:lang w:val="pt-PT"/>
              </w:rPr>
              <w:t>doses</w:t>
            </w:r>
          </w:p>
          <w:p w14:paraId="37F96F7C" w14:textId="77777777" w:rsidR="0077031F" w:rsidRPr="00110D6C" w:rsidRDefault="00030085" w:rsidP="005562CC">
            <w:pPr>
              <w:widowControl/>
              <w:jc w:val="center"/>
              <w:rPr>
                <w:rFonts w:cs="Times New Roman"/>
                <w:color w:val="auto"/>
                <w:szCs w:val="22"/>
                <w:lang w:val="pt-PT"/>
              </w:rPr>
            </w:pPr>
            <w:r w:rsidRPr="00110D6C">
              <w:rPr>
                <w:rFonts w:cs="Times New Roman"/>
                <w:color w:val="auto"/>
                <w:szCs w:val="22"/>
                <w:lang w:val="pt-PT"/>
              </w:rPr>
              <w:t>(Semana</w:t>
            </w:r>
            <w:r w:rsidR="005562CC" w:rsidRPr="00110D6C">
              <w:rPr>
                <w:rFonts w:cs="Times New Roman"/>
                <w:color w:val="auto"/>
                <w:szCs w:val="22"/>
                <w:lang w:val="pt-PT"/>
              </w:rPr>
              <w:t> </w:t>
            </w:r>
            <w:r w:rsidRPr="00110D6C">
              <w:rPr>
                <w:rFonts w:cs="Times New Roman"/>
                <w:color w:val="auto"/>
                <w:szCs w:val="22"/>
                <w:lang w:val="pt-PT"/>
              </w:rPr>
              <w:t>0, Semana</w:t>
            </w:r>
            <w:r w:rsidR="005562CC" w:rsidRPr="00110D6C">
              <w:rPr>
                <w:rFonts w:cs="Times New Roman"/>
                <w:color w:val="auto"/>
                <w:szCs w:val="22"/>
                <w:lang w:val="pt-PT"/>
              </w:rPr>
              <w:t> </w:t>
            </w:r>
            <w:r w:rsidR="00B910F9" w:rsidRPr="00110D6C">
              <w:rPr>
                <w:rFonts w:cs="Times New Roman"/>
                <w:color w:val="auto"/>
                <w:szCs w:val="22"/>
                <w:lang w:val="pt-PT"/>
              </w:rPr>
              <w:t>4</w:t>
            </w:r>
            <w:r w:rsidR="005562CC" w:rsidRPr="00110D6C">
              <w:rPr>
                <w:rFonts w:cs="Times New Roman"/>
                <w:color w:val="auto"/>
                <w:szCs w:val="22"/>
                <w:lang w:val="pt-PT"/>
              </w:rPr>
              <w:t xml:space="preserve"> </w:t>
            </w:r>
            <w:r w:rsidRPr="00110D6C">
              <w:rPr>
                <w:rFonts w:cs="Times New Roman"/>
                <w:color w:val="auto"/>
                <w:szCs w:val="22"/>
                <w:lang w:val="pt-PT"/>
              </w:rPr>
              <w:t>e Semana</w:t>
            </w:r>
            <w:r w:rsidR="005562CC" w:rsidRPr="00110D6C">
              <w:rPr>
                <w:rFonts w:cs="Times New Roman"/>
                <w:color w:val="auto"/>
                <w:szCs w:val="22"/>
                <w:lang w:val="pt-PT"/>
              </w:rPr>
              <w:t> </w:t>
            </w:r>
            <w:r w:rsidRPr="00110D6C">
              <w:rPr>
                <w:rFonts w:cs="Times New Roman"/>
                <w:color w:val="auto"/>
                <w:szCs w:val="22"/>
                <w:lang w:val="pt-PT"/>
              </w:rPr>
              <w:t>16)</w:t>
            </w:r>
          </w:p>
        </w:tc>
      </w:tr>
      <w:tr w:rsidR="0077031F" w:rsidRPr="00110D6C" w14:paraId="6D25FBDD" w14:textId="77777777" w:rsidTr="0043129A">
        <w:tc>
          <w:tcPr>
            <w:tcW w:w="3019" w:type="dxa"/>
            <w:tcBorders>
              <w:top w:val="single" w:sz="4" w:space="0" w:color="auto"/>
              <w:left w:val="single" w:sz="4" w:space="0" w:color="auto"/>
            </w:tcBorders>
            <w:shd w:val="clear" w:color="auto" w:fill="auto"/>
          </w:tcPr>
          <w:p w14:paraId="0868CDC8" w14:textId="77777777" w:rsidR="0077031F" w:rsidRPr="00110D6C" w:rsidRDefault="0077031F" w:rsidP="0043129A">
            <w:pPr>
              <w:widowControl/>
              <w:rPr>
                <w:rFonts w:cs="Times New Roman"/>
                <w:color w:val="auto"/>
                <w:szCs w:val="22"/>
                <w:lang w:val="pt-PT"/>
              </w:rPr>
            </w:pPr>
          </w:p>
        </w:tc>
        <w:tc>
          <w:tcPr>
            <w:tcW w:w="1094" w:type="dxa"/>
            <w:tcBorders>
              <w:top w:val="single" w:sz="4" w:space="0" w:color="auto"/>
              <w:left w:val="single" w:sz="4" w:space="0" w:color="auto"/>
            </w:tcBorders>
            <w:shd w:val="clear" w:color="auto" w:fill="auto"/>
          </w:tcPr>
          <w:p w14:paraId="37AB29A1"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PBO</w:t>
            </w:r>
          </w:p>
        </w:tc>
        <w:tc>
          <w:tcPr>
            <w:tcW w:w="1277" w:type="dxa"/>
            <w:tcBorders>
              <w:top w:val="single" w:sz="4" w:space="0" w:color="auto"/>
              <w:left w:val="single" w:sz="4" w:space="0" w:color="auto"/>
            </w:tcBorders>
            <w:shd w:val="clear" w:color="auto" w:fill="auto"/>
          </w:tcPr>
          <w:p w14:paraId="3C68D344"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4</w:t>
            </w:r>
            <w:r w:rsidR="00B910F9" w:rsidRPr="00110D6C">
              <w:rPr>
                <w:rFonts w:cs="Times New Roman"/>
                <w:color w:val="auto"/>
                <w:szCs w:val="22"/>
                <w:lang w:val="pt-PT"/>
              </w:rPr>
              <w:t>5 </w:t>
            </w:r>
            <w:r w:rsidRPr="00110D6C">
              <w:rPr>
                <w:rFonts w:cs="Times New Roman"/>
                <w:color w:val="auto"/>
                <w:szCs w:val="22"/>
                <w:lang w:val="pt-PT"/>
              </w:rPr>
              <w:t>mg</w:t>
            </w:r>
          </w:p>
        </w:tc>
        <w:tc>
          <w:tcPr>
            <w:tcW w:w="1277" w:type="dxa"/>
            <w:tcBorders>
              <w:top w:val="single" w:sz="4" w:space="0" w:color="auto"/>
              <w:left w:val="single" w:sz="4" w:space="0" w:color="auto"/>
            </w:tcBorders>
            <w:shd w:val="clear" w:color="auto" w:fill="auto"/>
          </w:tcPr>
          <w:p w14:paraId="1C7DA003"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9</w:t>
            </w:r>
            <w:r w:rsidR="00B910F9" w:rsidRPr="00110D6C">
              <w:rPr>
                <w:rFonts w:cs="Times New Roman"/>
                <w:color w:val="auto"/>
                <w:szCs w:val="22"/>
                <w:lang w:val="pt-PT"/>
              </w:rPr>
              <w:t>0 </w:t>
            </w:r>
            <w:r w:rsidRPr="00110D6C">
              <w:rPr>
                <w:rFonts w:cs="Times New Roman"/>
                <w:color w:val="auto"/>
                <w:szCs w:val="22"/>
                <w:lang w:val="pt-PT"/>
              </w:rPr>
              <w:t>mg</w:t>
            </w:r>
          </w:p>
        </w:tc>
        <w:tc>
          <w:tcPr>
            <w:tcW w:w="1195" w:type="dxa"/>
            <w:tcBorders>
              <w:top w:val="single" w:sz="4" w:space="0" w:color="auto"/>
              <w:left w:val="single" w:sz="4" w:space="0" w:color="auto"/>
            </w:tcBorders>
            <w:shd w:val="clear" w:color="auto" w:fill="auto"/>
          </w:tcPr>
          <w:p w14:paraId="1A70516F"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4</w:t>
            </w:r>
            <w:r w:rsidR="00B910F9" w:rsidRPr="00110D6C">
              <w:rPr>
                <w:rFonts w:cs="Times New Roman"/>
                <w:color w:val="auto"/>
                <w:szCs w:val="22"/>
                <w:lang w:val="pt-PT"/>
              </w:rPr>
              <w:t>5 </w:t>
            </w:r>
            <w:r w:rsidRPr="00110D6C">
              <w:rPr>
                <w:rFonts w:cs="Times New Roman"/>
                <w:color w:val="auto"/>
                <w:szCs w:val="22"/>
                <w:lang w:val="pt-PT"/>
              </w:rPr>
              <w:t>mg</w:t>
            </w:r>
          </w:p>
        </w:tc>
        <w:tc>
          <w:tcPr>
            <w:tcW w:w="1210" w:type="dxa"/>
            <w:tcBorders>
              <w:top w:val="single" w:sz="4" w:space="0" w:color="auto"/>
              <w:left w:val="single" w:sz="4" w:space="0" w:color="auto"/>
              <w:right w:val="single" w:sz="4" w:space="0" w:color="auto"/>
            </w:tcBorders>
            <w:shd w:val="clear" w:color="auto" w:fill="auto"/>
          </w:tcPr>
          <w:p w14:paraId="61F0C798"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9</w:t>
            </w:r>
            <w:r w:rsidR="00B910F9" w:rsidRPr="00110D6C">
              <w:rPr>
                <w:rFonts w:cs="Times New Roman"/>
                <w:color w:val="auto"/>
                <w:szCs w:val="22"/>
                <w:lang w:val="pt-PT"/>
              </w:rPr>
              <w:t>0 </w:t>
            </w:r>
            <w:r w:rsidRPr="00110D6C">
              <w:rPr>
                <w:rFonts w:cs="Times New Roman"/>
                <w:color w:val="auto"/>
                <w:szCs w:val="22"/>
                <w:lang w:val="pt-PT"/>
              </w:rPr>
              <w:t>mg</w:t>
            </w:r>
          </w:p>
        </w:tc>
      </w:tr>
      <w:tr w:rsidR="0077031F" w:rsidRPr="00110D6C" w14:paraId="16B6F552" w14:textId="77777777" w:rsidTr="0043129A">
        <w:tc>
          <w:tcPr>
            <w:tcW w:w="3019" w:type="dxa"/>
            <w:tcBorders>
              <w:top w:val="single" w:sz="4" w:space="0" w:color="auto"/>
              <w:left w:val="single" w:sz="4" w:space="0" w:color="auto"/>
            </w:tcBorders>
            <w:shd w:val="clear" w:color="auto" w:fill="auto"/>
          </w:tcPr>
          <w:p w14:paraId="653C51D5" w14:textId="77777777" w:rsidR="0077031F" w:rsidRPr="00110D6C" w:rsidRDefault="00030085" w:rsidP="0043129A">
            <w:pPr>
              <w:widowControl/>
              <w:rPr>
                <w:rFonts w:cs="Times New Roman"/>
                <w:color w:val="auto"/>
                <w:szCs w:val="22"/>
                <w:lang w:val="pt-PT"/>
              </w:rPr>
            </w:pPr>
            <w:r w:rsidRPr="00110D6C">
              <w:rPr>
                <w:rFonts w:cs="Times New Roman"/>
                <w:b/>
                <w:bCs/>
                <w:color w:val="auto"/>
                <w:szCs w:val="22"/>
                <w:lang w:val="pt-PT"/>
              </w:rPr>
              <w:t>Estudo da Psoríase 1</w:t>
            </w:r>
          </w:p>
        </w:tc>
        <w:tc>
          <w:tcPr>
            <w:tcW w:w="1094" w:type="dxa"/>
            <w:tcBorders>
              <w:top w:val="single" w:sz="4" w:space="0" w:color="auto"/>
              <w:left w:val="single" w:sz="4" w:space="0" w:color="auto"/>
            </w:tcBorders>
            <w:shd w:val="clear" w:color="auto" w:fill="auto"/>
          </w:tcPr>
          <w:p w14:paraId="561C3EA8" w14:textId="77777777" w:rsidR="0077031F" w:rsidRPr="00110D6C" w:rsidRDefault="0077031F" w:rsidP="0043129A">
            <w:pPr>
              <w:widowControl/>
              <w:jc w:val="center"/>
              <w:rPr>
                <w:rFonts w:cs="Times New Roman"/>
                <w:color w:val="auto"/>
                <w:szCs w:val="22"/>
                <w:lang w:val="pt-PT"/>
              </w:rPr>
            </w:pPr>
          </w:p>
        </w:tc>
        <w:tc>
          <w:tcPr>
            <w:tcW w:w="1277" w:type="dxa"/>
            <w:tcBorders>
              <w:top w:val="single" w:sz="4" w:space="0" w:color="auto"/>
              <w:left w:val="single" w:sz="4" w:space="0" w:color="auto"/>
            </w:tcBorders>
            <w:shd w:val="clear" w:color="auto" w:fill="auto"/>
          </w:tcPr>
          <w:p w14:paraId="149C8A8D" w14:textId="77777777" w:rsidR="0077031F" w:rsidRPr="00110D6C" w:rsidRDefault="0077031F" w:rsidP="0043129A">
            <w:pPr>
              <w:widowControl/>
              <w:jc w:val="center"/>
              <w:rPr>
                <w:rFonts w:cs="Times New Roman"/>
                <w:color w:val="auto"/>
                <w:szCs w:val="22"/>
                <w:lang w:val="pt-PT"/>
              </w:rPr>
            </w:pPr>
          </w:p>
        </w:tc>
        <w:tc>
          <w:tcPr>
            <w:tcW w:w="1277" w:type="dxa"/>
            <w:tcBorders>
              <w:top w:val="single" w:sz="4" w:space="0" w:color="auto"/>
              <w:left w:val="single" w:sz="4" w:space="0" w:color="auto"/>
            </w:tcBorders>
            <w:shd w:val="clear" w:color="auto" w:fill="auto"/>
          </w:tcPr>
          <w:p w14:paraId="547BFCB1" w14:textId="77777777" w:rsidR="0077031F" w:rsidRPr="00110D6C" w:rsidRDefault="0077031F" w:rsidP="0043129A">
            <w:pPr>
              <w:widowControl/>
              <w:jc w:val="center"/>
              <w:rPr>
                <w:rFonts w:cs="Times New Roman"/>
                <w:color w:val="auto"/>
                <w:szCs w:val="22"/>
                <w:lang w:val="pt-PT"/>
              </w:rPr>
            </w:pPr>
          </w:p>
        </w:tc>
        <w:tc>
          <w:tcPr>
            <w:tcW w:w="1195" w:type="dxa"/>
            <w:tcBorders>
              <w:top w:val="single" w:sz="4" w:space="0" w:color="auto"/>
              <w:left w:val="single" w:sz="4" w:space="0" w:color="auto"/>
            </w:tcBorders>
            <w:shd w:val="clear" w:color="auto" w:fill="auto"/>
          </w:tcPr>
          <w:p w14:paraId="3399F85B" w14:textId="77777777" w:rsidR="0077031F" w:rsidRPr="00110D6C" w:rsidRDefault="0077031F" w:rsidP="0043129A">
            <w:pPr>
              <w:widowControl/>
              <w:jc w:val="center"/>
              <w:rPr>
                <w:rFonts w:cs="Times New Roman"/>
                <w:color w:val="auto"/>
                <w:szCs w:val="22"/>
                <w:lang w:val="pt-PT"/>
              </w:rPr>
            </w:pPr>
          </w:p>
        </w:tc>
        <w:tc>
          <w:tcPr>
            <w:tcW w:w="1210" w:type="dxa"/>
            <w:tcBorders>
              <w:top w:val="single" w:sz="4" w:space="0" w:color="auto"/>
              <w:left w:val="single" w:sz="4" w:space="0" w:color="auto"/>
              <w:right w:val="single" w:sz="4" w:space="0" w:color="auto"/>
            </w:tcBorders>
            <w:shd w:val="clear" w:color="auto" w:fill="auto"/>
          </w:tcPr>
          <w:p w14:paraId="34D97DAC" w14:textId="77777777" w:rsidR="0077031F" w:rsidRPr="00110D6C" w:rsidRDefault="0077031F" w:rsidP="0043129A">
            <w:pPr>
              <w:widowControl/>
              <w:jc w:val="center"/>
              <w:rPr>
                <w:rFonts w:cs="Times New Roman"/>
                <w:color w:val="auto"/>
                <w:szCs w:val="22"/>
                <w:lang w:val="pt-PT"/>
              </w:rPr>
            </w:pPr>
          </w:p>
        </w:tc>
      </w:tr>
      <w:tr w:rsidR="0077031F" w:rsidRPr="00110D6C" w14:paraId="5DFB4ABF" w14:textId="77777777" w:rsidTr="0043129A">
        <w:tc>
          <w:tcPr>
            <w:tcW w:w="3019" w:type="dxa"/>
            <w:tcBorders>
              <w:top w:val="single" w:sz="4" w:space="0" w:color="auto"/>
              <w:left w:val="single" w:sz="4" w:space="0" w:color="auto"/>
            </w:tcBorders>
            <w:shd w:val="clear" w:color="auto" w:fill="auto"/>
          </w:tcPr>
          <w:p w14:paraId="03EE095C" w14:textId="77777777" w:rsidR="0077031F" w:rsidRPr="00110D6C" w:rsidRDefault="00030085" w:rsidP="0043129A">
            <w:pPr>
              <w:widowControl/>
              <w:rPr>
                <w:rFonts w:cs="Times New Roman"/>
                <w:color w:val="auto"/>
                <w:szCs w:val="22"/>
                <w:lang w:val="pt-PT"/>
              </w:rPr>
            </w:pPr>
            <w:r w:rsidRPr="00110D6C">
              <w:rPr>
                <w:rFonts w:cs="Times New Roman"/>
                <w:color w:val="auto"/>
                <w:szCs w:val="22"/>
                <w:lang w:val="pt-PT"/>
              </w:rPr>
              <w:t>Número de doentes aleatorizados</w:t>
            </w:r>
          </w:p>
        </w:tc>
        <w:tc>
          <w:tcPr>
            <w:tcW w:w="1094" w:type="dxa"/>
            <w:tcBorders>
              <w:top w:val="single" w:sz="4" w:space="0" w:color="auto"/>
              <w:left w:val="single" w:sz="4" w:space="0" w:color="auto"/>
            </w:tcBorders>
            <w:shd w:val="clear" w:color="auto" w:fill="auto"/>
          </w:tcPr>
          <w:p w14:paraId="5DE9B53C"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255</w:t>
            </w:r>
          </w:p>
        </w:tc>
        <w:tc>
          <w:tcPr>
            <w:tcW w:w="1277" w:type="dxa"/>
            <w:tcBorders>
              <w:top w:val="single" w:sz="4" w:space="0" w:color="auto"/>
              <w:left w:val="single" w:sz="4" w:space="0" w:color="auto"/>
            </w:tcBorders>
            <w:shd w:val="clear" w:color="auto" w:fill="auto"/>
          </w:tcPr>
          <w:p w14:paraId="69DA9C15"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255</w:t>
            </w:r>
          </w:p>
        </w:tc>
        <w:tc>
          <w:tcPr>
            <w:tcW w:w="1277" w:type="dxa"/>
            <w:tcBorders>
              <w:top w:val="single" w:sz="4" w:space="0" w:color="auto"/>
              <w:left w:val="single" w:sz="4" w:space="0" w:color="auto"/>
            </w:tcBorders>
            <w:shd w:val="clear" w:color="auto" w:fill="auto"/>
          </w:tcPr>
          <w:p w14:paraId="02A2B0F1"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256</w:t>
            </w:r>
          </w:p>
        </w:tc>
        <w:tc>
          <w:tcPr>
            <w:tcW w:w="1195" w:type="dxa"/>
            <w:tcBorders>
              <w:top w:val="single" w:sz="4" w:space="0" w:color="auto"/>
              <w:left w:val="single" w:sz="4" w:space="0" w:color="auto"/>
            </w:tcBorders>
            <w:shd w:val="clear" w:color="auto" w:fill="auto"/>
          </w:tcPr>
          <w:p w14:paraId="366AC2D3"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250</w:t>
            </w:r>
          </w:p>
        </w:tc>
        <w:tc>
          <w:tcPr>
            <w:tcW w:w="1210" w:type="dxa"/>
            <w:tcBorders>
              <w:top w:val="single" w:sz="4" w:space="0" w:color="auto"/>
              <w:left w:val="single" w:sz="4" w:space="0" w:color="auto"/>
              <w:right w:val="single" w:sz="4" w:space="0" w:color="auto"/>
            </w:tcBorders>
            <w:shd w:val="clear" w:color="auto" w:fill="auto"/>
          </w:tcPr>
          <w:p w14:paraId="38C0F81D"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243</w:t>
            </w:r>
          </w:p>
        </w:tc>
      </w:tr>
      <w:tr w:rsidR="0077031F" w:rsidRPr="00110D6C" w14:paraId="22CF47E6" w14:textId="77777777" w:rsidTr="0043129A">
        <w:tc>
          <w:tcPr>
            <w:tcW w:w="3019" w:type="dxa"/>
            <w:tcBorders>
              <w:top w:val="single" w:sz="4" w:space="0" w:color="auto"/>
              <w:left w:val="single" w:sz="4" w:space="0" w:color="auto"/>
            </w:tcBorders>
            <w:shd w:val="clear" w:color="auto" w:fill="auto"/>
          </w:tcPr>
          <w:p w14:paraId="0C6F75E7" w14:textId="2985EEAA" w:rsidR="0077031F" w:rsidRPr="00110D6C" w:rsidRDefault="00030085" w:rsidP="0043129A">
            <w:pPr>
              <w:widowControl/>
              <w:rPr>
                <w:rFonts w:cs="Times New Roman"/>
                <w:color w:val="auto"/>
                <w:szCs w:val="22"/>
                <w:lang w:val="pt-PT"/>
              </w:rPr>
            </w:pPr>
            <w:r w:rsidRPr="00110D6C">
              <w:rPr>
                <w:rFonts w:cs="Times New Roman"/>
                <w:color w:val="auto"/>
                <w:szCs w:val="22"/>
                <w:lang w:val="pt-PT"/>
              </w:rPr>
              <w:t>N.º de respostas PASI</w:t>
            </w:r>
            <w:r w:rsidR="00D5307E">
              <w:rPr>
                <w:rFonts w:cs="Times New Roman"/>
                <w:color w:val="auto"/>
                <w:szCs w:val="22"/>
                <w:lang w:val="pt-PT"/>
              </w:rPr>
              <w:t> </w:t>
            </w:r>
            <w:r w:rsidRPr="00110D6C">
              <w:rPr>
                <w:rFonts w:cs="Times New Roman"/>
                <w:color w:val="auto"/>
                <w:szCs w:val="22"/>
                <w:lang w:val="pt-PT"/>
              </w:rPr>
              <w:t>5</w:t>
            </w:r>
            <w:r w:rsidR="00B910F9" w:rsidRPr="00110D6C">
              <w:rPr>
                <w:rFonts w:cs="Times New Roman"/>
                <w:color w:val="auto"/>
                <w:szCs w:val="22"/>
                <w:lang w:val="pt-PT"/>
              </w:rPr>
              <w:t>0 </w:t>
            </w:r>
            <w:r w:rsidRPr="00110D6C">
              <w:rPr>
                <w:rFonts w:cs="Times New Roman"/>
                <w:color w:val="auto"/>
                <w:szCs w:val="22"/>
                <w:lang w:val="pt-PT"/>
              </w:rPr>
              <w:t>(%)</w:t>
            </w:r>
          </w:p>
        </w:tc>
        <w:tc>
          <w:tcPr>
            <w:tcW w:w="1094" w:type="dxa"/>
            <w:tcBorders>
              <w:top w:val="single" w:sz="4" w:space="0" w:color="auto"/>
              <w:left w:val="single" w:sz="4" w:space="0" w:color="auto"/>
            </w:tcBorders>
            <w:shd w:val="clear" w:color="auto" w:fill="auto"/>
          </w:tcPr>
          <w:p w14:paraId="2B0AE3B4"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2</w:t>
            </w:r>
            <w:r w:rsidR="00B910F9" w:rsidRPr="00110D6C">
              <w:rPr>
                <w:rFonts w:cs="Times New Roman"/>
                <w:color w:val="auto"/>
                <w:szCs w:val="22"/>
                <w:lang w:val="pt-PT"/>
              </w:rPr>
              <w:t>6</w:t>
            </w:r>
            <w:r w:rsidR="00DA7FFC" w:rsidRPr="00110D6C">
              <w:rPr>
                <w:rFonts w:cs="Times New Roman"/>
                <w:color w:val="auto"/>
                <w:szCs w:val="22"/>
                <w:lang w:val="pt-PT"/>
              </w:rPr>
              <w:t xml:space="preserve"> </w:t>
            </w:r>
            <w:r w:rsidRPr="00110D6C">
              <w:rPr>
                <w:rFonts w:cs="Times New Roman"/>
                <w:color w:val="auto"/>
                <w:szCs w:val="22"/>
                <w:lang w:val="pt-PT"/>
              </w:rPr>
              <w:t>(10%)</w:t>
            </w:r>
          </w:p>
        </w:tc>
        <w:tc>
          <w:tcPr>
            <w:tcW w:w="1277" w:type="dxa"/>
            <w:tcBorders>
              <w:top w:val="single" w:sz="4" w:space="0" w:color="auto"/>
              <w:left w:val="single" w:sz="4" w:space="0" w:color="auto"/>
            </w:tcBorders>
            <w:shd w:val="clear" w:color="auto" w:fill="auto"/>
          </w:tcPr>
          <w:p w14:paraId="5BCE407D"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21</w:t>
            </w:r>
            <w:r w:rsidR="00B910F9" w:rsidRPr="00110D6C">
              <w:rPr>
                <w:rFonts w:cs="Times New Roman"/>
                <w:color w:val="auto"/>
                <w:szCs w:val="22"/>
                <w:lang w:val="pt-PT"/>
              </w:rPr>
              <w:t>3</w:t>
            </w:r>
            <w:r w:rsidR="00DA7FFC" w:rsidRPr="00110D6C">
              <w:rPr>
                <w:rFonts w:cs="Times New Roman"/>
                <w:color w:val="auto"/>
                <w:szCs w:val="22"/>
                <w:lang w:val="pt-PT"/>
              </w:rPr>
              <w:t xml:space="preserve"> </w:t>
            </w:r>
            <w:r w:rsidRPr="00110D6C">
              <w:rPr>
                <w:rFonts w:cs="Times New Roman"/>
                <w:color w:val="auto"/>
                <w:szCs w:val="22"/>
                <w:lang w:val="pt-PT"/>
              </w:rPr>
              <w:t>(84%)</w:t>
            </w:r>
            <w:r w:rsidRPr="00110D6C">
              <w:rPr>
                <w:rFonts w:cs="Times New Roman"/>
                <w:color w:val="auto"/>
                <w:szCs w:val="22"/>
                <w:vertAlign w:val="superscript"/>
                <w:lang w:val="pt-PT"/>
              </w:rPr>
              <w:t>a</w:t>
            </w:r>
          </w:p>
        </w:tc>
        <w:tc>
          <w:tcPr>
            <w:tcW w:w="1277" w:type="dxa"/>
            <w:tcBorders>
              <w:top w:val="single" w:sz="4" w:space="0" w:color="auto"/>
              <w:left w:val="single" w:sz="4" w:space="0" w:color="auto"/>
            </w:tcBorders>
            <w:shd w:val="clear" w:color="auto" w:fill="auto"/>
          </w:tcPr>
          <w:p w14:paraId="128CDBEC"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22</w:t>
            </w:r>
            <w:r w:rsidR="00B910F9" w:rsidRPr="00110D6C">
              <w:rPr>
                <w:rFonts w:cs="Times New Roman"/>
                <w:color w:val="auto"/>
                <w:szCs w:val="22"/>
                <w:lang w:val="pt-PT"/>
              </w:rPr>
              <w:t>0</w:t>
            </w:r>
            <w:r w:rsidR="00DA7FFC" w:rsidRPr="00110D6C">
              <w:rPr>
                <w:rFonts w:cs="Times New Roman"/>
                <w:color w:val="auto"/>
                <w:szCs w:val="22"/>
                <w:lang w:val="pt-PT"/>
              </w:rPr>
              <w:t xml:space="preserve"> </w:t>
            </w:r>
            <w:r w:rsidRPr="00110D6C">
              <w:rPr>
                <w:rFonts w:cs="Times New Roman"/>
                <w:color w:val="auto"/>
                <w:szCs w:val="22"/>
                <w:lang w:val="pt-PT"/>
              </w:rPr>
              <w:t>(86%)</w:t>
            </w:r>
            <w:r w:rsidRPr="00110D6C">
              <w:rPr>
                <w:rFonts w:cs="Times New Roman"/>
                <w:color w:val="auto"/>
                <w:szCs w:val="22"/>
                <w:vertAlign w:val="superscript"/>
                <w:lang w:val="pt-PT"/>
              </w:rPr>
              <w:t>a</w:t>
            </w:r>
          </w:p>
        </w:tc>
        <w:tc>
          <w:tcPr>
            <w:tcW w:w="1195" w:type="dxa"/>
            <w:tcBorders>
              <w:top w:val="single" w:sz="4" w:space="0" w:color="auto"/>
              <w:left w:val="single" w:sz="4" w:space="0" w:color="auto"/>
            </w:tcBorders>
            <w:shd w:val="clear" w:color="auto" w:fill="auto"/>
          </w:tcPr>
          <w:p w14:paraId="40DD9E6A"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22</w:t>
            </w:r>
            <w:r w:rsidR="00B910F9" w:rsidRPr="00110D6C">
              <w:rPr>
                <w:rFonts w:cs="Times New Roman"/>
                <w:color w:val="auto"/>
                <w:szCs w:val="22"/>
                <w:lang w:val="pt-PT"/>
              </w:rPr>
              <w:t>8</w:t>
            </w:r>
            <w:r w:rsidR="00DA7FFC" w:rsidRPr="00110D6C">
              <w:rPr>
                <w:rFonts w:cs="Times New Roman"/>
                <w:color w:val="auto"/>
                <w:szCs w:val="22"/>
                <w:lang w:val="pt-PT"/>
              </w:rPr>
              <w:t xml:space="preserve"> </w:t>
            </w:r>
            <w:r w:rsidRPr="00110D6C">
              <w:rPr>
                <w:rFonts w:cs="Times New Roman"/>
                <w:color w:val="auto"/>
                <w:szCs w:val="22"/>
                <w:lang w:val="pt-PT"/>
              </w:rPr>
              <w:t>(91%)</w:t>
            </w:r>
          </w:p>
        </w:tc>
        <w:tc>
          <w:tcPr>
            <w:tcW w:w="1210" w:type="dxa"/>
            <w:tcBorders>
              <w:top w:val="single" w:sz="4" w:space="0" w:color="auto"/>
              <w:left w:val="single" w:sz="4" w:space="0" w:color="auto"/>
              <w:right w:val="single" w:sz="4" w:space="0" w:color="auto"/>
            </w:tcBorders>
            <w:shd w:val="clear" w:color="auto" w:fill="auto"/>
          </w:tcPr>
          <w:p w14:paraId="11130C65"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23</w:t>
            </w:r>
            <w:r w:rsidR="00B910F9" w:rsidRPr="00110D6C">
              <w:rPr>
                <w:rFonts w:cs="Times New Roman"/>
                <w:color w:val="auto"/>
                <w:szCs w:val="22"/>
                <w:lang w:val="pt-PT"/>
              </w:rPr>
              <w:t>4</w:t>
            </w:r>
            <w:r w:rsidR="00DA7FFC" w:rsidRPr="00110D6C">
              <w:rPr>
                <w:rFonts w:cs="Times New Roman"/>
                <w:color w:val="auto"/>
                <w:szCs w:val="22"/>
                <w:lang w:val="pt-PT"/>
              </w:rPr>
              <w:t xml:space="preserve"> </w:t>
            </w:r>
            <w:r w:rsidRPr="00110D6C">
              <w:rPr>
                <w:rFonts w:cs="Times New Roman"/>
                <w:color w:val="auto"/>
                <w:szCs w:val="22"/>
                <w:lang w:val="pt-PT"/>
              </w:rPr>
              <w:t>(96%)</w:t>
            </w:r>
          </w:p>
        </w:tc>
      </w:tr>
      <w:tr w:rsidR="0077031F" w:rsidRPr="00110D6C" w14:paraId="13F2DD87" w14:textId="77777777" w:rsidTr="0043129A">
        <w:tc>
          <w:tcPr>
            <w:tcW w:w="3019" w:type="dxa"/>
            <w:tcBorders>
              <w:top w:val="single" w:sz="4" w:space="0" w:color="auto"/>
              <w:left w:val="single" w:sz="4" w:space="0" w:color="auto"/>
            </w:tcBorders>
            <w:shd w:val="clear" w:color="auto" w:fill="auto"/>
          </w:tcPr>
          <w:p w14:paraId="050607CB" w14:textId="1221CB19" w:rsidR="0077031F" w:rsidRPr="00110D6C" w:rsidRDefault="00030085" w:rsidP="0043129A">
            <w:pPr>
              <w:widowControl/>
              <w:rPr>
                <w:rFonts w:cs="Times New Roman"/>
                <w:color w:val="auto"/>
                <w:szCs w:val="22"/>
                <w:lang w:val="pt-PT"/>
              </w:rPr>
            </w:pPr>
            <w:r w:rsidRPr="00110D6C">
              <w:rPr>
                <w:rFonts w:cs="Times New Roman"/>
                <w:color w:val="auto"/>
                <w:szCs w:val="22"/>
                <w:lang w:val="pt-PT"/>
              </w:rPr>
              <w:t>N.º de respostas PASI</w:t>
            </w:r>
            <w:r w:rsidR="00D5307E">
              <w:rPr>
                <w:rFonts w:cs="Times New Roman"/>
                <w:color w:val="auto"/>
                <w:szCs w:val="22"/>
                <w:lang w:val="pt-PT"/>
              </w:rPr>
              <w:t> </w:t>
            </w:r>
            <w:r w:rsidRPr="00110D6C">
              <w:rPr>
                <w:rFonts w:cs="Times New Roman"/>
                <w:color w:val="auto"/>
                <w:szCs w:val="22"/>
                <w:lang w:val="pt-PT"/>
              </w:rPr>
              <w:t>7</w:t>
            </w:r>
            <w:r w:rsidR="00B910F9" w:rsidRPr="00110D6C">
              <w:rPr>
                <w:rFonts w:cs="Times New Roman"/>
                <w:color w:val="auto"/>
                <w:szCs w:val="22"/>
                <w:lang w:val="pt-PT"/>
              </w:rPr>
              <w:t>5 </w:t>
            </w:r>
            <w:r w:rsidRPr="00110D6C">
              <w:rPr>
                <w:rFonts w:cs="Times New Roman"/>
                <w:color w:val="auto"/>
                <w:szCs w:val="22"/>
                <w:lang w:val="pt-PT"/>
              </w:rPr>
              <w:t>(%)</w:t>
            </w:r>
          </w:p>
        </w:tc>
        <w:tc>
          <w:tcPr>
            <w:tcW w:w="1094" w:type="dxa"/>
            <w:tcBorders>
              <w:top w:val="single" w:sz="4" w:space="0" w:color="auto"/>
              <w:left w:val="single" w:sz="4" w:space="0" w:color="auto"/>
            </w:tcBorders>
            <w:shd w:val="clear" w:color="auto" w:fill="auto"/>
          </w:tcPr>
          <w:p w14:paraId="5365A3ED" w14:textId="77777777" w:rsidR="0077031F" w:rsidRPr="00110D6C" w:rsidRDefault="00B910F9" w:rsidP="00DA7FFC">
            <w:pPr>
              <w:widowControl/>
              <w:jc w:val="center"/>
              <w:rPr>
                <w:rFonts w:cs="Times New Roman"/>
                <w:color w:val="auto"/>
                <w:szCs w:val="22"/>
                <w:lang w:val="pt-PT"/>
              </w:rPr>
            </w:pPr>
            <w:r w:rsidRPr="00110D6C">
              <w:rPr>
                <w:rFonts w:cs="Times New Roman"/>
                <w:color w:val="auto"/>
                <w:szCs w:val="22"/>
                <w:lang w:val="pt-PT"/>
              </w:rPr>
              <w:t>8</w:t>
            </w:r>
            <w:r w:rsidR="00DA7FFC" w:rsidRPr="00110D6C">
              <w:rPr>
                <w:rFonts w:cs="Times New Roman"/>
                <w:color w:val="auto"/>
                <w:szCs w:val="22"/>
                <w:lang w:val="pt-PT"/>
              </w:rPr>
              <w:t xml:space="preserve"> </w:t>
            </w:r>
            <w:r w:rsidR="00030085" w:rsidRPr="00110D6C">
              <w:rPr>
                <w:rFonts w:cs="Times New Roman"/>
                <w:color w:val="auto"/>
                <w:szCs w:val="22"/>
                <w:lang w:val="pt-PT"/>
              </w:rPr>
              <w:t>(3%)</w:t>
            </w:r>
          </w:p>
        </w:tc>
        <w:tc>
          <w:tcPr>
            <w:tcW w:w="1277" w:type="dxa"/>
            <w:tcBorders>
              <w:top w:val="single" w:sz="4" w:space="0" w:color="auto"/>
              <w:left w:val="single" w:sz="4" w:space="0" w:color="auto"/>
            </w:tcBorders>
            <w:shd w:val="clear" w:color="auto" w:fill="auto"/>
          </w:tcPr>
          <w:p w14:paraId="7D4EA93D"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17</w:t>
            </w:r>
            <w:r w:rsidR="00B910F9" w:rsidRPr="00110D6C">
              <w:rPr>
                <w:rFonts w:cs="Times New Roman"/>
                <w:color w:val="auto"/>
                <w:szCs w:val="22"/>
                <w:lang w:val="pt-PT"/>
              </w:rPr>
              <w:t>1</w:t>
            </w:r>
            <w:r w:rsidR="00DA7FFC" w:rsidRPr="00110D6C">
              <w:rPr>
                <w:rFonts w:cs="Times New Roman"/>
                <w:color w:val="auto"/>
                <w:szCs w:val="22"/>
                <w:lang w:val="pt-PT"/>
              </w:rPr>
              <w:t xml:space="preserve"> </w:t>
            </w:r>
            <w:r w:rsidRPr="00110D6C">
              <w:rPr>
                <w:rFonts w:cs="Times New Roman"/>
                <w:color w:val="auto"/>
                <w:szCs w:val="22"/>
                <w:lang w:val="pt-PT"/>
              </w:rPr>
              <w:t>(67%)</w:t>
            </w:r>
            <w:r w:rsidRPr="00110D6C">
              <w:rPr>
                <w:rFonts w:cs="Times New Roman"/>
                <w:color w:val="auto"/>
                <w:szCs w:val="22"/>
                <w:vertAlign w:val="superscript"/>
                <w:lang w:val="pt-PT"/>
              </w:rPr>
              <w:t>a</w:t>
            </w:r>
          </w:p>
        </w:tc>
        <w:tc>
          <w:tcPr>
            <w:tcW w:w="1277" w:type="dxa"/>
            <w:tcBorders>
              <w:top w:val="single" w:sz="4" w:space="0" w:color="auto"/>
              <w:left w:val="single" w:sz="4" w:space="0" w:color="auto"/>
            </w:tcBorders>
            <w:shd w:val="clear" w:color="auto" w:fill="auto"/>
          </w:tcPr>
          <w:p w14:paraId="4DBF89D0"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17</w:t>
            </w:r>
            <w:r w:rsidR="00B910F9" w:rsidRPr="00110D6C">
              <w:rPr>
                <w:rFonts w:cs="Times New Roman"/>
                <w:color w:val="auto"/>
                <w:szCs w:val="22"/>
                <w:lang w:val="pt-PT"/>
              </w:rPr>
              <w:t>0</w:t>
            </w:r>
            <w:r w:rsidR="00DA7FFC" w:rsidRPr="00110D6C">
              <w:rPr>
                <w:rFonts w:cs="Times New Roman"/>
                <w:color w:val="auto"/>
                <w:szCs w:val="22"/>
                <w:lang w:val="pt-PT"/>
              </w:rPr>
              <w:t xml:space="preserve"> </w:t>
            </w:r>
            <w:r w:rsidRPr="00110D6C">
              <w:rPr>
                <w:rFonts w:cs="Times New Roman"/>
                <w:color w:val="auto"/>
                <w:szCs w:val="22"/>
                <w:lang w:val="pt-PT"/>
              </w:rPr>
              <w:t>(66%)</w:t>
            </w:r>
            <w:r w:rsidRPr="00110D6C">
              <w:rPr>
                <w:rFonts w:cs="Times New Roman"/>
                <w:color w:val="auto"/>
                <w:szCs w:val="22"/>
                <w:vertAlign w:val="superscript"/>
                <w:lang w:val="pt-PT"/>
              </w:rPr>
              <w:t>a</w:t>
            </w:r>
          </w:p>
        </w:tc>
        <w:tc>
          <w:tcPr>
            <w:tcW w:w="1195" w:type="dxa"/>
            <w:tcBorders>
              <w:top w:val="single" w:sz="4" w:space="0" w:color="auto"/>
              <w:left w:val="single" w:sz="4" w:space="0" w:color="auto"/>
            </w:tcBorders>
            <w:shd w:val="clear" w:color="auto" w:fill="auto"/>
          </w:tcPr>
          <w:p w14:paraId="4816C5C1"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17</w:t>
            </w:r>
            <w:r w:rsidR="00B910F9" w:rsidRPr="00110D6C">
              <w:rPr>
                <w:rFonts w:cs="Times New Roman"/>
                <w:color w:val="auto"/>
                <w:szCs w:val="22"/>
                <w:lang w:val="pt-PT"/>
              </w:rPr>
              <w:t>8</w:t>
            </w:r>
            <w:r w:rsidR="00DA7FFC" w:rsidRPr="00110D6C">
              <w:rPr>
                <w:rFonts w:cs="Times New Roman"/>
                <w:color w:val="auto"/>
                <w:szCs w:val="22"/>
                <w:lang w:val="pt-PT"/>
              </w:rPr>
              <w:t xml:space="preserve"> </w:t>
            </w:r>
            <w:r w:rsidRPr="00110D6C">
              <w:rPr>
                <w:rFonts w:cs="Times New Roman"/>
                <w:color w:val="auto"/>
                <w:szCs w:val="22"/>
                <w:lang w:val="pt-PT"/>
              </w:rPr>
              <w:t>(71%)</w:t>
            </w:r>
          </w:p>
        </w:tc>
        <w:tc>
          <w:tcPr>
            <w:tcW w:w="1210" w:type="dxa"/>
            <w:tcBorders>
              <w:top w:val="single" w:sz="4" w:space="0" w:color="auto"/>
              <w:left w:val="single" w:sz="4" w:space="0" w:color="auto"/>
              <w:right w:val="single" w:sz="4" w:space="0" w:color="auto"/>
            </w:tcBorders>
            <w:shd w:val="clear" w:color="auto" w:fill="auto"/>
          </w:tcPr>
          <w:p w14:paraId="2CAD6B1C"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19</w:t>
            </w:r>
            <w:r w:rsidR="00B910F9" w:rsidRPr="00110D6C">
              <w:rPr>
                <w:rFonts w:cs="Times New Roman"/>
                <w:color w:val="auto"/>
                <w:szCs w:val="22"/>
                <w:lang w:val="pt-PT"/>
              </w:rPr>
              <w:t>1</w:t>
            </w:r>
            <w:r w:rsidR="00DA7FFC" w:rsidRPr="00110D6C">
              <w:rPr>
                <w:rFonts w:cs="Times New Roman"/>
                <w:color w:val="auto"/>
                <w:szCs w:val="22"/>
                <w:lang w:val="pt-PT"/>
              </w:rPr>
              <w:t xml:space="preserve"> </w:t>
            </w:r>
            <w:r w:rsidRPr="00110D6C">
              <w:rPr>
                <w:rFonts w:cs="Times New Roman"/>
                <w:color w:val="auto"/>
                <w:szCs w:val="22"/>
                <w:lang w:val="pt-PT"/>
              </w:rPr>
              <w:t>(79%)</w:t>
            </w:r>
          </w:p>
        </w:tc>
      </w:tr>
      <w:tr w:rsidR="0077031F" w:rsidRPr="00110D6C" w14:paraId="28DDCB7F" w14:textId="77777777" w:rsidTr="0043129A">
        <w:tc>
          <w:tcPr>
            <w:tcW w:w="3019" w:type="dxa"/>
            <w:tcBorders>
              <w:top w:val="single" w:sz="4" w:space="0" w:color="auto"/>
              <w:left w:val="single" w:sz="4" w:space="0" w:color="auto"/>
            </w:tcBorders>
            <w:shd w:val="clear" w:color="auto" w:fill="auto"/>
          </w:tcPr>
          <w:p w14:paraId="67293B0A" w14:textId="357941AB" w:rsidR="0077031F" w:rsidRPr="00110D6C" w:rsidRDefault="00030085" w:rsidP="0043129A">
            <w:pPr>
              <w:widowControl/>
              <w:rPr>
                <w:rFonts w:cs="Times New Roman"/>
                <w:color w:val="auto"/>
                <w:szCs w:val="22"/>
                <w:lang w:val="pt-PT"/>
              </w:rPr>
            </w:pPr>
            <w:r w:rsidRPr="00110D6C">
              <w:rPr>
                <w:rFonts w:cs="Times New Roman"/>
                <w:color w:val="auto"/>
                <w:szCs w:val="22"/>
                <w:lang w:val="pt-PT"/>
              </w:rPr>
              <w:t>N.º de respostas PASI</w:t>
            </w:r>
            <w:r w:rsidR="00D5307E">
              <w:rPr>
                <w:rFonts w:cs="Times New Roman"/>
                <w:color w:val="auto"/>
                <w:szCs w:val="22"/>
                <w:lang w:val="pt-PT"/>
              </w:rPr>
              <w:t> </w:t>
            </w:r>
            <w:r w:rsidRPr="00110D6C">
              <w:rPr>
                <w:rFonts w:cs="Times New Roman"/>
                <w:color w:val="auto"/>
                <w:szCs w:val="22"/>
                <w:lang w:val="pt-PT"/>
              </w:rPr>
              <w:t>9</w:t>
            </w:r>
            <w:r w:rsidR="00B910F9" w:rsidRPr="00110D6C">
              <w:rPr>
                <w:rFonts w:cs="Times New Roman"/>
                <w:color w:val="auto"/>
                <w:szCs w:val="22"/>
                <w:lang w:val="pt-PT"/>
              </w:rPr>
              <w:t>0 </w:t>
            </w:r>
            <w:r w:rsidRPr="00110D6C">
              <w:rPr>
                <w:rFonts w:cs="Times New Roman"/>
                <w:color w:val="auto"/>
                <w:szCs w:val="22"/>
                <w:lang w:val="pt-PT"/>
              </w:rPr>
              <w:t>(%)</w:t>
            </w:r>
          </w:p>
        </w:tc>
        <w:tc>
          <w:tcPr>
            <w:tcW w:w="1094" w:type="dxa"/>
            <w:tcBorders>
              <w:top w:val="single" w:sz="4" w:space="0" w:color="auto"/>
              <w:left w:val="single" w:sz="4" w:space="0" w:color="auto"/>
            </w:tcBorders>
            <w:shd w:val="clear" w:color="auto" w:fill="auto"/>
          </w:tcPr>
          <w:p w14:paraId="33CAD4E9" w14:textId="77777777" w:rsidR="0077031F" w:rsidRPr="00110D6C" w:rsidRDefault="00B910F9" w:rsidP="00DA7FFC">
            <w:pPr>
              <w:widowControl/>
              <w:jc w:val="center"/>
              <w:rPr>
                <w:rFonts w:cs="Times New Roman"/>
                <w:color w:val="auto"/>
                <w:szCs w:val="22"/>
                <w:lang w:val="pt-PT"/>
              </w:rPr>
            </w:pPr>
            <w:r w:rsidRPr="00110D6C">
              <w:rPr>
                <w:rFonts w:cs="Times New Roman"/>
                <w:color w:val="auto"/>
                <w:szCs w:val="22"/>
                <w:lang w:val="pt-PT"/>
              </w:rPr>
              <w:t>5</w:t>
            </w:r>
            <w:r w:rsidR="00DA7FFC" w:rsidRPr="00110D6C">
              <w:rPr>
                <w:rFonts w:cs="Times New Roman"/>
                <w:color w:val="auto"/>
                <w:szCs w:val="22"/>
                <w:lang w:val="pt-PT"/>
              </w:rPr>
              <w:t xml:space="preserve"> </w:t>
            </w:r>
            <w:r w:rsidR="00030085" w:rsidRPr="00110D6C">
              <w:rPr>
                <w:rFonts w:cs="Times New Roman"/>
                <w:color w:val="auto"/>
                <w:szCs w:val="22"/>
                <w:lang w:val="pt-PT"/>
              </w:rPr>
              <w:t>(2%)</w:t>
            </w:r>
          </w:p>
        </w:tc>
        <w:tc>
          <w:tcPr>
            <w:tcW w:w="1277" w:type="dxa"/>
            <w:tcBorders>
              <w:top w:val="single" w:sz="4" w:space="0" w:color="auto"/>
              <w:left w:val="single" w:sz="4" w:space="0" w:color="auto"/>
            </w:tcBorders>
            <w:shd w:val="clear" w:color="auto" w:fill="auto"/>
          </w:tcPr>
          <w:p w14:paraId="0756C62A"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10</w:t>
            </w:r>
            <w:r w:rsidR="00B910F9" w:rsidRPr="00110D6C">
              <w:rPr>
                <w:rFonts w:cs="Times New Roman"/>
                <w:color w:val="auto"/>
                <w:szCs w:val="22"/>
                <w:lang w:val="pt-PT"/>
              </w:rPr>
              <w:t>6</w:t>
            </w:r>
            <w:r w:rsidR="00DA7FFC" w:rsidRPr="00110D6C">
              <w:rPr>
                <w:rFonts w:cs="Times New Roman"/>
                <w:color w:val="auto"/>
                <w:szCs w:val="22"/>
                <w:lang w:val="pt-PT"/>
              </w:rPr>
              <w:t xml:space="preserve"> </w:t>
            </w:r>
            <w:r w:rsidRPr="00110D6C">
              <w:rPr>
                <w:rFonts w:cs="Times New Roman"/>
                <w:color w:val="auto"/>
                <w:szCs w:val="22"/>
                <w:lang w:val="pt-PT"/>
              </w:rPr>
              <w:t>(42%)</w:t>
            </w:r>
            <w:r w:rsidRPr="00110D6C">
              <w:rPr>
                <w:rFonts w:cs="Times New Roman"/>
                <w:color w:val="auto"/>
                <w:szCs w:val="22"/>
                <w:vertAlign w:val="superscript"/>
                <w:lang w:val="pt-PT"/>
              </w:rPr>
              <w:t>a</w:t>
            </w:r>
          </w:p>
        </w:tc>
        <w:tc>
          <w:tcPr>
            <w:tcW w:w="1277" w:type="dxa"/>
            <w:tcBorders>
              <w:top w:val="single" w:sz="4" w:space="0" w:color="auto"/>
              <w:left w:val="single" w:sz="4" w:space="0" w:color="auto"/>
            </w:tcBorders>
            <w:shd w:val="clear" w:color="auto" w:fill="auto"/>
          </w:tcPr>
          <w:p w14:paraId="26FCF2BB"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9</w:t>
            </w:r>
            <w:r w:rsidR="00B910F9" w:rsidRPr="00110D6C">
              <w:rPr>
                <w:rFonts w:cs="Times New Roman"/>
                <w:color w:val="auto"/>
                <w:szCs w:val="22"/>
                <w:lang w:val="pt-PT"/>
              </w:rPr>
              <w:t>4</w:t>
            </w:r>
            <w:r w:rsidR="00DA7FFC" w:rsidRPr="00110D6C">
              <w:rPr>
                <w:rFonts w:cs="Times New Roman"/>
                <w:color w:val="auto"/>
                <w:szCs w:val="22"/>
                <w:lang w:val="pt-PT"/>
              </w:rPr>
              <w:t xml:space="preserve"> </w:t>
            </w:r>
            <w:r w:rsidRPr="00110D6C">
              <w:rPr>
                <w:rFonts w:cs="Times New Roman"/>
                <w:color w:val="auto"/>
                <w:szCs w:val="22"/>
                <w:lang w:val="pt-PT"/>
              </w:rPr>
              <w:t>(37%)</w:t>
            </w:r>
            <w:r w:rsidRPr="00110D6C">
              <w:rPr>
                <w:rFonts w:cs="Times New Roman"/>
                <w:color w:val="auto"/>
                <w:szCs w:val="22"/>
                <w:vertAlign w:val="superscript"/>
                <w:lang w:val="pt-PT"/>
              </w:rPr>
              <w:t>a</w:t>
            </w:r>
          </w:p>
        </w:tc>
        <w:tc>
          <w:tcPr>
            <w:tcW w:w="1195" w:type="dxa"/>
            <w:tcBorders>
              <w:top w:val="single" w:sz="4" w:space="0" w:color="auto"/>
              <w:left w:val="single" w:sz="4" w:space="0" w:color="auto"/>
            </w:tcBorders>
            <w:shd w:val="clear" w:color="auto" w:fill="auto"/>
          </w:tcPr>
          <w:p w14:paraId="50F8AF9F"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12</w:t>
            </w:r>
            <w:r w:rsidR="00B910F9" w:rsidRPr="00110D6C">
              <w:rPr>
                <w:rFonts w:cs="Times New Roman"/>
                <w:color w:val="auto"/>
                <w:szCs w:val="22"/>
                <w:lang w:val="pt-PT"/>
              </w:rPr>
              <w:t>3</w:t>
            </w:r>
            <w:r w:rsidR="00DA7FFC" w:rsidRPr="00110D6C">
              <w:rPr>
                <w:rFonts w:cs="Times New Roman"/>
                <w:color w:val="auto"/>
                <w:szCs w:val="22"/>
                <w:lang w:val="pt-PT"/>
              </w:rPr>
              <w:t xml:space="preserve"> </w:t>
            </w:r>
            <w:r w:rsidRPr="00110D6C">
              <w:rPr>
                <w:rFonts w:cs="Times New Roman"/>
                <w:color w:val="auto"/>
                <w:szCs w:val="22"/>
                <w:lang w:val="pt-PT"/>
              </w:rPr>
              <w:t>(49%)</w:t>
            </w:r>
          </w:p>
        </w:tc>
        <w:tc>
          <w:tcPr>
            <w:tcW w:w="1210" w:type="dxa"/>
            <w:tcBorders>
              <w:top w:val="single" w:sz="4" w:space="0" w:color="auto"/>
              <w:left w:val="single" w:sz="4" w:space="0" w:color="auto"/>
              <w:right w:val="single" w:sz="4" w:space="0" w:color="auto"/>
            </w:tcBorders>
            <w:shd w:val="clear" w:color="auto" w:fill="auto"/>
          </w:tcPr>
          <w:p w14:paraId="6F764FBC"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13</w:t>
            </w:r>
            <w:r w:rsidR="00B910F9" w:rsidRPr="00110D6C">
              <w:rPr>
                <w:rFonts w:cs="Times New Roman"/>
                <w:color w:val="auto"/>
                <w:szCs w:val="22"/>
                <w:lang w:val="pt-PT"/>
              </w:rPr>
              <w:t>5</w:t>
            </w:r>
            <w:r w:rsidR="00DA7FFC" w:rsidRPr="00110D6C">
              <w:rPr>
                <w:rFonts w:cs="Times New Roman"/>
                <w:color w:val="auto"/>
                <w:szCs w:val="22"/>
                <w:lang w:val="pt-PT"/>
              </w:rPr>
              <w:t xml:space="preserve"> </w:t>
            </w:r>
            <w:r w:rsidRPr="00110D6C">
              <w:rPr>
                <w:rFonts w:cs="Times New Roman"/>
                <w:color w:val="auto"/>
                <w:szCs w:val="22"/>
                <w:lang w:val="pt-PT"/>
              </w:rPr>
              <w:t>(56%)</w:t>
            </w:r>
          </w:p>
        </w:tc>
      </w:tr>
      <w:tr w:rsidR="0077031F" w:rsidRPr="00110D6C" w14:paraId="260EF8A4" w14:textId="77777777" w:rsidTr="0043129A">
        <w:tc>
          <w:tcPr>
            <w:tcW w:w="3019" w:type="dxa"/>
            <w:tcBorders>
              <w:top w:val="single" w:sz="4" w:space="0" w:color="auto"/>
              <w:left w:val="single" w:sz="4" w:space="0" w:color="auto"/>
            </w:tcBorders>
            <w:shd w:val="clear" w:color="auto" w:fill="auto"/>
          </w:tcPr>
          <w:p w14:paraId="5FD485B3" w14:textId="77777777" w:rsidR="0077031F" w:rsidRPr="00110D6C" w:rsidRDefault="00030085" w:rsidP="0043129A">
            <w:pPr>
              <w:widowControl/>
              <w:rPr>
                <w:rFonts w:cs="Times New Roman"/>
                <w:color w:val="auto"/>
                <w:szCs w:val="22"/>
                <w:lang w:val="pt-PT"/>
              </w:rPr>
            </w:pPr>
            <w:r w:rsidRPr="00110D6C">
              <w:rPr>
                <w:rFonts w:cs="Times New Roman"/>
                <w:color w:val="auto"/>
                <w:szCs w:val="22"/>
                <w:lang w:val="pt-PT"/>
              </w:rPr>
              <w:t>N.º de PGA</w:t>
            </w:r>
            <w:r w:rsidRPr="00110D6C">
              <w:rPr>
                <w:rFonts w:cs="Times New Roman"/>
                <w:color w:val="auto"/>
                <w:szCs w:val="22"/>
                <w:vertAlign w:val="superscript"/>
                <w:lang w:val="pt-PT"/>
              </w:rPr>
              <w:t>b</w:t>
            </w:r>
            <w:r w:rsidRPr="00110D6C">
              <w:rPr>
                <w:rFonts w:cs="Times New Roman"/>
                <w:color w:val="auto"/>
                <w:szCs w:val="22"/>
                <w:lang w:val="pt-PT"/>
              </w:rPr>
              <w:t xml:space="preserve"> (%) mínima ou ausente</w:t>
            </w:r>
          </w:p>
        </w:tc>
        <w:tc>
          <w:tcPr>
            <w:tcW w:w="1094" w:type="dxa"/>
            <w:tcBorders>
              <w:top w:val="single" w:sz="4" w:space="0" w:color="auto"/>
              <w:left w:val="single" w:sz="4" w:space="0" w:color="auto"/>
            </w:tcBorders>
            <w:shd w:val="clear" w:color="auto" w:fill="auto"/>
          </w:tcPr>
          <w:p w14:paraId="771A1790"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1</w:t>
            </w:r>
            <w:r w:rsidR="00B910F9" w:rsidRPr="00110D6C">
              <w:rPr>
                <w:rFonts w:cs="Times New Roman"/>
                <w:color w:val="auto"/>
                <w:szCs w:val="22"/>
                <w:lang w:val="pt-PT"/>
              </w:rPr>
              <w:t>0</w:t>
            </w:r>
            <w:r w:rsidR="00DA7FFC" w:rsidRPr="00110D6C">
              <w:rPr>
                <w:rFonts w:cs="Times New Roman"/>
                <w:color w:val="auto"/>
                <w:szCs w:val="22"/>
                <w:lang w:val="pt-PT"/>
              </w:rPr>
              <w:t xml:space="preserve"> </w:t>
            </w:r>
            <w:r w:rsidRPr="00110D6C">
              <w:rPr>
                <w:rFonts w:cs="Times New Roman"/>
                <w:color w:val="auto"/>
                <w:szCs w:val="22"/>
                <w:lang w:val="pt-PT"/>
              </w:rPr>
              <w:t>(4%)</w:t>
            </w:r>
          </w:p>
        </w:tc>
        <w:tc>
          <w:tcPr>
            <w:tcW w:w="1277" w:type="dxa"/>
            <w:tcBorders>
              <w:top w:val="single" w:sz="4" w:space="0" w:color="auto"/>
              <w:left w:val="single" w:sz="4" w:space="0" w:color="auto"/>
            </w:tcBorders>
            <w:shd w:val="clear" w:color="auto" w:fill="auto"/>
          </w:tcPr>
          <w:p w14:paraId="3F06F2F6"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15</w:t>
            </w:r>
            <w:r w:rsidR="00B910F9" w:rsidRPr="00110D6C">
              <w:rPr>
                <w:rFonts w:cs="Times New Roman"/>
                <w:color w:val="auto"/>
                <w:szCs w:val="22"/>
                <w:lang w:val="pt-PT"/>
              </w:rPr>
              <w:t>1</w:t>
            </w:r>
            <w:r w:rsidR="00DA7FFC" w:rsidRPr="00110D6C">
              <w:rPr>
                <w:rFonts w:cs="Times New Roman"/>
                <w:color w:val="auto"/>
                <w:szCs w:val="22"/>
                <w:lang w:val="pt-PT"/>
              </w:rPr>
              <w:t xml:space="preserve"> </w:t>
            </w:r>
            <w:r w:rsidRPr="00110D6C">
              <w:rPr>
                <w:rFonts w:cs="Times New Roman"/>
                <w:color w:val="auto"/>
                <w:szCs w:val="22"/>
                <w:lang w:val="pt-PT"/>
              </w:rPr>
              <w:t>(59%)</w:t>
            </w:r>
            <w:r w:rsidRPr="00110D6C">
              <w:rPr>
                <w:rFonts w:cs="Times New Roman"/>
                <w:color w:val="auto"/>
                <w:szCs w:val="22"/>
                <w:vertAlign w:val="superscript"/>
                <w:lang w:val="pt-PT"/>
              </w:rPr>
              <w:t>a</w:t>
            </w:r>
          </w:p>
        </w:tc>
        <w:tc>
          <w:tcPr>
            <w:tcW w:w="1277" w:type="dxa"/>
            <w:tcBorders>
              <w:top w:val="single" w:sz="4" w:space="0" w:color="auto"/>
              <w:left w:val="single" w:sz="4" w:space="0" w:color="auto"/>
            </w:tcBorders>
            <w:shd w:val="clear" w:color="auto" w:fill="auto"/>
          </w:tcPr>
          <w:p w14:paraId="08A3A6C1"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15</w:t>
            </w:r>
            <w:r w:rsidR="00B910F9" w:rsidRPr="00110D6C">
              <w:rPr>
                <w:rFonts w:cs="Times New Roman"/>
                <w:color w:val="auto"/>
                <w:szCs w:val="22"/>
                <w:lang w:val="pt-PT"/>
              </w:rPr>
              <w:t>6</w:t>
            </w:r>
            <w:r w:rsidR="00DA7FFC" w:rsidRPr="00110D6C">
              <w:rPr>
                <w:rFonts w:cs="Times New Roman"/>
                <w:color w:val="auto"/>
                <w:szCs w:val="22"/>
                <w:lang w:val="pt-PT"/>
              </w:rPr>
              <w:t xml:space="preserve"> </w:t>
            </w:r>
            <w:r w:rsidRPr="00110D6C">
              <w:rPr>
                <w:rFonts w:cs="Times New Roman"/>
                <w:color w:val="auto"/>
                <w:szCs w:val="22"/>
                <w:lang w:val="pt-PT"/>
              </w:rPr>
              <w:t>(61%)</w:t>
            </w:r>
            <w:r w:rsidRPr="00110D6C">
              <w:rPr>
                <w:rFonts w:cs="Times New Roman"/>
                <w:color w:val="auto"/>
                <w:szCs w:val="22"/>
                <w:vertAlign w:val="superscript"/>
                <w:lang w:val="pt-PT"/>
              </w:rPr>
              <w:t>a</w:t>
            </w:r>
          </w:p>
        </w:tc>
        <w:tc>
          <w:tcPr>
            <w:tcW w:w="1195" w:type="dxa"/>
            <w:tcBorders>
              <w:top w:val="single" w:sz="4" w:space="0" w:color="auto"/>
              <w:left w:val="single" w:sz="4" w:space="0" w:color="auto"/>
            </w:tcBorders>
            <w:shd w:val="clear" w:color="auto" w:fill="auto"/>
          </w:tcPr>
          <w:p w14:paraId="0940F65C"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14</w:t>
            </w:r>
            <w:r w:rsidR="00B910F9" w:rsidRPr="00110D6C">
              <w:rPr>
                <w:rFonts w:cs="Times New Roman"/>
                <w:color w:val="auto"/>
                <w:szCs w:val="22"/>
                <w:lang w:val="pt-PT"/>
              </w:rPr>
              <w:t>6</w:t>
            </w:r>
            <w:r w:rsidR="00DA7FFC" w:rsidRPr="00110D6C">
              <w:rPr>
                <w:rFonts w:cs="Times New Roman"/>
                <w:color w:val="auto"/>
                <w:szCs w:val="22"/>
                <w:lang w:val="pt-PT"/>
              </w:rPr>
              <w:t xml:space="preserve"> </w:t>
            </w:r>
            <w:r w:rsidRPr="00110D6C">
              <w:rPr>
                <w:rFonts w:cs="Times New Roman"/>
                <w:color w:val="auto"/>
                <w:szCs w:val="22"/>
                <w:lang w:val="pt-PT"/>
              </w:rPr>
              <w:t>(58%)</w:t>
            </w:r>
          </w:p>
        </w:tc>
        <w:tc>
          <w:tcPr>
            <w:tcW w:w="1210" w:type="dxa"/>
            <w:tcBorders>
              <w:top w:val="single" w:sz="4" w:space="0" w:color="auto"/>
              <w:left w:val="single" w:sz="4" w:space="0" w:color="auto"/>
              <w:right w:val="single" w:sz="4" w:space="0" w:color="auto"/>
            </w:tcBorders>
            <w:shd w:val="clear" w:color="auto" w:fill="auto"/>
          </w:tcPr>
          <w:p w14:paraId="1C37DC66"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16</w:t>
            </w:r>
            <w:r w:rsidR="00B910F9" w:rsidRPr="00110D6C">
              <w:rPr>
                <w:rFonts w:cs="Times New Roman"/>
                <w:color w:val="auto"/>
                <w:szCs w:val="22"/>
                <w:lang w:val="pt-PT"/>
              </w:rPr>
              <w:t>0</w:t>
            </w:r>
            <w:r w:rsidR="00DA7FFC" w:rsidRPr="00110D6C">
              <w:rPr>
                <w:rFonts w:cs="Times New Roman"/>
                <w:color w:val="auto"/>
                <w:szCs w:val="22"/>
                <w:lang w:val="pt-PT"/>
              </w:rPr>
              <w:t xml:space="preserve"> </w:t>
            </w:r>
            <w:r w:rsidRPr="00110D6C">
              <w:rPr>
                <w:rFonts w:cs="Times New Roman"/>
                <w:color w:val="auto"/>
                <w:szCs w:val="22"/>
                <w:lang w:val="pt-PT"/>
              </w:rPr>
              <w:t>(66%)</w:t>
            </w:r>
          </w:p>
        </w:tc>
      </w:tr>
      <w:tr w:rsidR="0077031F" w:rsidRPr="00110D6C" w14:paraId="2C61C34F" w14:textId="77777777" w:rsidTr="0043129A">
        <w:tc>
          <w:tcPr>
            <w:tcW w:w="3019" w:type="dxa"/>
            <w:tcBorders>
              <w:top w:val="single" w:sz="4" w:space="0" w:color="auto"/>
              <w:left w:val="single" w:sz="4" w:space="0" w:color="auto"/>
            </w:tcBorders>
            <w:shd w:val="clear" w:color="auto" w:fill="auto"/>
          </w:tcPr>
          <w:p w14:paraId="27657F46" w14:textId="77777777" w:rsidR="0077031F" w:rsidRPr="00110D6C" w:rsidRDefault="00030085" w:rsidP="00F5387C">
            <w:pPr>
              <w:widowControl/>
              <w:rPr>
                <w:rFonts w:cs="Times New Roman"/>
                <w:color w:val="auto"/>
                <w:szCs w:val="22"/>
                <w:lang w:val="pt-PT"/>
              </w:rPr>
            </w:pPr>
            <w:r w:rsidRPr="00110D6C">
              <w:rPr>
                <w:rFonts w:cs="Times New Roman"/>
                <w:color w:val="auto"/>
                <w:szCs w:val="22"/>
                <w:lang w:val="pt-PT"/>
              </w:rPr>
              <w:t>Número de doentes ≤</w:t>
            </w:r>
            <w:r w:rsidR="00F5387C" w:rsidRPr="00110D6C">
              <w:rPr>
                <w:rFonts w:cs="Times New Roman"/>
                <w:color w:val="auto"/>
                <w:szCs w:val="22"/>
                <w:lang w:val="pt-PT"/>
              </w:rPr>
              <w:t> </w:t>
            </w:r>
            <w:r w:rsidRPr="00110D6C">
              <w:rPr>
                <w:rFonts w:cs="Times New Roman"/>
                <w:color w:val="auto"/>
                <w:szCs w:val="22"/>
                <w:lang w:val="pt-PT"/>
              </w:rPr>
              <w:t>10</w:t>
            </w:r>
            <w:r w:rsidR="00B910F9" w:rsidRPr="00110D6C">
              <w:rPr>
                <w:rFonts w:cs="Times New Roman"/>
                <w:color w:val="auto"/>
                <w:szCs w:val="22"/>
                <w:lang w:val="pt-PT"/>
              </w:rPr>
              <w:t>0 </w:t>
            </w:r>
            <w:r w:rsidRPr="00110D6C">
              <w:rPr>
                <w:rFonts w:cs="Times New Roman"/>
                <w:color w:val="auto"/>
                <w:szCs w:val="22"/>
                <w:lang w:val="pt-PT"/>
              </w:rPr>
              <w:t>kg</w:t>
            </w:r>
          </w:p>
        </w:tc>
        <w:tc>
          <w:tcPr>
            <w:tcW w:w="1094" w:type="dxa"/>
            <w:tcBorders>
              <w:top w:val="single" w:sz="4" w:space="0" w:color="auto"/>
              <w:left w:val="single" w:sz="4" w:space="0" w:color="auto"/>
            </w:tcBorders>
            <w:shd w:val="clear" w:color="auto" w:fill="auto"/>
          </w:tcPr>
          <w:p w14:paraId="7BD07625"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166</w:t>
            </w:r>
          </w:p>
        </w:tc>
        <w:tc>
          <w:tcPr>
            <w:tcW w:w="1277" w:type="dxa"/>
            <w:tcBorders>
              <w:top w:val="single" w:sz="4" w:space="0" w:color="auto"/>
              <w:left w:val="single" w:sz="4" w:space="0" w:color="auto"/>
            </w:tcBorders>
            <w:shd w:val="clear" w:color="auto" w:fill="auto"/>
          </w:tcPr>
          <w:p w14:paraId="075161DB"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168</w:t>
            </w:r>
          </w:p>
        </w:tc>
        <w:tc>
          <w:tcPr>
            <w:tcW w:w="1277" w:type="dxa"/>
            <w:tcBorders>
              <w:top w:val="single" w:sz="4" w:space="0" w:color="auto"/>
              <w:left w:val="single" w:sz="4" w:space="0" w:color="auto"/>
            </w:tcBorders>
            <w:shd w:val="clear" w:color="auto" w:fill="auto"/>
          </w:tcPr>
          <w:p w14:paraId="5823BE23"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164</w:t>
            </w:r>
          </w:p>
        </w:tc>
        <w:tc>
          <w:tcPr>
            <w:tcW w:w="1195" w:type="dxa"/>
            <w:tcBorders>
              <w:top w:val="single" w:sz="4" w:space="0" w:color="auto"/>
              <w:left w:val="single" w:sz="4" w:space="0" w:color="auto"/>
            </w:tcBorders>
            <w:shd w:val="clear" w:color="auto" w:fill="auto"/>
          </w:tcPr>
          <w:p w14:paraId="6E422BAA"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164</w:t>
            </w:r>
          </w:p>
        </w:tc>
        <w:tc>
          <w:tcPr>
            <w:tcW w:w="1210" w:type="dxa"/>
            <w:tcBorders>
              <w:top w:val="single" w:sz="4" w:space="0" w:color="auto"/>
              <w:left w:val="single" w:sz="4" w:space="0" w:color="auto"/>
              <w:right w:val="single" w:sz="4" w:space="0" w:color="auto"/>
            </w:tcBorders>
            <w:shd w:val="clear" w:color="auto" w:fill="auto"/>
          </w:tcPr>
          <w:p w14:paraId="7B92089F"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153</w:t>
            </w:r>
          </w:p>
        </w:tc>
      </w:tr>
      <w:tr w:rsidR="0077031F" w:rsidRPr="00110D6C" w14:paraId="688AC449" w14:textId="77777777" w:rsidTr="0043129A">
        <w:tc>
          <w:tcPr>
            <w:tcW w:w="3019" w:type="dxa"/>
            <w:tcBorders>
              <w:top w:val="single" w:sz="4" w:space="0" w:color="auto"/>
              <w:left w:val="single" w:sz="4" w:space="0" w:color="auto"/>
            </w:tcBorders>
            <w:shd w:val="clear" w:color="auto" w:fill="auto"/>
          </w:tcPr>
          <w:p w14:paraId="3D8E77CE" w14:textId="07D910D2" w:rsidR="0077031F" w:rsidRPr="00110D6C" w:rsidRDefault="00030085" w:rsidP="0043129A">
            <w:pPr>
              <w:widowControl/>
              <w:rPr>
                <w:rFonts w:cs="Times New Roman"/>
                <w:color w:val="auto"/>
                <w:szCs w:val="22"/>
                <w:lang w:val="pt-PT"/>
              </w:rPr>
            </w:pPr>
            <w:r w:rsidRPr="00110D6C">
              <w:rPr>
                <w:rFonts w:cs="Times New Roman"/>
                <w:color w:val="auto"/>
                <w:szCs w:val="22"/>
                <w:lang w:val="pt-PT"/>
              </w:rPr>
              <w:t>N.º de respostas PASI</w:t>
            </w:r>
            <w:r w:rsidR="00D5307E">
              <w:rPr>
                <w:rFonts w:cs="Times New Roman"/>
                <w:color w:val="auto"/>
                <w:szCs w:val="22"/>
                <w:lang w:val="pt-PT"/>
              </w:rPr>
              <w:t> </w:t>
            </w:r>
            <w:r w:rsidRPr="00110D6C">
              <w:rPr>
                <w:rFonts w:cs="Times New Roman"/>
                <w:color w:val="auto"/>
                <w:szCs w:val="22"/>
                <w:lang w:val="pt-PT"/>
              </w:rPr>
              <w:t>75(%)</w:t>
            </w:r>
          </w:p>
        </w:tc>
        <w:tc>
          <w:tcPr>
            <w:tcW w:w="1094" w:type="dxa"/>
            <w:tcBorders>
              <w:top w:val="single" w:sz="4" w:space="0" w:color="auto"/>
              <w:left w:val="single" w:sz="4" w:space="0" w:color="auto"/>
            </w:tcBorders>
            <w:shd w:val="clear" w:color="auto" w:fill="auto"/>
          </w:tcPr>
          <w:p w14:paraId="1D96E5F7" w14:textId="77777777" w:rsidR="0077031F" w:rsidRPr="00110D6C" w:rsidRDefault="00B910F9" w:rsidP="00DA7FFC">
            <w:pPr>
              <w:widowControl/>
              <w:jc w:val="center"/>
              <w:rPr>
                <w:rFonts w:cs="Times New Roman"/>
                <w:color w:val="auto"/>
                <w:szCs w:val="22"/>
                <w:lang w:val="pt-PT"/>
              </w:rPr>
            </w:pPr>
            <w:r w:rsidRPr="00110D6C">
              <w:rPr>
                <w:rFonts w:cs="Times New Roman"/>
                <w:color w:val="auto"/>
                <w:szCs w:val="22"/>
                <w:lang w:val="pt-PT"/>
              </w:rPr>
              <w:t>6</w:t>
            </w:r>
            <w:r w:rsidR="00DA7FFC" w:rsidRPr="00110D6C">
              <w:rPr>
                <w:rFonts w:cs="Times New Roman"/>
                <w:color w:val="auto"/>
                <w:szCs w:val="22"/>
                <w:lang w:val="pt-PT"/>
              </w:rPr>
              <w:t xml:space="preserve"> </w:t>
            </w:r>
            <w:r w:rsidR="00030085" w:rsidRPr="00110D6C">
              <w:rPr>
                <w:rFonts w:cs="Times New Roman"/>
                <w:color w:val="auto"/>
                <w:szCs w:val="22"/>
                <w:lang w:val="pt-PT"/>
              </w:rPr>
              <w:t>(4%)</w:t>
            </w:r>
          </w:p>
        </w:tc>
        <w:tc>
          <w:tcPr>
            <w:tcW w:w="1277" w:type="dxa"/>
            <w:tcBorders>
              <w:top w:val="single" w:sz="4" w:space="0" w:color="auto"/>
              <w:left w:val="single" w:sz="4" w:space="0" w:color="auto"/>
            </w:tcBorders>
            <w:shd w:val="clear" w:color="auto" w:fill="auto"/>
          </w:tcPr>
          <w:p w14:paraId="4100FD30"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12</w:t>
            </w:r>
            <w:r w:rsidR="00B910F9" w:rsidRPr="00110D6C">
              <w:rPr>
                <w:rFonts w:cs="Times New Roman"/>
                <w:color w:val="auto"/>
                <w:szCs w:val="22"/>
                <w:lang w:val="pt-PT"/>
              </w:rPr>
              <w:t>4</w:t>
            </w:r>
            <w:r w:rsidR="00DA7FFC" w:rsidRPr="00110D6C">
              <w:rPr>
                <w:rFonts w:cs="Times New Roman"/>
                <w:color w:val="auto"/>
                <w:szCs w:val="22"/>
                <w:lang w:val="pt-PT"/>
              </w:rPr>
              <w:t xml:space="preserve"> </w:t>
            </w:r>
            <w:r w:rsidRPr="00110D6C">
              <w:rPr>
                <w:rFonts w:cs="Times New Roman"/>
                <w:color w:val="auto"/>
                <w:szCs w:val="22"/>
                <w:lang w:val="pt-PT"/>
              </w:rPr>
              <w:t>(74%)</w:t>
            </w:r>
          </w:p>
        </w:tc>
        <w:tc>
          <w:tcPr>
            <w:tcW w:w="1277" w:type="dxa"/>
            <w:tcBorders>
              <w:top w:val="single" w:sz="4" w:space="0" w:color="auto"/>
              <w:left w:val="single" w:sz="4" w:space="0" w:color="auto"/>
            </w:tcBorders>
            <w:shd w:val="clear" w:color="auto" w:fill="auto"/>
          </w:tcPr>
          <w:p w14:paraId="5DFDE6B7"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10</w:t>
            </w:r>
            <w:r w:rsidR="00B910F9" w:rsidRPr="00110D6C">
              <w:rPr>
                <w:rFonts w:cs="Times New Roman"/>
                <w:color w:val="auto"/>
                <w:szCs w:val="22"/>
                <w:lang w:val="pt-PT"/>
              </w:rPr>
              <w:t>7</w:t>
            </w:r>
            <w:r w:rsidR="00DA7FFC" w:rsidRPr="00110D6C">
              <w:rPr>
                <w:rFonts w:cs="Times New Roman"/>
                <w:color w:val="auto"/>
                <w:szCs w:val="22"/>
                <w:lang w:val="pt-PT"/>
              </w:rPr>
              <w:t xml:space="preserve"> </w:t>
            </w:r>
            <w:r w:rsidRPr="00110D6C">
              <w:rPr>
                <w:rFonts w:cs="Times New Roman"/>
                <w:color w:val="auto"/>
                <w:szCs w:val="22"/>
                <w:lang w:val="pt-PT"/>
              </w:rPr>
              <w:t>(65%)</w:t>
            </w:r>
          </w:p>
        </w:tc>
        <w:tc>
          <w:tcPr>
            <w:tcW w:w="1195" w:type="dxa"/>
            <w:tcBorders>
              <w:top w:val="single" w:sz="4" w:space="0" w:color="auto"/>
              <w:left w:val="single" w:sz="4" w:space="0" w:color="auto"/>
            </w:tcBorders>
            <w:shd w:val="clear" w:color="auto" w:fill="auto"/>
          </w:tcPr>
          <w:p w14:paraId="7088D0DF"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13</w:t>
            </w:r>
            <w:r w:rsidR="00B910F9" w:rsidRPr="00110D6C">
              <w:rPr>
                <w:rFonts w:cs="Times New Roman"/>
                <w:color w:val="auto"/>
                <w:szCs w:val="22"/>
                <w:lang w:val="pt-PT"/>
              </w:rPr>
              <w:t>0</w:t>
            </w:r>
            <w:r w:rsidR="00DA7FFC" w:rsidRPr="00110D6C">
              <w:rPr>
                <w:rFonts w:cs="Times New Roman"/>
                <w:color w:val="auto"/>
                <w:szCs w:val="22"/>
                <w:lang w:val="pt-PT"/>
              </w:rPr>
              <w:t xml:space="preserve"> </w:t>
            </w:r>
            <w:r w:rsidRPr="00110D6C">
              <w:rPr>
                <w:rFonts w:cs="Times New Roman"/>
                <w:color w:val="auto"/>
                <w:szCs w:val="22"/>
                <w:lang w:val="pt-PT"/>
              </w:rPr>
              <w:t>(79%)</w:t>
            </w:r>
          </w:p>
        </w:tc>
        <w:tc>
          <w:tcPr>
            <w:tcW w:w="1210" w:type="dxa"/>
            <w:tcBorders>
              <w:top w:val="single" w:sz="4" w:space="0" w:color="auto"/>
              <w:left w:val="single" w:sz="4" w:space="0" w:color="auto"/>
              <w:right w:val="single" w:sz="4" w:space="0" w:color="auto"/>
            </w:tcBorders>
            <w:shd w:val="clear" w:color="auto" w:fill="auto"/>
          </w:tcPr>
          <w:p w14:paraId="4BC1E569"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12</w:t>
            </w:r>
            <w:r w:rsidR="00B910F9" w:rsidRPr="00110D6C">
              <w:rPr>
                <w:rFonts w:cs="Times New Roman"/>
                <w:color w:val="auto"/>
                <w:szCs w:val="22"/>
                <w:lang w:val="pt-PT"/>
              </w:rPr>
              <w:t>4</w:t>
            </w:r>
            <w:r w:rsidR="00DA7FFC" w:rsidRPr="00110D6C">
              <w:rPr>
                <w:rFonts w:cs="Times New Roman"/>
                <w:color w:val="auto"/>
                <w:szCs w:val="22"/>
                <w:lang w:val="pt-PT"/>
              </w:rPr>
              <w:t xml:space="preserve"> </w:t>
            </w:r>
            <w:r w:rsidRPr="00110D6C">
              <w:rPr>
                <w:rFonts w:cs="Times New Roman"/>
                <w:color w:val="auto"/>
                <w:szCs w:val="22"/>
                <w:lang w:val="pt-PT"/>
              </w:rPr>
              <w:t>(81%)</w:t>
            </w:r>
          </w:p>
        </w:tc>
      </w:tr>
      <w:tr w:rsidR="0077031F" w:rsidRPr="00110D6C" w14:paraId="0C85F2D9" w14:textId="77777777" w:rsidTr="0043129A">
        <w:tc>
          <w:tcPr>
            <w:tcW w:w="3019" w:type="dxa"/>
            <w:tcBorders>
              <w:top w:val="single" w:sz="4" w:space="0" w:color="auto"/>
              <w:left w:val="single" w:sz="4" w:space="0" w:color="auto"/>
            </w:tcBorders>
            <w:shd w:val="clear" w:color="auto" w:fill="auto"/>
          </w:tcPr>
          <w:p w14:paraId="2E9907E0" w14:textId="77777777" w:rsidR="0077031F" w:rsidRPr="00110D6C" w:rsidRDefault="00030085" w:rsidP="00F5387C">
            <w:pPr>
              <w:widowControl/>
              <w:rPr>
                <w:rFonts w:cs="Times New Roman"/>
                <w:color w:val="auto"/>
                <w:szCs w:val="22"/>
                <w:lang w:val="pt-PT"/>
              </w:rPr>
            </w:pPr>
            <w:r w:rsidRPr="00110D6C">
              <w:rPr>
                <w:rFonts w:cs="Times New Roman"/>
                <w:color w:val="auto"/>
                <w:szCs w:val="22"/>
                <w:lang w:val="pt-PT"/>
              </w:rPr>
              <w:t>Número de doentes &gt;</w:t>
            </w:r>
            <w:r w:rsidR="00F5387C" w:rsidRPr="00110D6C">
              <w:rPr>
                <w:rFonts w:cs="Times New Roman"/>
                <w:color w:val="auto"/>
                <w:szCs w:val="22"/>
                <w:lang w:val="pt-PT"/>
              </w:rPr>
              <w:t> </w:t>
            </w:r>
            <w:r w:rsidRPr="00110D6C">
              <w:rPr>
                <w:rFonts w:cs="Times New Roman"/>
                <w:color w:val="auto"/>
                <w:szCs w:val="22"/>
                <w:lang w:val="pt-PT"/>
              </w:rPr>
              <w:t>10</w:t>
            </w:r>
            <w:r w:rsidR="00B910F9" w:rsidRPr="00110D6C">
              <w:rPr>
                <w:rFonts w:cs="Times New Roman"/>
                <w:color w:val="auto"/>
                <w:szCs w:val="22"/>
                <w:lang w:val="pt-PT"/>
              </w:rPr>
              <w:t>0 </w:t>
            </w:r>
            <w:r w:rsidRPr="00110D6C">
              <w:rPr>
                <w:rFonts w:cs="Times New Roman"/>
                <w:color w:val="auto"/>
                <w:szCs w:val="22"/>
                <w:lang w:val="pt-PT"/>
              </w:rPr>
              <w:t>kg</w:t>
            </w:r>
          </w:p>
        </w:tc>
        <w:tc>
          <w:tcPr>
            <w:tcW w:w="1094" w:type="dxa"/>
            <w:tcBorders>
              <w:top w:val="single" w:sz="4" w:space="0" w:color="auto"/>
              <w:left w:val="single" w:sz="4" w:space="0" w:color="auto"/>
            </w:tcBorders>
            <w:shd w:val="clear" w:color="auto" w:fill="auto"/>
          </w:tcPr>
          <w:p w14:paraId="3FCFF0AB"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89</w:t>
            </w:r>
          </w:p>
        </w:tc>
        <w:tc>
          <w:tcPr>
            <w:tcW w:w="1277" w:type="dxa"/>
            <w:tcBorders>
              <w:top w:val="single" w:sz="4" w:space="0" w:color="auto"/>
              <w:left w:val="single" w:sz="4" w:space="0" w:color="auto"/>
            </w:tcBorders>
            <w:shd w:val="clear" w:color="auto" w:fill="auto"/>
          </w:tcPr>
          <w:p w14:paraId="2750B739"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87</w:t>
            </w:r>
          </w:p>
        </w:tc>
        <w:tc>
          <w:tcPr>
            <w:tcW w:w="1277" w:type="dxa"/>
            <w:tcBorders>
              <w:top w:val="single" w:sz="4" w:space="0" w:color="auto"/>
              <w:left w:val="single" w:sz="4" w:space="0" w:color="auto"/>
            </w:tcBorders>
            <w:shd w:val="clear" w:color="auto" w:fill="auto"/>
          </w:tcPr>
          <w:p w14:paraId="5E91DD26"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92</w:t>
            </w:r>
          </w:p>
        </w:tc>
        <w:tc>
          <w:tcPr>
            <w:tcW w:w="1195" w:type="dxa"/>
            <w:tcBorders>
              <w:top w:val="single" w:sz="4" w:space="0" w:color="auto"/>
              <w:left w:val="single" w:sz="4" w:space="0" w:color="auto"/>
            </w:tcBorders>
            <w:shd w:val="clear" w:color="auto" w:fill="auto"/>
          </w:tcPr>
          <w:p w14:paraId="1CDDD3AC"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86</w:t>
            </w:r>
          </w:p>
        </w:tc>
        <w:tc>
          <w:tcPr>
            <w:tcW w:w="1210" w:type="dxa"/>
            <w:tcBorders>
              <w:top w:val="single" w:sz="4" w:space="0" w:color="auto"/>
              <w:left w:val="single" w:sz="4" w:space="0" w:color="auto"/>
              <w:right w:val="single" w:sz="4" w:space="0" w:color="auto"/>
            </w:tcBorders>
            <w:shd w:val="clear" w:color="auto" w:fill="auto"/>
          </w:tcPr>
          <w:p w14:paraId="050E314C"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90</w:t>
            </w:r>
          </w:p>
        </w:tc>
      </w:tr>
      <w:tr w:rsidR="0077031F" w:rsidRPr="00110D6C" w14:paraId="09AB0F45" w14:textId="77777777" w:rsidTr="0043129A">
        <w:tc>
          <w:tcPr>
            <w:tcW w:w="3019" w:type="dxa"/>
            <w:tcBorders>
              <w:top w:val="single" w:sz="4" w:space="0" w:color="auto"/>
              <w:left w:val="single" w:sz="4" w:space="0" w:color="auto"/>
            </w:tcBorders>
            <w:shd w:val="clear" w:color="auto" w:fill="auto"/>
          </w:tcPr>
          <w:p w14:paraId="09C23831" w14:textId="2D66F7A5" w:rsidR="0077031F" w:rsidRPr="00110D6C" w:rsidRDefault="00030085" w:rsidP="0043129A">
            <w:pPr>
              <w:widowControl/>
              <w:rPr>
                <w:rFonts w:cs="Times New Roman"/>
                <w:color w:val="auto"/>
                <w:szCs w:val="22"/>
                <w:lang w:val="pt-PT"/>
              </w:rPr>
            </w:pPr>
            <w:r w:rsidRPr="00110D6C">
              <w:rPr>
                <w:rFonts w:cs="Times New Roman"/>
                <w:color w:val="auto"/>
                <w:szCs w:val="22"/>
                <w:lang w:val="pt-PT"/>
              </w:rPr>
              <w:t>N.º de respostas PASI</w:t>
            </w:r>
            <w:r w:rsidR="00D5307E">
              <w:rPr>
                <w:rFonts w:cs="Times New Roman"/>
                <w:color w:val="auto"/>
                <w:szCs w:val="22"/>
                <w:lang w:val="pt-PT"/>
              </w:rPr>
              <w:t> </w:t>
            </w:r>
            <w:r w:rsidRPr="00110D6C">
              <w:rPr>
                <w:rFonts w:cs="Times New Roman"/>
                <w:color w:val="auto"/>
                <w:szCs w:val="22"/>
                <w:lang w:val="pt-PT"/>
              </w:rPr>
              <w:t>7</w:t>
            </w:r>
            <w:r w:rsidR="00B910F9" w:rsidRPr="00110D6C">
              <w:rPr>
                <w:rFonts w:cs="Times New Roman"/>
                <w:color w:val="auto"/>
                <w:szCs w:val="22"/>
                <w:lang w:val="pt-PT"/>
              </w:rPr>
              <w:t>5 </w:t>
            </w:r>
            <w:r w:rsidRPr="00110D6C">
              <w:rPr>
                <w:rFonts w:cs="Times New Roman"/>
                <w:color w:val="auto"/>
                <w:szCs w:val="22"/>
                <w:lang w:val="pt-PT"/>
              </w:rPr>
              <w:t>(%)</w:t>
            </w:r>
          </w:p>
        </w:tc>
        <w:tc>
          <w:tcPr>
            <w:tcW w:w="1094" w:type="dxa"/>
            <w:tcBorders>
              <w:top w:val="single" w:sz="4" w:space="0" w:color="auto"/>
              <w:left w:val="single" w:sz="4" w:space="0" w:color="auto"/>
            </w:tcBorders>
            <w:shd w:val="clear" w:color="auto" w:fill="auto"/>
          </w:tcPr>
          <w:p w14:paraId="7AF25C9B" w14:textId="77777777" w:rsidR="0077031F" w:rsidRPr="00110D6C" w:rsidRDefault="00B910F9" w:rsidP="00DA7FFC">
            <w:pPr>
              <w:widowControl/>
              <w:jc w:val="center"/>
              <w:rPr>
                <w:rFonts w:cs="Times New Roman"/>
                <w:color w:val="auto"/>
                <w:szCs w:val="22"/>
                <w:lang w:val="pt-PT"/>
              </w:rPr>
            </w:pPr>
            <w:r w:rsidRPr="00110D6C">
              <w:rPr>
                <w:rFonts w:cs="Times New Roman"/>
                <w:color w:val="auto"/>
                <w:szCs w:val="22"/>
                <w:lang w:val="pt-PT"/>
              </w:rPr>
              <w:t>2</w:t>
            </w:r>
            <w:r w:rsidR="00DA7FFC" w:rsidRPr="00110D6C">
              <w:rPr>
                <w:rFonts w:cs="Times New Roman"/>
                <w:color w:val="auto"/>
                <w:szCs w:val="22"/>
                <w:lang w:val="pt-PT"/>
              </w:rPr>
              <w:t xml:space="preserve"> </w:t>
            </w:r>
            <w:r w:rsidR="00030085" w:rsidRPr="00110D6C">
              <w:rPr>
                <w:rFonts w:cs="Times New Roman"/>
                <w:color w:val="auto"/>
                <w:szCs w:val="22"/>
                <w:lang w:val="pt-PT"/>
              </w:rPr>
              <w:t>(2%)</w:t>
            </w:r>
          </w:p>
        </w:tc>
        <w:tc>
          <w:tcPr>
            <w:tcW w:w="1277" w:type="dxa"/>
            <w:tcBorders>
              <w:top w:val="single" w:sz="4" w:space="0" w:color="auto"/>
              <w:left w:val="single" w:sz="4" w:space="0" w:color="auto"/>
            </w:tcBorders>
            <w:shd w:val="clear" w:color="auto" w:fill="auto"/>
          </w:tcPr>
          <w:p w14:paraId="3ED797FA"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4</w:t>
            </w:r>
            <w:r w:rsidR="00B910F9" w:rsidRPr="00110D6C">
              <w:rPr>
                <w:rFonts w:cs="Times New Roman"/>
                <w:color w:val="auto"/>
                <w:szCs w:val="22"/>
                <w:lang w:val="pt-PT"/>
              </w:rPr>
              <w:t>7</w:t>
            </w:r>
            <w:r w:rsidR="00DA7FFC" w:rsidRPr="00110D6C">
              <w:rPr>
                <w:rFonts w:cs="Times New Roman"/>
                <w:color w:val="auto"/>
                <w:szCs w:val="22"/>
                <w:lang w:val="pt-PT"/>
              </w:rPr>
              <w:t xml:space="preserve"> </w:t>
            </w:r>
            <w:r w:rsidRPr="00110D6C">
              <w:rPr>
                <w:rFonts w:cs="Times New Roman"/>
                <w:color w:val="auto"/>
                <w:szCs w:val="22"/>
                <w:lang w:val="pt-PT"/>
              </w:rPr>
              <w:t>(54%)</w:t>
            </w:r>
          </w:p>
        </w:tc>
        <w:tc>
          <w:tcPr>
            <w:tcW w:w="1277" w:type="dxa"/>
            <w:tcBorders>
              <w:top w:val="single" w:sz="4" w:space="0" w:color="auto"/>
              <w:left w:val="single" w:sz="4" w:space="0" w:color="auto"/>
            </w:tcBorders>
            <w:shd w:val="clear" w:color="auto" w:fill="auto"/>
          </w:tcPr>
          <w:p w14:paraId="6FEE1A6C"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6</w:t>
            </w:r>
            <w:r w:rsidR="00B910F9" w:rsidRPr="00110D6C">
              <w:rPr>
                <w:rFonts w:cs="Times New Roman"/>
                <w:color w:val="auto"/>
                <w:szCs w:val="22"/>
                <w:lang w:val="pt-PT"/>
              </w:rPr>
              <w:t>3</w:t>
            </w:r>
            <w:r w:rsidR="00DA7FFC" w:rsidRPr="00110D6C">
              <w:rPr>
                <w:rFonts w:cs="Times New Roman"/>
                <w:color w:val="auto"/>
                <w:szCs w:val="22"/>
                <w:lang w:val="pt-PT"/>
              </w:rPr>
              <w:t xml:space="preserve"> </w:t>
            </w:r>
            <w:r w:rsidRPr="00110D6C">
              <w:rPr>
                <w:rFonts w:cs="Times New Roman"/>
                <w:color w:val="auto"/>
                <w:szCs w:val="22"/>
                <w:lang w:val="pt-PT"/>
              </w:rPr>
              <w:t>(68%)</w:t>
            </w:r>
          </w:p>
        </w:tc>
        <w:tc>
          <w:tcPr>
            <w:tcW w:w="1195" w:type="dxa"/>
            <w:tcBorders>
              <w:top w:val="single" w:sz="4" w:space="0" w:color="auto"/>
              <w:left w:val="single" w:sz="4" w:space="0" w:color="auto"/>
            </w:tcBorders>
            <w:shd w:val="clear" w:color="auto" w:fill="auto"/>
          </w:tcPr>
          <w:p w14:paraId="1C78A1D0"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4</w:t>
            </w:r>
            <w:r w:rsidR="00B910F9" w:rsidRPr="00110D6C">
              <w:rPr>
                <w:rFonts w:cs="Times New Roman"/>
                <w:color w:val="auto"/>
                <w:szCs w:val="22"/>
                <w:lang w:val="pt-PT"/>
              </w:rPr>
              <w:t>8</w:t>
            </w:r>
            <w:r w:rsidR="00DA7FFC" w:rsidRPr="00110D6C">
              <w:rPr>
                <w:rFonts w:cs="Times New Roman"/>
                <w:color w:val="auto"/>
                <w:szCs w:val="22"/>
                <w:lang w:val="pt-PT"/>
              </w:rPr>
              <w:t xml:space="preserve"> </w:t>
            </w:r>
            <w:r w:rsidRPr="00110D6C">
              <w:rPr>
                <w:rFonts w:cs="Times New Roman"/>
                <w:color w:val="auto"/>
                <w:szCs w:val="22"/>
                <w:lang w:val="pt-PT"/>
              </w:rPr>
              <w:t>(56%)</w:t>
            </w:r>
          </w:p>
        </w:tc>
        <w:tc>
          <w:tcPr>
            <w:tcW w:w="1210" w:type="dxa"/>
            <w:tcBorders>
              <w:top w:val="single" w:sz="4" w:space="0" w:color="auto"/>
              <w:left w:val="single" w:sz="4" w:space="0" w:color="auto"/>
              <w:right w:val="single" w:sz="4" w:space="0" w:color="auto"/>
            </w:tcBorders>
            <w:shd w:val="clear" w:color="auto" w:fill="auto"/>
          </w:tcPr>
          <w:p w14:paraId="5AE476B6"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6</w:t>
            </w:r>
            <w:r w:rsidR="00B910F9" w:rsidRPr="00110D6C">
              <w:rPr>
                <w:rFonts w:cs="Times New Roman"/>
                <w:color w:val="auto"/>
                <w:szCs w:val="22"/>
                <w:lang w:val="pt-PT"/>
              </w:rPr>
              <w:t>7</w:t>
            </w:r>
            <w:r w:rsidR="00DA7FFC" w:rsidRPr="00110D6C">
              <w:rPr>
                <w:rFonts w:cs="Times New Roman"/>
                <w:color w:val="auto"/>
                <w:szCs w:val="22"/>
                <w:lang w:val="pt-PT"/>
              </w:rPr>
              <w:t xml:space="preserve"> </w:t>
            </w:r>
            <w:r w:rsidRPr="00110D6C">
              <w:rPr>
                <w:rFonts w:cs="Times New Roman"/>
                <w:color w:val="auto"/>
                <w:szCs w:val="22"/>
                <w:lang w:val="pt-PT"/>
              </w:rPr>
              <w:t>(74%)</w:t>
            </w:r>
          </w:p>
        </w:tc>
      </w:tr>
      <w:tr w:rsidR="0077031F" w:rsidRPr="00110D6C" w14:paraId="507ED4FD" w14:textId="77777777" w:rsidTr="0043129A">
        <w:tc>
          <w:tcPr>
            <w:tcW w:w="3019" w:type="dxa"/>
            <w:tcBorders>
              <w:top w:val="single" w:sz="4" w:space="0" w:color="auto"/>
              <w:left w:val="single" w:sz="4" w:space="0" w:color="auto"/>
            </w:tcBorders>
            <w:shd w:val="clear" w:color="auto" w:fill="auto"/>
          </w:tcPr>
          <w:p w14:paraId="027573CE" w14:textId="77777777" w:rsidR="0077031F" w:rsidRPr="00110D6C" w:rsidRDefault="0077031F" w:rsidP="0043129A">
            <w:pPr>
              <w:widowControl/>
              <w:rPr>
                <w:rFonts w:cs="Times New Roman"/>
                <w:color w:val="auto"/>
                <w:szCs w:val="22"/>
                <w:lang w:val="pt-PT"/>
              </w:rPr>
            </w:pPr>
          </w:p>
        </w:tc>
        <w:tc>
          <w:tcPr>
            <w:tcW w:w="1094" w:type="dxa"/>
            <w:tcBorders>
              <w:top w:val="single" w:sz="4" w:space="0" w:color="auto"/>
              <w:left w:val="single" w:sz="4" w:space="0" w:color="auto"/>
            </w:tcBorders>
            <w:shd w:val="clear" w:color="auto" w:fill="auto"/>
          </w:tcPr>
          <w:p w14:paraId="6EE85FFA" w14:textId="77777777" w:rsidR="0077031F" w:rsidRPr="00110D6C" w:rsidRDefault="0077031F" w:rsidP="0043129A">
            <w:pPr>
              <w:widowControl/>
              <w:jc w:val="center"/>
              <w:rPr>
                <w:rFonts w:cs="Times New Roman"/>
                <w:color w:val="auto"/>
                <w:szCs w:val="22"/>
                <w:lang w:val="pt-PT"/>
              </w:rPr>
            </w:pPr>
          </w:p>
        </w:tc>
        <w:tc>
          <w:tcPr>
            <w:tcW w:w="1277" w:type="dxa"/>
            <w:tcBorders>
              <w:top w:val="single" w:sz="4" w:space="0" w:color="auto"/>
              <w:left w:val="single" w:sz="4" w:space="0" w:color="auto"/>
            </w:tcBorders>
            <w:shd w:val="clear" w:color="auto" w:fill="auto"/>
          </w:tcPr>
          <w:p w14:paraId="63B6F83A" w14:textId="77777777" w:rsidR="0077031F" w:rsidRPr="00110D6C" w:rsidRDefault="0077031F" w:rsidP="0043129A">
            <w:pPr>
              <w:widowControl/>
              <w:jc w:val="center"/>
              <w:rPr>
                <w:rFonts w:cs="Times New Roman"/>
                <w:color w:val="auto"/>
                <w:szCs w:val="22"/>
                <w:lang w:val="pt-PT"/>
              </w:rPr>
            </w:pPr>
          </w:p>
        </w:tc>
        <w:tc>
          <w:tcPr>
            <w:tcW w:w="1277" w:type="dxa"/>
            <w:tcBorders>
              <w:top w:val="single" w:sz="4" w:space="0" w:color="auto"/>
              <w:left w:val="single" w:sz="4" w:space="0" w:color="auto"/>
            </w:tcBorders>
            <w:shd w:val="clear" w:color="auto" w:fill="auto"/>
          </w:tcPr>
          <w:p w14:paraId="7D5DA3F4" w14:textId="77777777" w:rsidR="0077031F" w:rsidRPr="00110D6C" w:rsidRDefault="0077031F" w:rsidP="0043129A">
            <w:pPr>
              <w:widowControl/>
              <w:jc w:val="center"/>
              <w:rPr>
                <w:rFonts w:cs="Times New Roman"/>
                <w:color w:val="auto"/>
                <w:szCs w:val="22"/>
                <w:lang w:val="pt-PT"/>
              </w:rPr>
            </w:pPr>
          </w:p>
        </w:tc>
        <w:tc>
          <w:tcPr>
            <w:tcW w:w="1195" w:type="dxa"/>
            <w:tcBorders>
              <w:top w:val="single" w:sz="4" w:space="0" w:color="auto"/>
              <w:left w:val="single" w:sz="4" w:space="0" w:color="auto"/>
            </w:tcBorders>
            <w:shd w:val="clear" w:color="auto" w:fill="auto"/>
          </w:tcPr>
          <w:p w14:paraId="0C67D482" w14:textId="77777777" w:rsidR="0077031F" w:rsidRPr="00110D6C" w:rsidRDefault="0077031F" w:rsidP="0043129A">
            <w:pPr>
              <w:widowControl/>
              <w:jc w:val="center"/>
              <w:rPr>
                <w:rFonts w:cs="Times New Roman"/>
                <w:color w:val="auto"/>
                <w:szCs w:val="22"/>
                <w:lang w:val="pt-PT"/>
              </w:rPr>
            </w:pPr>
          </w:p>
        </w:tc>
        <w:tc>
          <w:tcPr>
            <w:tcW w:w="1210" w:type="dxa"/>
            <w:tcBorders>
              <w:top w:val="single" w:sz="4" w:space="0" w:color="auto"/>
              <w:left w:val="single" w:sz="4" w:space="0" w:color="auto"/>
              <w:right w:val="single" w:sz="4" w:space="0" w:color="auto"/>
            </w:tcBorders>
            <w:shd w:val="clear" w:color="auto" w:fill="auto"/>
          </w:tcPr>
          <w:p w14:paraId="0650454A" w14:textId="77777777" w:rsidR="0077031F" w:rsidRPr="00110D6C" w:rsidRDefault="0077031F" w:rsidP="0043129A">
            <w:pPr>
              <w:widowControl/>
              <w:jc w:val="center"/>
              <w:rPr>
                <w:rFonts w:cs="Times New Roman"/>
                <w:color w:val="auto"/>
                <w:szCs w:val="22"/>
                <w:lang w:val="pt-PT"/>
              </w:rPr>
            </w:pPr>
          </w:p>
        </w:tc>
      </w:tr>
      <w:tr w:rsidR="0077031F" w:rsidRPr="00110D6C" w14:paraId="17D5257E" w14:textId="77777777" w:rsidTr="0043129A">
        <w:tc>
          <w:tcPr>
            <w:tcW w:w="3019" w:type="dxa"/>
            <w:tcBorders>
              <w:top w:val="single" w:sz="4" w:space="0" w:color="auto"/>
              <w:left w:val="single" w:sz="4" w:space="0" w:color="auto"/>
            </w:tcBorders>
            <w:shd w:val="clear" w:color="auto" w:fill="auto"/>
          </w:tcPr>
          <w:p w14:paraId="2CBDD517" w14:textId="77777777" w:rsidR="0077031F" w:rsidRPr="00110D6C" w:rsidRDefault="00030085" w:rsidP="00DA7FFC">
            <w:pPr>
              <w:widowControl/>
              <w:rPr>
                <w:rFonts w:cs="Times New Roman"/>
                <w:color w:val="auto"/>
                <w:szCs w:val="22"/>
                <w:lang w:val="pt-PT"/>
              </w:rPr>
            </w:pPr>
            <w:r w:rsidRPr="00110D6C">
              <w:rPr>
                <w:rFonts w:cs="Times New Roman"/>
                <w:b/>
                <w:bCs/>
                <w:color w:val="auto"/>
                <w:szCs w:val="22"/>
                <w:lang w:val="pt-PT"/>
              </w:rPr>
              <w:lastRenderedPageBreak/>
              <w:t>Estudo da Psoríase</w:t>
            </w:r>
            <w:r w:rsidR="00DA7FFC" w:rsidRPr="00110D6C">
              <w:rPr>
                <w:rFonts w:cs="Times New Roman"/>
                <w:b/>
                <w:bCs/>
                <w:color w:val="auto"/>
                <w:szCs w:val="22"/>
                <w:lang w:val="pt-PT"/>
              </w:rPr>
              <w:t> </w:t>
            </w:r>
            <w:r w:rsidRPr="00110D6C">
              <w:rPr>
                <w:rFonts w:cs="Times New Roman"/>
                <w:b/>
                <w:bCs/>
                <w:color w:val="auto"/>
                <w:szCs w:val="22"/>
                <w:lang w:val="pt-PT"/>
              </w:rPr>
              <w:t>2</w:t>
            </w:r>
          </w:p>
        </w:tc>
        <w:tc>
          <w:tcPr>
            <w:tcW w:w="1094" w:type="dxa"/>
            <w:tcBorders>
              <w:top w:val="single" w:sz="4" w:space="0" w:color="auto"/>
              <w:left w:val="single" w:sz="4" w:space="0" w:color="auto"/>
            </w:tcBorders>
            <w:shd w:val="clear" w:color="auto" w:fill="auto"/>
          </w:tcPr>
          <w:p w14:paraId="09A48B68" w14:textId="77777777" w:rsidR="0077031F" w:rsidRPr="00110D6C" w:rsidRDefault="0077031F" w:rsidP="0043129A">
            <w:pPr>
              <w:widowControl/>
              <w:jc w:val="center"/>
              <w:rPr>
                <w:rFonts w:cs="Times New Roman"/>
                <w:color w:val="auto"/>
                <w:szCs w:val="22"/>
                <w:lang w:val="pt-PT"/>
              </w:rPr>
            </w:pPr>
          </w:p>
        </w:tc>
        <w:tc>
          <w:tcPr>
            <w:tcW w:w="1277" w:type="dxa"/>
            <w:tcBorders>
              <w:top w:val="single" w:sz="4" w:space="0" w:color="auto"/>
              <w:left w:val="single" w:sz="4" w:space="0" w:color="auto"/>
            </w:tcBorders>
            <w:shd w:val="clear" w:color="auto" w:fill="auto"/>
          </w:tcPr>
          <w:p w14:paraId="0884C32A" w14:textId="77777777" w:rsidR="0077031F" w:rsidRPr="00110D6C" w:rsidRDefault="0077031F" w:rsidP="0043129A">
            <w:pPr>
              <w:widowControl/>
              <w:jc w:val="center"/>
              <w:rPr>
                <w:rFonts w:cs="Times New Roman"/>
                <w:color w:val="auto"/>
                <w:szCs w:val="22"/>
                <w:lang w:val="pt-PT"/>
              </w:rPr>
            </w:pPr>
          </w:p>
        </w:tc>
        <w:tc>
          <w:tcPr>
            <w:tcW w:w="1277" w:type="dxa"/>
            <w:tcBorders>
              <w:top w:val="single" w:sz="4" w:space="0" w:color="auto"/>
              <w:left w:val="single" w:sz="4" w:space="0" w:color="auto"/>
            </w:tcBorders>
            <w:shd w:val="clear" w:color="auto" w:fill="auto"/>
          </w:tcPr>
          <w:p w14:paraId="683FE671" w14:textId="77777777" w:rsidR="0077031F" w:rsidRPr="00110D6C" w:rsidRDefault="0077031F" w:rsidP="0043129A">
            <w:pPr>
              <w:widowControl/>
              <w:jc w:val="center"/>
              <w:rPr>
                <w:rFonts w:cs="Times New Roman"/>
                <w:color w:val="auto"/>
                <w:szCs w:val="22"/>
                <w:lang w:val="pt-PT"/>
              </w:rPr>
            </w:pPr>
          </w:p>
        </w:tc>
        <w:tc>
          <w:tcPr>
            <w:tcW w:w="1195" w:type="dxa"/>
            <w:tcBorders>
              <w:top w:val="single" w:sz="4" w:space="0" w:color="auto"/>
              <w:left w:val="single" w:sz="4" w:space="0" w:color="auto"/>
            </w:tcBorders>
            <w:shd w:val="clear" w:color="auto" w:fill="auto"/>
          </w:tcPr>
          <w:p w14:paraId="76786220" w14:textId="77777777" w:rsidR="0077031F" w:rsidRPr="00110D6C" w:rsidRDefault="0077031F" w:rsidP="0043129A">
            <w:pPr>
              <w:widowControl/>
              <w:jc w:val="center"/>
              <w:rPr>
                <w:rFonts w:cs="Times New Roman"/>
                <w:color w:val="auto"/>
                <w:szCs w:val="22"/>
                <w:lang w:val="pt-PT"/>
              </w:rPr>
            </w:pPr>
          </w:p>
        </w:tc>
        <w:tc>
          <w:tcPr>
            <w:tcW w:w="1210" w:type="dxa"/>
            <w:tcBorders>
              <w:top w:val="single" w:sz="4" w:space="0" w:color="auto"/>
              <w:left w:val="single" w:sz="4" w:space="0" w:color="auto"/>
              <w:right w:val="single" w:sz="4" w:space="0" w:color="auto"/>
            </w:tcBorders>
            <w:shd w:val="clear" w:color="auto" w:fill="auto"/>
          </w:tcPr>
          <w:p w14:paraId="0359671B" w14:textId="77777777" w:rsidR="0077031F" w:rsidRPr="00110D6C" w:rsidRDefault="0077031F" w:rsidP="0043129A">
            <w:pPr>
              <w:widowControl/>
              <w:jc w:val="center"/>
              <w:rPr>
                <w:rFonts w:cs="Times New Roman"/>
                <w:color w:val="auto"/>
                <w:szCs w:val="22"/>
                <w:lang w:val="pt-PT"/>
              </w:rPr>
            </w:pPr>
          </w:p>
        </w:tc>
      </w:tr>
      <w:tr w:rsidR="0077031F" w:rsidRPr="00110D6C" w14:paraId="2813B10F" w14:textId="77777777" w:rsidTr="0043129A">
        <w:tc>
          <w:tcPr>
            <w:tcW w:w="3019" w:type="dxa"/>
            <w:tcBorders>
              <w:top w:val="single" w:sz="4" w:space="0" w:color="auto"/>
              <w:left w:val="single" w:sz="4" w:space="0" w:color="auto"/>
            </w:tcBorders>
            <w:shd w:val="clear" w:color="auto" w:fill="auto"/>
          </w:tcPr>
          <w:p w14:paraId="670C0C77" w14:textId="77777777" w:rsidR="0077031F" w:rsidRPr="00110D6C" w:rsidRDefault="00030085" w:rsidP="0043129A">
            <w:pPr>
              <w:widowControl/>
              <w:rPr>
                <w:rFonts w:cs="Times New Roman"/>
                <w:color w:val="auto"/>
                <w:szCs w:val="22"/>
                <w:lang w:val="pt-PT"/>
              </w:rPr>
            </w:pPr>
            <w:r w:rsidRPr="00110D6C">
              <w:rPr>
                <w:rFonts w:cs="Times New Roman"/>
                <w:color w:val="auto"/>
                <w:szCs w:val="22"/>
                <w:lang w:val="pt-PT"/>
              </w:rPr>
              <w:t>Número de doentes aleatorizados</w:t>
            </w:r>
          </w:p>
        </w:tc>
        <w:tc>
          <w:tcPr>
            <w:tcW w:w="1094" w:type="dxa"/>
            <w:tcBorders>
              <w:top w:val="single" w:sz="4" w:space="0" w:color="auto"/>
              <w:left w:val="single" w:sz="4" w:space="0" w:color="auto"/>
            </w:tcBorders>
            <w:shd w:val="clear" w:color="auto" w:fill="auto"/>
          </w:tcPr>
          <w:p w14:paraId="54472C30"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410</w:t>
            </w:r>
          </w:p>
        </w:tc>
        <w:tc>
          <w:tcPr>
            <w:tcW w:w="1277" w:type="dxa"/>
            <w:tcBorders>
              <w:top w:val="single" w:sz="4" w:space="0" w:color="auto"/>
              <w:left w:val="single" w:sz="4" w:space="0" w:color="auto"/>
            </w:tcBorders>
            <w:shd w:val="clear" w:color="auto" w:fill="auto"/>
          </w:tcPr>
          <w:p w14:paraId="49770A0C"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409</w:t>
            </w:r>
          </w:p>
        </w:tc>
        <w:tc>
          <w:tcPr>
            <w:tcW w:w="1277" w:type="dxa"/>
            <w:tcBorders>
              <w:top w:val="single" w:sz="4" w:space="0" w:color="auto"/>
              <w:left w:val="single" w:sz="4" w:space="0" w:color="auto"/>
            </w:tcBorders>
            <w:shd w:val="clear" w:color="auto" w:fill="auto"/>
          </w:tcPr>
          <w:p w14:paraId="76C95BAD"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411</w:t>
            </w:r>
          </w:p>
        </w:tc>
        <w:tc>
          <w:tcPr>
            <w:tcW w:w="1195" w:type="dxa"/>
            <w:tcBorders>
              <w:top w:val="single" w:sz="4" w:space="0" w:color="auto"/>
              <w:left w:val="single" w:sz="4" w:space="0" w:color="auto"/>
            </w:tcBorders>
            <w:shd w:val="clear" w:color="auto" w:fill="auto"/>
          </w:tcPr>
          <w:p w14:paraId="25CEFC94"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397</w:t>
            </w:r>
          </w:p>
        </w:tc>
        <w:tc>
          <w:tcPr>
            <w:tcW w:w="1210" w:type="dxa"/>
            <w:tcBorders>
              <w:top w:val="single" w:sz="4" w:space="0" w:color="auto"/>
              <w:left w:val="single" w:sz="4" w:space="0" w:color="auto"/>
              <w:right w:val="single" w:sz="4" w:space="0" w:color="auto"/>
            </w:tcBorders>
            <w:shd w:val="clear" w:color="auto" w:fill="auto"/>
          </w:tcPr>
          <w:p w14:paraId="10BC6FA4"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400</w:t>
            </w:r>
          </w:p>
        </w:tc>
      </w:tr>
      <w:tr w:rsidR="0077031F" w:rsidRPr="00110D6C" w14:paraId="78E281F2" w14:textId="77777777" w:rsidTr="0043129A">
        <w:tc>
          <w:tcPr>
            <w:tcW w:w="3019" w:type="dxa"/>
            <w:tcBorders>
              <w:top w:val="single" w:sz="4" w:space="0" w:color="auto"/>
              <w:left w:val="single" w:sz="4" w:space="0" w:color="auto"/>
            </w:tcBorders>
            <w:shd w:val="clear" w:color="auto" w:fill="auto"/>
          </w:tcPr>
          <w:p w14:paraId="167C550F" w14:textId="623746FC" w:rsidR="0077031F" w:rsidRPr="00110D6C" w:rsidRDefault="00030085" w:rsidP="0043129A">
            <w:pPr>
              <w:widowControl/>
              <w:rPr>
                <w:rFonts w:cs="Times New Roman"/>
                <w:color w:val="auto"/>
                <w:szCs w:val="22"/>
                <w:lang w:val="pt-PT"/>
              </w:rPr>
            </w:pPr>
            <w:r w:rsidRPr="00110D6C">
              <w:rPr>
                <w:rFonts w:cs="Times New Roman"/>
                <w:color w:val="auto"/>
                <w:szCs w:val="22"/>
                <w:lang w:val="pt-PT"/>
              </w:rPr>
              <w:t>N.º de respostas PASI</w:t>
            </w:r>
            <w:r w:rsidR="00D5307E">
              <w:rPr>
                <w:rFonts w:cs="Times New Roman"/>
                <w:color w:val="auto"/>
                <w:szCs w:val="22"/>
                <w:lang w:val="pt-PT"/>
              </w:rPr>
              <w:t> </w:t>
            </w:r>
            <w:r w:rsidRPr="00110D6C">
              <w:rPr>
                <w:rFonts w:cs="Times New Roman"/>
                <w:color w:val="auto"/>
                <w:szCs w:val="22"/>
                <w:lang w:val="pt-PT"/>
              </w:rPr>
              <w:t>5</w:t>
            </w:r>
            <w:r w:rsidR="00B910F9" w:rsidRPr="00110D6C">
              <w:rPr>
                <w:rFonts w:cs="Times New Roman"/>
                <w:color w:val="auto"/>
                <w:szCs w:val="22"/>
                <w:lang w:val="pt-PT"/>
              </w:rPr>
              <w:t>0 </w:t>
            </w:r>
            <w:r w:rsidRPr="00110D6C">
              <w:rPr>
                <w:rFonts w:cs="Times New Roman"/>
                <w:color w:val="auto"/>
                <w:szCs w:val="22"/>
                <w:lang w:val="pt-PT"/>
              </w:rPr>
              <w:t>(%)</w:t>
            </w:r>
          </w:p>
        </w:tc>
        <w:tc>
          <w:tcPr>
            <w:tcW w:w="1094" w:type="dxa"/>
            <w:tcBorders>
              <w:top w:val="single" w:sz="4" w:space="0" w:color="auto"/>
              <w:left w:val="single" w:sz="4" w:space="0" w:color="auto"/>
            </w:tcBorders>
            <w:shd w:val="clear" w:color="auto" w:fill="auto"/>
          </w:tcPr>
          <w:p w14:paraId="3AD7D44D"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4</w:t>
            </w:r>
            <w:r w:rsidR="00B910F9" w:rsidRPr="00110D6C">
              <w:rPr>
                <w:rFonts w:cs="Times New Roman"/>
                <w:color w:val="auto"/>
                <w:szCs w:val="22"/>
                <w:lang w:val="pt-PT"/>
              </w:rPr>
              <w:t>1</w:t>
            </w:r>
            <w:r w:rsidR="00DA7FFC" w:rsidRPr="00110D6C">
              <w:rPr>
                <w:rFonts w:cs="Times New Roman"/>
                <w:color w:val="auto"/>
                <w:szCs w:val="22"/>
                <w:lang w:val="pt-PT"/>
              </w:rPr>
              <w:t xml:space="preserve"> </w:t>
            </w:r>
            <w:r w:rsidRPr="00110D6C">
              <w:rPr>
                <w:rFonts w:cs="Times New Roman"/>
                <w:color w:val="auto"/>
                <w:szCs w:val="22"/>
                <w:lang w:val="pt-PT"/>
              </w:rPr>
              <w:t>(10%)</w:t>
            </w:r>
          </w:p>
        </w:tc>
        <w:tc>
          <w:tcPr>
            <w:tcW w:w="1277" w:type="dxa"/>
            <w:tcBorders>
              <w:top w:val="single" w:sz="4" w:space="0" w:color="auto"/>
              <w:left w:val="single" w:sz="4" w:space="0" w:color="auto"/>
            </w:tcBorders>
            <w:shd w:val="clear" w:color="auto" w:fill="auto"/>
          </w:tcPr>
          <w:p w14:paraId="04F85C20"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34</w:t>
            </w:r>
            <w:r w:rsidR="00B910F9" w:rsidRPr="00110D6C">
              <w:rPr>
                <w:rFonts w:cs="Times New Roman"/>
                <w:color w:val="auto"/>
                <w:szCs w:val="22"/>
                <w:lang w:val="pt-PT"/>
              </w:rPr>
              <w:t>2</w:t>
            </w:r>
            <w:r w:rsidR="00DA7FFC" w:rsidRPr="00110D6C">
              <w:rPr>
                <w:rFonts w:cs="Times New Roman"/>
                <w:color w:val="auto"/>
                <w:szCs w:val="22"/>
                <w:lang w:val="pt-PT"/>
              </w:rPr>
              <w:t xml:space="preserve"> </w:t>
            </w:r>
            <w:r w:rsidRPr="00110D6C">
              <w:rPr>
                <w:rFonts w:cs="Times New Roman"/>
                <w:color w:val="auto"/>
                <w:szCs w:val="22"/>
                <w:lang w:val="pt-PT"/>
              </w:rPr>
              <w:t>(84%)</w:t>
            </w:r>
            <w:r w:rsidRPr="00110D6C">
              <w:rPr>
                <w:rFonts w:cs="Times New Roman"/>
                <w:color w:val="auto"/>
                <w:szCs w:val="22"/>
                <w:vertAlign w:val="superscript"/>
                <w:lang w:val="pt-PT"/>
              </w:rPr>
              <w:t>a</w:t>
            </w:r>
          </w:p>
        </w:tc>
        <w:tc>
          <w:tcPr>
            <w:tcW w:w="1277" w:type="dxa"/>
            <w:tcBorders>
              <w:top w:val="single" w:sz="4" w:space="0" w:color="auto"/>
              <w:left w:val="single" w:sz="4" w:space="0" w:color="auto"/>
            </w:tcBorders>
            <w:shd w:val="clear" w:color="auto" w:fill="auto"/>
          </w:tcPr>
          <w:p w14:paraId="46F2FC69"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36</w:t>
            </w:r>
            <w:r w:rsidR="00B910F9" w:rsidRPr="00110D6C">
              <w:rPr>
                <w:rFonts w:cs="Times New Roman"/>
                <w:color w:val="auto"/>
                <w:szCs w:val="22"/>
                <w:lang w:val="pt-PT"/>
              </w:rPr>
              <w:t>7</w:t>
            </w:r>
            <w:r w:rsidR="00DA7FFC" w:rsidRPr="00110D6C">
              <w:rPr>
                <w:rFonts w:cs="Times New Roman"/>
                <w:color w:val="auto"/>
                <w:szCs w:val="22"/>
                <w:lang w:val="pt-PT"/>
              </w:rPr>
              <w:t xml:space="preserve"> </w:t>
            </w:r>
            <w:r w:rsidRPr="00110D6C">
              <w:rPr>
                <w:rFonts w:cs="Times New Roman"/>
                <w:color w:val="auto"/>
                <w:szCs w:val="22"/>
                <w:lang w:val="pt-PT"/>
              </w:rPr>
              <w:t>(89%)</w:t>
            </w:r>
            <w:r w:rsidRPr="00110D6C">
              <w:rPr>
                <w:rFonts w:cs="Times New Roman"/>
                <w:color w:val="auto"/>
                <w:szCs w:val="22"/>
                <w:vertAlign w:val="superscript"/>
                <w:lang w:val="pt-PT"/>
              </w:rPr>
              <w:t>a</w:t>
            </w:r>
          </w:p>
        </w:tc>
        <w:tc>
          <w:tcPr>
            <w:tcW w:w="1195" w:type="dxa"/>
            <w:tcBorders>
              <w:top w:val="single" w:sz="4" w:space="0" w:color="auto"/>
              <w:left w:val="single" w:sz="4" w:space="0" w:color="auto"/>
            </w:tcBorders>
            <w:shd w:val="clear" w:color="auto" w:fill="auto"/>
          </w:tcPr>
          <w:p w14:paraId="72CA183D"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36</w:t>
            </w:r>
            <w:r w:rsidR="00B910F9" w:rsidRPr="00110D6C">
              <w:rPr>
                <w:rFonts w:cs="Times New Roman"/>
                <w:color w:val="auto"/>
                <w:szCs w:val="22"/>
                <w:lang w:val="pt-PT"/>
              </w:rPr>
              <w:t>9</w:t>
            </w:r>
            <w:r w:rsidR="00DA7FFC" w:rsidRPr="00110D6C">
              <w:rPr>
                <w:rFonts w:cs="Times New Roman"/>
                <w:color w:val="auto"/>
                <w:szCs w:val="22"/>
                <w:lang w:val="pt-PT"/>
              </w:rPr>
              <w:t xml:space="preserve"> </w:t>
            </w:r>
            <w:r w:rsidRPr="00110D6C">
              <w:rPr>
                <w:rFonts w:cs="Times New Roman"/>
                <w:color w:val="auto"/>
                <w:szCs w:val="22"/>
                <w:lang w:val="pt-PT"/>
              </w:rPr>
              <w:t>(93%)</w:t>
            </w:r>
          </w:p>
        </w:tc>
        <w:tc>
          <w:tcPr>
            <w:tcW w:w="1210" w:type="dxa"/>
            <w:tcBorders>
              <w:top w:val="single" w:sz="4" w:space="0" w:color="auto"/>
              <w:left w:val="single" w:sz="4" w:space="0" w:color="auto"/>
              <w:right w:val="single" w:sz="4" w:space="0" w:color="auto"/>
            </w:tcBorders>
            <w:shd w:val="clear" w:color="auto" w:fill="auto"/>
          </w:tcPr>
          <w:p w14:paraId="4E10E308"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38</w:t>
            </w:r>
            <w:r w:rsidR="00B910F9" w:rsidRPr="00110D6C">
              <w:rPr>
                <w:rFonts w:cs="Times New Roman"/>
                <w:color w:val="auto"/>
                <w:szCs w:val="22"/>
                <w:lang w:val="pt-PT"/>
              </w:rPr>
              <w:t>0</w:t>
            </w:r>
            <w:r w:rsidR="00DA7FFC" w:rsidRPr="00110D6C">
              <w:rPr>
                <w:rFonts w:cs="Times New Roman"/>
                <w:color w:val="auto"/>
                <w:szCs w:val="22"/>
                <w:lang w:val="pt-PT"/>
              </w:rPr>
              <w:t xml:space="preserve"> </w:t>
            </w:r>
            <w:r w:rsidRPr="00110D6C">
              <w:rPr>
                <w:rFonts w:cs="Times New Roman"/>
                <w:color w:val="auto"/>
                <w:szCs w:val="22"/>
                <w:lang w:val="pt-PT"/>
              </w:rPr>
              <w:t>(95%)</w:t>
            </w:r>
          </w:p>
        </w:tc>
      </w:tr>
      <w:tr w:rsidR="0077031F" w:rsidRPr="00110D6C" w14:paraId="29013CBC" w14:textId="77777777" w:rsidTr="0043129A">
        <w:tc>
          <w:tcPr>
            <w:tcW w:w="3019" w:type="dxa"/>
            <w:tcBorders>
              <w:top w:val="single" w:sz="4" w:space="0" w:color="auto"/>
              <w:left w:val="single" w:sz="4" w:space="0" w:color="auto"/>
            </w:tcBorders>
            <w:shd w:val="clear" w:color="auto" w:fill="auto"/>
          </w:tcPr>
          <w:p w14:paraId="24A00B2A" w14:textId="7DAB2DC6" w:rsidR="0077031F" w:rsidRPr="00110D6C" w:rsidRDefault="00030085" w:rsidP="0043129A">
            <w:pPr>
              <w:widowControl/>
              <w:rPr>
                <w:rFonts w:cs="Times New Roman"/>
                <w:color w:val="auto"/>
                <w:szCs w:val="22"/>
                <w:lang w:val="pt-PT"/>
              </w:rPr>
            </w:pPr>
            <w:r w:rsidRPr="00110D6C">
              <w:rPr>
                <w:rFonts w:cs="Times New Roman"/>
                <w:color w:val="auto"/>
                <w:szCs w:val="22"/>
                <w:lang w:val="pt-PT"/>
              </w:rPr>
              <w:t>N.º de respostas PASI</w:t>
            </w:r>
            <w:r w:rsidR="00D5307E">
              <w:rPr>
                <w:rFonts w:cs="Times New Roman"/>
                <w:color w:val="auto"/>
                <w:szCs w:val="22"/>
                <w:lang w:val="pt-PT"/>
              </w:rPr>
              <w:t> </w:t>
            </w:r>
            <w:r w:rsidRPr="00110D6C">
              <w:rPr>
                <w:rFonts w:cs="Times New Roman"/>
                <w:color w:val="auto"/>
                <w:szCs w:val="22"/>
                <w:lang w:val="pt-PT"/>
              </w:rPr>
              <w:t>7</w:t>
            </w:r>
            <w:r w:rsidR="00B910F9" w:rsidRPr="00110D6C">
              <w:rPr>
                <w:rFonts w:cs="Times New Roman"/>
                <w:color w:val="auto"/>
                <w:szCs w:val="22"/>
                <w:lang w:val="pt-PT"/>
              </w:rPr>
              <w:t>5 </w:t>
            </w:r>
            <w:r w:rsidRPr="00110D6C">
              <w:rPr>
                <w:rFonts w:cs="Times New Roman"/>
                <w:color w:val="auto"/>
                <w:szCs w:val="22"/>
                <w:lang w:val="pt-PT"/>
              </w:rPr>
              <w:t>(%)</w:t>
            </w:r>
          </w:p>
        </w:tc>
        <w:tc>
          <w:tcPr>
            <w:tcW w:w="1094" w:type="dxa"/>
            <w:tcBorders>
              <w:top w:val="single" w:sz="4" w:space="0" w:color="auto"/>
              <w:left w:val="single" w:sz="4" w:space="0" w:color="auto"/>
            </w:tcBorders>
            <w:shd w:val="clear" w:color="auto" w:fill="auto"/>
          </w:tcPr>
          <w:p w14:paraId="2AD9139D"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1</w:t>
            </w:r>
            <w:r w:rsidR="00B910F9" w:rsidRPr="00110D6C">
              <w:rPr>
                <w:rFonts w:cs="Times New Roman"/>
                <w:color w:val="auto"/>
                <w:szCs w:val="22"/>
                <w:lang w:val="pt-PT"/>
              </w:rPr>
              <w:t>5</w:t>
            </w:r>
            <w:r w:rsidR="00DA7FFC" w:rsidRPr="00110D6C">
              <w:rPr>
                <w:rFonts w:cs="Times New Roman"/>
                <w:color w:val="auto"/>
                <w:szCs w:val="22"/>
                <w:lang w:val="pt-PT"/>
              </w:rPr>
              <w:t xml:space="preserve"> </w:t>
            </w:r>
            <w:r w:rsidRPr="00110D6C">
              <w:rPr>
                <w:rFonts w:cs="Times New Roman"/>
                <w:color w:val="auto"/>
                <w:szCs w:val="22"/>
                <w:lang w:val="pt-PT"/>
              </w:rPr>
              <w:t>(4%)</w:t>
            </w:r>
          </w:p>
        </w:tc>
        <w:tc>
          <w:tcPr>
            <w:tcW w:w="1277" w:type="dxa"/>
            <w:tcBorders>
              <w:top w:val="single" w:sz="4" w:space="0" w:color="auto"/>
              <w:left w:val="single" w:sz="4" w:space="0" w:color="auto"/>
            </w:tcBorders>
            <w:shd w:val="clear" w:color="auto" w:fill="auto"/>
          </w:tcPr>
          <w:p w14:paraId="64D24134"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27</w:t>
            </w:r>
            <w:r w:rsidR="00B910F9" w:rsidRPr="00110D6C">
              <w:rPr>
                <w:rFonts w:cs="Times New Roman"/>
                <w:color w:val="auto"/>
                <w:szCs w:val="22"/>
                <w:lang w:val="pt-PT"/>
              </w:rPr>
              <w:t>3</w:t>
            </w:r>
            <w:r w:rsidR="00DA7FFC" w:rsidRPr="00110D6C">
              <w:rPr>
                <w:rFonts w:cs="Times New Roman"/>
                <w:color w:val="auto"/>
                <w:szCs w:val="22"/>
                <w:lang w:val="pt-PT"/>
              </w:rPr>
              <w:t xml:space="preserve"> </w:t>
            </w:r>
            <w:r w:rsidRPr="00110D6C">
              <w:rPr>
                <w:rFonts w:cs="Times New Roman"/>
                <w:color w:val="auto"/>
                <w:szCs w:val="22"/>
                <w:lang w:val="pt-PT"/>
              </w:rPr>
              <w:t>(67%)</w:t>
            </w:r>
            <w:r w:rsidRPr="00110D6C">
              <w:rPr>
                <w:rFonts w:cs="Times New Roman"/>
                <w:color w:val="auto"/>
                <w:szCs w:val="22"/>
                <w:vertAlign w:val="superscript"/>
                <w:lang w:val="pt-PT"/>
              </w:rPr>
              <w:t>a</w:t>
            </w:r>
          </w:p>
        </w:tc>
        <w:tc>
          <w:tcPr>
            <w:tcW w:w="1277" w:type="dxa"/>
            <w:tcBorders>
              <w:top w:val="single" w:sz="4" w:space="0" w:color="auto"/>
              <w:left w:val="single" w:sz="4" w:space="0" w:color="auto"/>
            </w:tcBorders>
            <w:shd w:val="clear" w:color="auto" w:fill="auto"/>
          </w:tcPr>
          <w:p w14:paraId="711C598E"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31</w:t>
            </w:r>
            <w:r w:rsidR="00B910F9" w:rsidRPr="00110D6C">
              <w:rPr>
                <w:rFonts w:cs="Times New Roman"/>
                <w:color w:val="auto"/>
                <w:szCs w:val="22"/>
                <w:lang w:val="pt-PT"/>
              </w:rPr>
              <w:t>1</w:t>
            </w:r>
            <w:r w:rsidR="00DA7FFC" w:rsidRPr="00110D6C">
              <w:rPr>
                <w:rFonts w:cs="Times New Roman"/>
                <w:color w:val="auto"/>
                <w:szCs w:val="22"/>
                <w:lang w:val="pt-PT"/>
              </w:rPr>
              <w:t xml:space="preserve"> </w:t>
            </w:r>
            <w:r w:rsidRPr="00110D6C">
              <w:rPr>
                <w:rFonts w:cs="Times New Roman"/>
                <w:color w:val="auto"/>
                <w:szCs w:val="22"/>
                <w:lang w:val="pt-PT"/>
              </w:rPr>
              <w:t>(76%)</w:t>
            </w:r>
            <w:r w:rsidRPr="00110D6C">
              <w:rPr>
                <w:rFonts w:cs="Times New Roman"/>
                <w:color w:val="auto"/>
                <w:szCs w:val="22"/>
                <w:vertAlign w:val="superscript"/>
                <w:lang w:val="pt-PT"/>
              </w:rPr>
              <w:t>a</w:t>
            </w:r>
          </w:p>
        </w:tc>
        <w:tc>
          <w:tcPr>
            <w:tcW w:w="1195" w:type="dxa"/>
            <w:tcBorders>
              <w:top w:val="single" w:sz="4" w:space="0" w:color="auto"/>
              <w:left w:val="single" w:sz="4" w:space="0" w:color="auto"/>
            </w:tcBorders>
            <w:shd w:val="clear" w:color="auto" w:fill="auto"/>
          </w:tcPr>
          <w:p w14:paraId="67A48B7A"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27</w:t>
            </w:r>
            <w:r w:rsidR="00B910F9" w:rsidRPr="00110D6C">
              <w:rPr>
                <w:rFonts w:cs="Times New Roman"/>
                <w:color w:val="auto"/>
                <w:szCs w:val="22"/>
                <w:lang w:val="pt-PT"/>
              </w:rPr>
              <w:t>6</w:t>
            </w:r>
            <w:r w:rsidR="00DA7FFC" w:rsidRPr="00110D6C">
              <w:rPr>
                <w:rFonts w:cs="Times New Roman"/>
                <w:color w:val="auto"/>
                <w:szCs w:val="22"/>
                <w:lang w:val="pt-PT"/>
              </w:rPr>
              <w:t xml:space="preserve"> </w:t>
            </w:r>
            <w:r w:rsidRPr="00110D6C">
              <w:rPr>
                <w:rFonts w:cs="Times New Roman"/>
                <w:color w:val="auto"/>
                <w:szCs w:val="22"/>
                <w:lang w:val="pt-PT"/>
              </w:rPr>
              <w:t>(70%)</w:t>
            </w:r>
          </w:p>
        </w:tc>
        <w:tc>
          <w:tcPr>
            <w:tcW w:w="1210" w:type="dxa"/>
            <w:tcBorders>
              <w:top w:val="single" w:sz="4" w:space="0" w:color="auto"/>
              <w:left w:val="single" w:sz="4" w:space="0" w:color="auto"/>
              <w:right w:val="single" w:sz="4" w:space="0" w:color="auto"/>
            </w:tcBorders>
            <w:shd w:val="clear" w:color="auto" w:fill="auto"/>
          </w:tcPr>
          <w:p w14:paraId="2E87C0EE"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31</w:t>
            </w:r>
            <w:r w:rsidR="00B910F9" w:rsidRPr="00110D6C">
              <w:rPr>
                <w:rFonts w:cs="Times New Roman"/>
                <w:color w:val="auto"/>
                <w:szCs w:val="22"/>
                <w:lang w:val="pt-PT"/>
              </w:rPr>
              <w:t>4</w:t>
            </w:r>
            <w:r w:rsidR="00DA7FFC" w:rsidRPr="00110D6C">
              <w:rPr>
                <w:rFonts w:cs="Times New Roman"/>
                <w:color w:val="auto"/>
                <w:szCs w:val="22"/>
                <w:lang w:val="pt-PT"/>
              </w:rPr>
              <w:t xml:space="preserve"> </w:t>
            </w:r>
            <w:r w:rsidRPr="00110D6C">
              <w:rPr>
                <w:rFonts w:cs="Times New Roman"/>
                <w:color w:val="auto"/>
                <w:szCs w:val="22"/>
                <w:lang w:val="pt-PT"/>
              </w:rPr>
              <w:t>(79%)</w:t>
            </w:r>
          </w:p>
        </w:tc>
      </w:tr>
      <w:tr w:rsidR="0077031F" w:rsidRPr="00110D6C" w14:paraId="7CBBA1B0" w14:textId="77777777" w:rsidTr="0043129A">
        <w:tc>
          <w:tcPr>
            <w:tcW w:w="3019" w:type="dxa"/>
            <w:tcBorders>
              <w:top w:val="single" w:sz="4" w:space="0" w:color="auto"/>
              <w:left w:val="single" w:sz="4" w:space="0" w:color="auto"/>
            </w:tcBorders>
            <w:shd w:val="clear" w:color="auto" w:fill="auto"/>
          </w:tcPr>
          <w:p w14:paraId="2F83BCB5" w14:textId="2B080B47" w:rsidR="0077031F" w:rsidRPr="00110D6C" w:rsidRDefault="00030085" w:rsidP="0043129A">
            <w:pPr>
              <w:widowControl/>
              <w:rPr>
                <w:rFonts w:cs="Times New Roman"/>
                <w:color w:val="auto"/>
                <w:szCs w:val="22"/>
                <w:lang w:val="pt-PT"/>
              </w:rPr>
            </w:pPr>
            <w:r w:rsidRPr="00110D6C">
              <w:rPr>
                <w:rFonts w:cs="Times New Roman"/>
                <w:color w:val="auto"/>
                <w:szCs w:val="22"/>
                <w:lang w:val="pt-PT"/>
              </w:rPr>
              <w:t>N.º de respostas PASI</w:t>
            </w:r>
            <w:r w:rsidR="00D5307E">
              <w:rPr>
                <w:rFonts w:cs="Times New Roman"/>
                <w:color w:val="auto"/>
                <w:szCs w:val="22"/>
                <w:lang w:val="pt-PT"/>
              </w:rPr>
              <w:t> </w:t>
            </w:r>
            <w:r w:rsidRPr="00110D6C">
              <w:rPr>
                <w:rFonts w:cs="Times New Roman"/>
                <w:color w:val="auto"/>
                <w:szCs w:val="22"/>
                <w:lang w:val="pt-PT"/>
              </w:rPr>
              <w:t>9</w:t>
            </w:r>
            <w:r w:rsidR="00B910F9" w:rsidRPr="00110D6C">
              <w:rPr>
                <w:rFonts w:cs="Times New Roman"/>
                <w:color w:val="auto"/>
                <w:szCs w:val="22"/>
                <w:lang w:val="pt-PT"/>
              </w:rPr>
              <w:t>0 </w:t>
            </w:r>
            <w:r w:rsidRPr="00110D6C">
              <w:rPr>
                <w:rFonts w:cs="Times New Roman"/>
                <w:color w:val="auto"/>
                <w:szCs w:val="22"/>
                <w:lang w:val="pt-PT"/>
              </w:rPr>
              <w:t>(%)</w:t>
            </w:r>
          </w:p>
        </w:tc>
        <w:tc>
          <w:tcPr>
            <w:tcW w:w="1094" w:type="dxa"/>
            <w:tcBorders>
              <w:top w:val="single" w:sz="4" w:space="0" w:color="auto"/>
              <w:left w:val="single" w:sz="4" w:space="0" w:color="auto"/>
            </w:tcBorders>
            <w:shd w:val="clear" w:color="auto" w:fill="auto"/>
          </w:tcPr>
          <w:p w14:paraId="6BEB3F5F" w14:textId="77777777" w:rsidR="0077031F" w:rsidRPr="00110D6C" w:rsidRDefault="00B910F9" w:rsidP="00DA7FFC">
            <w:pPr>
              <w:widowControl/>
              <w:jc w:val="center"/>
              <w:rPr>
                <w:rFonts w:cs="Times New Roman"/>
                <w:color w:val="auto"/>
                <w:szCs w:val="22"/>
                <w:lang w:val="pt-PT"/>
              </w:rPr>
            </w:pPr>
            <w:r w:rsidRPr="00110D6C">
              <w:rPr>
                <w:rFonts w:cs="Times New Roman"/>
                <w:color w:val="auto"/>
                <w:szCs w:val="22"/>
                <w:lang w:val="pt-PT"/>
              </w:rPr>
              <w:t>3</w:t>
            </w:r>
            <w:r w:rsidR="00DA7FFC" w:rsidRPr="00110D6C">
              <w:rPr>
                <w:rFonts w:cs="Times New Roman"/>
                <w:color w:val="auto"/>
                <w:szCs w:val="22"/>
                <w:lang w:val="pt-PT"/>
              </w:rPr>
              <w:t xml:space="preserve"> </w:t>
            </w:r>
            <w:r w:rsidR="00030085" w:rsidRPr="00110D6C">
              <w:rPr>
                <w:rFonts w:cs="Times New Roman"/>
                <w:color w:val="auto"/>
                <w:szCs w:val="22"/>
                <w:lang w:val="pt-PT"/>
              </w:rPr>
              <w:t>(1%)</w:t>
            </w:r>
          </w:p>
        </w:tc>
        <w:tc>
          <w:tcPr>
            <w:tcW w:w="1277" w:type="dxa"/>
            <w:tcBorders>
              <w:top w:val="single" w:sz="4" w:space="0" w:color="auto"/>
              <w:left w:val="single" w:sz="4" w:space="0" w:color="auto"/>
            </w:tcBorders>
            <w:shd w:val="clear" w:color="auto" w:fill="auto"/>
          </w:tcPr>
          <w:p w14:paraId="3AEB14A0"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17</w:t>
            </w:r>
            <w:r w:rsidR="00B910F9" w:rsidRPr="00110D6C">
              <w:rPr>
                <w:rFonts w:cs="Times New Roman"/>
                <w:color w:val="auto"/>
                <w:szCs w:val="22"/>
                <w:lang w:val="pt-PT"/>
              </w:rPr>
              <w:t>3</w:t>
            </w:r>
            <w:r w:rsidR="00DA7FFC" w:rsidRPr="00110D6C">
              <w:rPr>
                <w:rFonts w:cs="Times New Roman"/>
                <w:color w:val="auto"/>
                <w:szCs w:val="22"/>
                <w:lang w:val="pt-PT"/>
              </w:rPr>
              <w:t xml:space="preserve"> </w:t>
            </w:r>
            <w:r w:rsidRPr="00110D6C">
              <w:rPr>
                <w:rFonts w:cs="Times New Roman"/>
                <w:color w:val="auto"/>
                <w:szCs w:val="22"/>
                <w:lang w:val="pt-PT"/>
              </w:rPr>
              <w:t>(42%)</w:t>
            </w:r>
            <w:r w:rsidRPr="00110D6C">
              <w:rPr>
                <w:rFonts w:cs="Times New Roman"/>
                <w:color w:val="auto"/>
                <w:szCs w:val="22"/>
                <w:vertAlign w:val="superscript"/>
                <w:lang w:val="pt-PT"/>
              </w:rPr>
              <w:t>a</w:t>
            </w:r>
          </w:p>
        </w:tc>
        <w:tc>
          <w:tcPr>
            <w:tcW w:w="1277" w:type="dxa"/>
            <w:tcBorders>
              <w:top w:val="single" w:sz="4" w:space="0" w:color="auto"/>
              <w:left w:val="single" w:sz="4" w:space="0" w:color="auto"/>
            </w:tcBorders>
            <w:shd w:val="clear" w:color="auto" w:fill="auto"/>
          </w:tcPr>
          <w:p w14:paraId="6783145E"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20</w:t>
            </w:r>
            <w:r w:rsidR="00B910F9" w:rsidRPr="00110D6C">
              <w:rPr>
                <w:rFonts w:cs="Times New Roman"/>
                <w:color w:val="auto"/>
                <w:szCs w:val="22"/>
                <w:lang w:val="pt-PT"/>
              </w:rPr>
              <w:t>9</w:t>
            </w:r>
            <w:r w:rsidR="00DA7FFC" w:rsidRPr="00110D6C">
              <w:rPr>
                <w:rFonts w:cs="Times New Roman"/>
                <w:color w:val="auto"/>
                <w:szCs w:val="22"/>
                <w:lang w:val="pt-PT"/>
              </w:rPr>
              <w:t xml:space="preserve"> </w:t>
            </w:r>
            <w:r w:rsidRPr="00110D6C">
              <w:rPr>
                <w:rFonts w:cs="Times New Roman"/>
                <w:color w:val="auto"/>
                <w:szCs w:val="22"/>
                <w:lang w:val="pt-PT"/>
              </w:rPr>
              <w:t>(51%)</w:t>
            </w:r>
            <w:r w:rsidRPr="00110D6C">
              <w:rPr>
                <w:rFonts w:cs="Times New Roman"/>
                <w:color w:val="auto"/>
                <w:szCs w:val="22"/>
                <w:vertAlign w:val="superscript"/>
                <w:lang w:val="pt-PT"/>
              </w:rPr>
              <w:t>a</w:t>
            </w:r>
          </w:p>
        </w:tc>
        <w:tc>
          <w:tcPr>
            <w:tcW w:w="1195" w:type="dxa"/>
            <w:tcBorders>
              <w:top w:val="single" w:sz="4" w:space="0" w:color="auto"/>
              <w:left w:val="single" w:sz="4" w:space="0" w:color="auto"/>
            </w:tcBorders>
            <w:shd w:val="clear" w:color="auto" w:fill="auto"/>
          </w:tcPr>
          <w:p w14:paraId="2AB1369D"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17</w:t>
            </w:r>
            <w:r w:rsidR="00B910F9" w:rsidRPr="00110D6C">
              <w:rPr>
                <w:rFonts w:cs="Times New Roman"/>
                <w:color w:val="auto"/>
                <w:szCs w:val="22"/>
                <w:lang w:val="pt-PT"/>
              </w:rPr>
              <w:t>8</w:t>
            </w:r>
            <w:r w:rsidR="00DA7FFC" w:rsidRPr="00110D6C">
              <w:rPr>
                <w:rFonts w:cs="Times New Roman"/>
                <w:color w:val="auto"/>
                <w:szCs w:val="22"/>
                <w:lang w:val="pt-PT"/>
              </w:rPr>
              <w:t xml:space="preserve"> </w:t>
            </w:r>
            <w:r w:rsidRPr="00110D6C">
              <w:rPr>
                <w:rFonts w:cs="Times New Roman"/>
                <w:color w:val="auto"/>
                <w:szCs w:val="22"/>
                <w:lang w:val="pt-PT"/>
              </w:rPr>
              <w:t>(45%)</w:t>
            </w:r>
          </w:p>
        </w:tc>
        <w:tc>
          <w:tcPr>
            <w:tcW w:w="1210" w:type="dxa"/>
            <w:tcBorders>
              <w:top w:val="single" w:sz="4" w:space="0" w:color="auto"/>
              <w:left w:val="single" w:sz="4" w:space="0" w:color="auto"/>
              <w:right w:val="single" w:sz="4" w:space="0" w:color="auto"/>
            </w:tcBorders>
            <w:shd w:val="clear" w:color="auto" w:fill="auto"/>
          </w:tcPr>
          <w:p w14:paraId="6B88DE0E"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21</w:t>
            </w:r>
            <w:r w:rsidR="00B910F9" w:rsidRPr="00110D6C">
              <w:rPr>
                <w:rFonts w:cs="Times New Roman"/>
                <w:color w:val="auto"/>
                <w:szCs w:val="22"/>
                <w:lang w:val="pt-PT"/>
              </w:rPr>
              <w:t>7</w:t>
            </w:r>
            <w:r w:rsidR="00DA7FFC" w:rsidRPr="00110D6C">
              <w:rPr>
                <w:rFonts w:cs="Times New Roman"/>
                <w:color w:val="auto"/>
                <w:szCs w:val="22"/>
                <w:lang w:val="pt-PT"/>
              </w:rPr>
              <w:t xml:space="preserve"> </w:t>
            </w:r>
            <w:r w:rsidRPr="00110D6C">
              <w:rPr>
                <w:rFonts w:cs="Times New Roman"/>
                <w:color w:val="auto"/>
                <w:szCs w:val="22"/>
                <w:lang w:val="pt-PT"/>
              </w:rPr>
              <w:t>(54%)</w:t>
            </w:r>
          </w:p>
        </w:tc>
      </w:tr>
      <w:tr w:rsidR="0077031F" w:rsidRPr="00110D6C" w14:paraId="69DB90A5" w14:textId="77777777" w:rsidTr="0043129A">
        <w:tc>
          <w:tcPr>
            <w:tcW w:w="3019" w:type="dxa"/>
            <w:tcBorders>
              <w:top w:val="single" w:sz="4" w:space="0" w:color="auto"/>
              <w:left w:val="single" w:sz="4" w:space="0" w:color="auto"/>
            </w:tcBorders>
            <w:shd w:val="clear" w:color="auto" w:fill="auto"/>
          </w:tcPr>
          <w:p w14:paraId="4536DEA3" w14:textId="77777777" w:rsidR="0077031F" w:rsidRPr="00110D6C" w:rsidRDefault="00030085" w:rsidP="0043129A">
            <w:pPr>
              <w:widowControl/>
              <w:rPr>
                <w:rFonts w:cs="Times New Roman"/>
                <w:color w:val="auto"/>
                <w:szCs w:val="22"/>
                <w:lang w:val="pt-PT"/>
              </w:rPr>
            </w:pPr>
            <w:r w:rsidRPr="00110D6C">
              <w:rPr>
                <w:rFonts w:cs="Times New Roman"/>
                <w:color w:val="auto"/>
                <w:szCs w:val="22"/>
                <w:lang w:val="pt-PT"/>
              </w:rPr>
              <w:t>N.º de PGA</w:t>
            </w:r>
            <w:r w:rsidRPr="00110D6C">
              <w:rPr>
                <w:rFonts w:cs="Times New Roman"/>
                <w:color w:val="auto"/>
                <w:szCs w:val="22"/>
                <w:vertAlign w:val="superscript"/>
                <w:lang w:val="pt-PT"/>
              </w:rPr>
              <w:t>b</w:t>
            </w:r>
            <w:r w:rsidRPr="00110D6C">
              <w:rPr>
                <w:rFonts w:cs="Times New Roman"/>
                <w:color w:val="auto"/>
                <w:szCs w:val="22"/>
                <w:lang w:val="pt-PT"/>
              </w:rPr>
              <w:t xml:space="preserve"> (%) mínima ou ausente</w:t>
            </w:r>
          </w:p>
        </w:tc>
        <w:tc>
          <w:tcPr>
            <w:tcW w:w="1094" w:type="dxa"/>
            <w:tcBorders>
              <w:top w:val="single" w:sz="4" w:space="0" w:color="auto"/>
              <w:left w:val="single" w:sz="4" w:space="0" w:color="auto"/>
            </w:tcBorders>
            <w:shd w:val="clear" w:color="auto" w:fill="auto"/>
          </w:tcPr>
          <w:p w14:paraId="6507FD3D"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18</w:t>
            </w:r>
            <w:r w:rsidR="00DA7FFC" w:rsidRPr="00110D6C">
              <w:rPr>
                <w:rFonts w:cs="Times New Roman"/>
                <w:color w:val="auto"/>
                <w:szCs w:val="22"/>
                <w:lang w:val="pt-PT"/>
              </w:rPr>
              <w:t xml:space="preserve"> </w:t>
            </w:r>
            <w:r w:rsidRPr="00110D6C">
              <w:rPr>
                <w:rFonts w:cs="Times New Roman"/>
                <w:color w:val="auto"/>
                <w:szCs w:val="22"/>
                <w:lang w:val="pt-PT"/>
              </w:rPr>
              <w:t>(4%)</w:t>
            </w:r>
          </w:p>
        </w:tc>
        <w:tc>
          <w:tcPr>
            <w:tcW w:w="1277" w:type="dxa"/>
            <w:tcBorders>
              <w:top w:val="single" w:sz="4" w:space="0" w:color="auto"/>
              <w:left w:val="single" w:sz="4" w:space="0" w:color="auto"/>
            </w:tcBorders>
            <w:shd w:val="clear" w:color="auto" w:fill="auto"/>
          </w:tcPr>
          <w:p w14:paraId="7E8AE7D2"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27</w:t>
            </w:r>
            <w:r w:rsidR="00B910F9" w:rsidRPr="00110D6C">
              <w:rPr>
                <w:rFonts w:cs="Times New Roman"/>
                <w:color w:val="auto"/>
                <w:szCs w:val="22"/>
                <w:lang w:val="pt-PT"/>
              </w:rPr>
              <w:t>7</w:t>
            </w:r>
            <w:r w:rsidR="00DA7FFC" w:rsidRPr="00110D6C">
              <w:rPr>
                <w:rFonts w:cs="Times New Roman"/>
                <w:color w:val="auto"/>
                <w:szCs w:val="22"/>
                <w:lang w:val="pt-PT"/>
              </w:rPr>
              <w:t xml:space="preserve"> </w:t>
            </w:r>
            <w:r w:rsidRPr="00110D6C">
              <w:rPr>
                <w:rFonts w:cs="Times New Roman"/>
                <w:color w:val="auto"/>
                <w:szCs w:val="22"/>
                <w:lang w:val="pt-PT"/>
              </w:rPr>
              <w:t>(68%)</w:t>
            </w:r>
            <w:r w:rsidRPr="00110D6C">
              <w:rPr>
                <w:rFonts w:cs="Times New Roman"/>
                <w:color w:val="auto"/>
                <w:szCs w:val="22"/>
                <w:vertAlign w:val="superscript"/>
                <w:lang w:val="pt-PT"/>
              </w:rPr>
              <w:t>a</w:t>
            </w:r>
          </w:p>
        </w:tc>
        <w:tc>
          <w:tcPr>
            <w:tcW w:w="1277" w:type="dxa"/>
            <w:tcBorders>
              <w:top w:val="single" w:sz="4" w:space="0" w:color="auto"/>
              <w:left w:val="single" w:sz="4" w:space="0" w:color="auto"/>
            </w:tcBorders>
            <w:shd w:val="clear" w:color="auto" w:fill="auto"/>
          </w:tcPr>
          <w:p w14:paraId="31EC5B40"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30</w:t>
            </w:r>
            <w:r w:rsidR="00B910F9" w:rsidRPr="00110D6C">
              <w:rPr>
                <w:rFonts w:cs="Times New Roman"/>
                <w:color w:val="auto"/>
                <w:szCs w:val="22"/>
                <w:lang w:val="pt-PT"/>
              </w:rPr>
              <w:t>0</w:t>
            </w:r>
            <w:r w:rsidR="00DA7FFC" w:rsidRPr="00110D6C">
              <w:rPr>
                <w:rFonts w:cs="Times New Roman"/>
                <w:color w:val="auto"/>
                <w:szCs w:val="22"/>
                <w:lang w:val="pt-PT"/>
              </w:rPr>
              <w:t xml:space="preserve"> </w:t>
            </w:r>
            <w:r w:rsidRPr="00110D6C">
              <w:rPr>
                <w:rFonts w:cs="Times New Roman"/>
                <w:color w:val="auto"/>
                <w:szCs w:val="22"/>
                <w:lang w:val="pt-PT"/>
              </w:rPr>
              <w:t>(73%)</w:t>
            </w:r>
            <w:r w:rsidRPr="00110D6C">
              <w:rPr>
                <w:rFonts w:cs="Times New Roman"/>
                <w:color w:val="auto"/>
                <w:szCs w:val="22"/>
                <w:vertAlign w:val="superscript"/>
                <w:lang w:val="pt-PT"/>
              </w:rPr>
              <w:t>a</w:t>
            </w:r>
          </w:p>
        </w:tc>
        <w:tc>
          <w:tcPr>
            <w:tcW w:w="1195" w:type="dxa"/>
            <w:tcBorders>
              <w:top w:val="single" w:sz="4" w:space="0" w:color="auto"/>
              <w:left w:val="single" w:sz="4" w:space="0" w:color="auto"/>
            </w:tcBorders>
            <w:shd w:val="clear" w:color="auto" w:fill="auto"/>
          </w:tcPr>
          <w:p w14:paraId="537578BF"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24</w:t>
            </w:r>
            <w:r w:rsidR="00B910F9" w:rsidRPr="00110D6C">
              <w:rPr>
                <w:rFonts w:cs="Times New Roman"/>
                <w:color w:val="auto"/>
                <w:szCs w:val="22"/>
                <w:lang w:val="pt-PT"/>
              </w:rPr>
              <w:t>1</w:t>
            </w:r>
            <w:r w:rsidR="00DA7FFC" w:rsidRPr="00110D6C">
              <w:rPr>
                <w:rFonts w:cs="Times New Roman"/>
                <w:color w:val="auto"/>
                <w:szCs w:val="22"/>
                <w:lang w:val="pt-PT"/>
              </w:rPr>
              <w:t xml:space="preserve"> </w:t>
            </w:r>
            <w:r w:rsidRPr="00110D6C">
              <w:rPr>
                <w:rFonts w:cs="Times New Roman"/>
                <w:color w:val="auto"/>
                <w:szCs w:val="22"/>
                <w:lang w:val="pt-PT"/>
              </w:rPr>
              <w:t>(61%)</w:t>
            </w:r>
          </w:p>
        </w:tc>
        <w:tc>
          <w:tcPr>
            <w:tcW w:w="1210" w:type="dxa"/>
            <w:tcBorders>
              <w:top w:val="single" w:sz="4" w:space="0" w:color="auto"/>
              <w:left w:val="single" w:sz="4" w:space="0" w:color="auto"/>
              <w:right w:val="single" w:sz="4" w:space="0" w:color="auto"/>
            </w:tcBorders>
            <w:shd w:val="clear" w:color="auto" w:fill="auto"/>
          </w:tcPr>
          <w:p w14:paraId="5CA610B3"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27</w:t>
            </w:r>
            <w:r w:rsidR="00B910F9" w:rsidRPr="00110D6C">
              <w:rPr>
                <w:rFonts w:cs="Times New Roman"/>
                <w:color w:val="auto"/>
                <w:szCs w:val="22"/>
                <w:lang w:val="pt-PT"/>
              </w:rPr>
              <w:t>9</w:t>
            </w:r>
            <w:r w:rsidR="00DA7FFC" w:rsidRPr="00110D6C">
              <w:rPr>
                <w:rFonts w:cs="Times New Roman"/>
                <w:color w:val="auto"/>
                <w:szCs w:val="22"/>
                <w:lang w:val="pt-PT"/>
              </w:rPr>
              <w:t xml:space="preserve"> </w:t>
            </w:r>
            <w:r w:rsidRPr="00110D6C">
              <w:rPr>
                <w:rFonts w:cs="Times New Roman"/>
                <w:color w:val="auto"/>
                <w:szCs w:val="22"/>
                <w:lang w:val="pt-PT"/>
              </w:rPr>
              <w:t>(70%)</w:t>
            </w:r>
          </w:p>
        </w:tc>
      </w:tr>
      <w:tr w:rsidR="0077031F" w:rsidRPr="00110D6C" w14:paraId="29A44165" w14:textId="77777777" w:rsidTr="0043129A">
        <w:tc>
          <w:tcPr>
            <w:tcW w:w="3019" w:type="dxa"/>
            <w:tcBorders>
              <w:top w:val="single" w:sz="4" w:space="0" w:color="auto"/>
              <w:left w:val="single" w:sz="4" w:space="0" w:color="auto"/>
            </w:tcBorders>
            <w:shd w:val="clear" w:color="auto" w:fill="auto"/>
          </w:tcPr>
          <w:p w14:paraId="2749002E" w14:textId="77777777" w:rsidR="0077031F" w:rsidRPr="00110D6C" w:rsidRDefault="00030085" w:rsidP="00F5387C">
            <w:pPr>
              <w:widowControl/>
              <w:rPr>
                <w:rFonts w:cs="Times New Roman"/>
                <w:color w:val="auto"/>
                <w:szCs w:val="22"/>
                <w:lang w:val="pt-PT"/>
              </w:rPr>
            </w:pPr>
            <w:r w:rsidRPr="00110D6C">
              <w:rPr>
                <w:rFonts w:cs="Times New Roman"/>
                <w:color w:val="auto"/>
                <w:szCs w:val="22"/>
                <w:lang w:val="pt-PT"/>
              </w:rPr>
              <w:t>Número de doentes ≤</w:t>
            </w:r>
            <w:r w:rsidR="00F5387C" w:rsidRPr="00110D6C">
              <w:rPr>
                <w:rFonts w:cs="Times New Roman"/>
                <w:color w:val="auto"/>
                <w:szCs w:val="22"/>
                <w:lang w:val="pt-PT"/>
              </w:rPr>
              <w:t> </w:t>
            </w:r>
            <w:r w:rsidRPr="00110D6C">
              <w:rPr>
                <w:rFonts w:cs="Times New Roman"/>
                <w:color w:val="auto"/>
                <w:szCs w:val="22"/>
                <w:lang w:val="pt-PT"/>
              </w:rPr>
              <w:t>10</w:t>
            </w:r>
            <w:r w:rsidR="00B910F9" w:rsidRPr="00110D6C">
              <w:rPr>
                <w:rFonts w:cs="Times New Roman"/>
                <w:color w:val="auto"/>
                <w:szCs w:val="22"/>
                <w:lang w:val="pt-PT"/>
              </w:rPr>
              <w:t>0 </w:t>
            </w:r>
            <w:r w:rsidRPr="00110D6C">
              <w:rPr>
                <w:rFonts w:cs="Times New Roman"/>
                <w:color w:val="auto"/>
                <w:szCs w:val="22"/>
                <w:lang w:val="pt-PT"/>
              </w:rPr>
              <w:t>kg</w:t>
            </w:r>
          </w:p>
        </w:tc>
        <w:tc>
          <w:tcPr>
            <w:tcW w:w="1094" w:type="dxa"/>
            <w:tcBorders>
              <w:top w:val="single" w:sz="4" w:space="0" w:color="auto"/>
              <w:left w:val="single" w:sz="4" w:space="0" w:color="auto"/>
            </w:tcBorders>
            <w:shd w:val="clear" w:color="auto" w:fill="auto"/>
          </w:tcPr>
          <w:p w14:paraId="3698B051"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290</w:t>
            </w:r>
          </w:p>
        </w:tc>
        <w:tc>
          <w:tcPr>
            <w:tcW w:w="1277" w:type="dxa"/>
            <w:tcBorders>
              <w:top w:val="single" w:sz="4" w:space="0" w:color="auto"/>
              <w:left w:val="single" w:sz="4" w:space="0" w:color="auto"/>
            </w:tcBorders>
            <w:shd w:val="clear" w:color="auto" w:fill="auto"/>
          </w:tcPr>
          <w:p w14:paraId="1AB0D178"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297</w:t>
            </w:r>
          </w:p>
        </w:tc>
        <w:tc>
          <w:tcPr>
            <w:tcW w:w="1277" w:type="dxa"/>
            <w:tcBorders>
              <w:top w:val="single" w:sz="4" w:space="0" w:color="auto"/>
              <w:left w:val="single" w:sz="4" w:space="0" w:color="auto"/>
            </w:tcBorders>
            <w:shd w:val="clear" w:color="auto" w:fill="auto"/>
          </w:tcPr>
          <w:p w14:paraId="0C60AB5C"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289</w:t>
            </w:r>
          </w:p>
        </w:tc>
        <w:tc>
          <w:tcPr>
            <w:tcW w:w="1195" w:type="dxa"/>
            <w:tcBorders>
              <w:top w:val="single" w:sz="4" w:space="0" w:color="auto"/>
              <w:left w:val="single" w:sz="4" w:space="0" w:color="auto"/>
            </w:tcBorders>
            <w:shd w:val="clear" w:color="auto" w:fill="auto"/>
          </w:tcPr>
          <w:p w14:paraId="739A95D3"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287</w:t>
            </w:r>
          </w:p>
        </w:tc>
        <w:tc>
          <w:tcPr>
            <w:tcW w:w="1210" w:type="dxa"/>
            <w:tcBorders>
              <w:top w:val="single" w:sz="4" w:space="0" w:color="auto"/>
              <w:left w:val="single" w:sz="4" w:space="0" w:color="auto"/>
              <w:right w:val="single" w:sz="4" w:space="0" w:color="auto"/>
            </w:tcBorders>
            <w:shd w:val="clear" w:color="auto" w:fill="auto"/>
          </w:tcPr>
          <w:p w14:paraId="0C72C2B5"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280</w:t>
            </w:r>
          </w:p>
        </w:tc>
      </w:tr>
      <w:tr w:rsidR="0077031F" w:rsidRPr="00110D6C" w14:paraId="3512FE65" w14:textId="77777777" w:rsidTr="0043129A">
        <w:tc>
          <w:tcPr>
            <w:tcW w:w="3019" w:type="dxa"/>
            <w:tcBorders>
              <w:top w:val="single" w:sz="4" w:space="0" w:color="auto"/>
              <w:left w:val="single" w:sz="4" w:space="0" w:color="auto"/>
            </w:tcBorders>
            <w:shd w:val="clear" w:color="auto" w:fill="auto"/>
          </w:tcPr>
          <w:p w14:paraId="1D6D768B" w14:textId="6EA5707E" w:rsidR="0077031F" w:rsidRPr="00110D6C" w:rsidRDefault="00030085" w:rsidP="0043129A">
            <w:pPr>
              <w:widowControl/>
              <w:rPr>
                <w:rFonts w:cs="Times New Roman"/>
                <w:color w:val="auto"/>
                <w:szCs w:val="22"/>
                <w:lang w:val="pt-PT"/>
              </w:rPr>
            </w:pPr>
            <w:r w:rsidRPr="00110D6C">
              <w:rPr>
                <w:rFonts w:cs="Times New Roman"/>
                <w:color w:val="auto"/>
                <w:szCs w:val="22"/>
                <w:lang w:val="pt-PT"/>
              </w:rPr>
              <w:t>N.º de respostas PASI</w:t>
            </w:r>
            <w:r w:rsidR="00D5307E">
              <w:rPr>
                <w:rFonts w:cs="Times New Roman"/>
                <w:color w:val="auto"/>
                <w:szCs w:val="22"/>
                <w:lang w:val="pt-PT"/>
              </w:rPr>
              <w:t> </w:t>
            </w:r>
            <w:r w:rsidRPr="00110D6C">
              <w:rPr>
                <w:rFonts w:cs="Times New Roman"/>
                <w:color w:val="auto"/>
                <w:szCs w:val="22"/>
                <w:lang w:val="pt-PT"/>
              </w:rPr>
              <w:t>7</w:t>
            </w:r>
            <w:r w:rsidR="00B910F9" w:rsidRPr="00110D6C">
              <w:rPr>
                <w:rFonts w:cs="Times New Roman"/>
                <w:color w:val="auto"/>
                <w:szCs w:val="22"/>
                <w:lang w:val="pt-PT"/>
              </w:rPr>
              <w:t>5 </w:t>
            </w:r>
            <w:r w:rsidRPr="00110D6C">
              <w:rPr>
                <w:rFonts w:cs="Times New Roman"/>
                <w:color w:val="auto"/>
                <w:szCs w:val="22"/>
                <w:lang w:val="pt-PT"/>
              </w:rPr>
              <w:t>(%)</w:t>
            </w:r>
          </w:p>
        </w:tc>
        <w:tc>
          <w:tcPr>
            <w:tcW w:w="1094" w:type="dxa"/>
            <w:tcBorders>
              <w:top w:val="single" w:sz="4" w:space="0" w:color="auto"/>
              <w:left w:val="single" w:sz="4" w:space="0" w:color="auto"/>
            </w:tcBorders>
            <w:shd w:val="clear" w:color="auto" w:fill="auto"/>
          </w:tcPr>
          <w:p w14:paraId="0B69647A"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1</w:t>
            </w:r>
            <w:r w:rsidR="00B910F9" w:rsidRPr="00110D6C">
              <w:rPr>
                <w:rFonts w:cs="Times New Roman"/>
                <w:color w:val="auto"/>
                <w:szCs w:val="22"/>
                <w:lang w:val="pt-PT"/>
              </w:rPr>
              <w:t>2</w:t>
            </w:r>
            <w:r w:rsidR="00DA7FFC" w:rsidRPr="00110D6C">
              <w:rPr>
                <w:rFonts w:cs="Times New Roman"/>
                <w:color w:val="auto"/>
                <w:szCs w:val="22"/>
                <w:lang w:val="pt-PT"/>
              </w:rPr>
              <w:t xml:space="preserve"> </w:t>
            </w:r>
            <w:r w:rsidRPr="00110D6C">
              <w:rPr>
                <w:rFonts w:cs="Times New Roman"/>
                <w:color w:val="auto"/>
                <w:szCs w:val="22"/>
                <w:lang w:val="pt-PT"/>
              </w:rPr>
              <w:t>(4%)</w:t>
            </w:r>
          </w:p>
        </w:tc>
        <w:tc>
          <w:tcPr>
            <w:tcW w:w="1277" w:type="dxa"/>
            <w:tcBorders>
              <w:top w:val="single" w:sz="4" w:space="0" w:color="auto"/>
              <w:left w:val="single" w:sz="4" w:space="0" w:color="auto"/>
            </w:tcBorders>
            <w:shd w:val="clear" w:color="auto" w:fill="auto"/>
          </w:tcPr>
          <w:p w14:paraId="654055B7"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21</w:t>
            </w:r>
            <w:r w:rsidR="00B910F9" w:rsidRPr="00110D6C">
              <w:rPr>
                <w:rFonts w:cs="Times New Roman"/>
                <w:color w:val="auto"/>
                <w:szCs w:val="22"/>
                <w:lang w:val="pt-PT"/>
              </w:rPr>
              <w:t>8</w:t>
            </w:r>
            <w:r w:rsidR="00DA7FFC" w:rsidRPr="00110D6C">
              <w:rPr>
                <w:rFonts w:cs="Times New Roman"/>
                <w:color w:val="auto"/>
                <w:szCs w:val="22"/>
                <w:lang w:val="pt-PT"/>
              </w:rPr>
              <w:t xml:space="preserve"> </w:t>
            </w:r>
            <w:r w:rsidRPr="00110D6C">
              <w:rPr>
                <w:rFonts w:cs="Times New Roman"/>
                <w:color w:val="auto"/>
                <w:szCs w:val="22"/>
                <w:lang w:val="pt-PT"/>
              </w:rPr>
              <w:t>(73%)</w:t>
            </w:r>
          </w:p>
        </w:tc>
        <w:tc>
          <w:tcPr>
            <w:tcW w:w="1277" w:type="dxa"/>
            <w:tcBorders>
              <w:top w:val="single" w:sz="4" w:space="0" w:color="auto"/>
              <w:left w:val="single" w:sz="4" w:space="0" w:color="auto"/>
            </w:tcBorders>
            <w:shd w:val="clear" w:color="auto" w:fill="auto"/>
          </w:tcPr>
          <w:p w14:paraId="70252C90"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22</w:t>
            </w:r>
            <w:r w:rsidR="00B910F9" w:rsidRPr="00110D6C">
              <w:rPr>
                <w:rFonts w:cs="Times New Roman"/>
                <w:color w:val="auto"/>
                <w:szCs w:val="22"/>
                <w:lang w:val="pt-PT"/>
              </w:rPr>
              <w:t>5</w:t>
            </w:r>
            <w:r w:rsidR="00DA7FFC" w:rsidRPr="00110D6C">
              <w:rPr>
                <w:rFonts w:cs="Times New Roman"/>
                <w:color w:val="auto"/>
                <w:szCs w:val="22"/>
                <w:lang w:val="pt-PT"/>
              </w:rPr>
              <w:t xml:space="preserve"> </w:t>
            </w:r>
            <w:r w:rsidRPr="00110D6C">
              <w:rPr>
                <w:rFonts w:cs="Times New Roman"/>
                <w:color w:val="auto"/>
                <w:szCs w:val="22"/>
                <w:lang w:val="pt-PT"/>
              </w:rPr>
              <w:t>(78%)</w:t>
            </w:r>
          </w:p>
        </w:tc>
        <w:tc>
          <w:tcPr>
            <w:tcW w:w="1195" w:type="dxa"/>
            <w:tcBorders>
              <w:top w:val="single" w:sz="4" w:space="0" w:color="auto"/>
              <w:left w:val="single" w:sz="4" w:space="0" w:color="auto"/>
            </w:tcBorders>
            <w:shd w:val="clear" w:color="auto" w:fill="auto"/>
          </w:tcPr>
          <w:p w14:paraId="5D2B7D68"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21</w:t>
            </w:r>
            <w:r w:rsidR="00B910F9" w:rsidRPr="00110D6C">
              <w:rPr>
                <w:rFonts w:cs="Times New Roman"/>
                <w:color w:val="auto"/>
                <w:szCs w:val="22"/>
                <w:lang w:val="pt-PT"/>
              </w:rPr>
              <w:t>7</w:t>
            </w:r>
            <w:r w:rsidR="00DA7FFC" w:rsidRPr="00110D6C">
              <w:rPr>
                <w:rFonts w:cs="Times New Roman"/>
                <w:color w:val="auto"/>
                <w:szCs w:val="22"/>
                <w:lang w:val="pt-PT"/>
              </w:rPr>
              <w:t xml:space="preserve"> </w:t>
            </w:r>
            <w:r w:rsidRPr="00110D6C">
              <w:rPr>
                <w:rFonts w:cs="Times New Roman"/>
                <w:color w:val="auto"/>
                <w:szCs w:val="22"/>
                <w:lang w:val="pt-PT"/>
              </w:rPr>
              <w:t>(76%)</w:t>
            </w:r>
          </w:p>
        </w:tc>
        <w:tc>
          <w:tcPr>
            <w:tcW w:w="1210" w:type="dxa"/>
            <w:tcBorders>
              <w:top w:val="single" w:sz="4" w:space="0" w:color="auto"/>
              <w:left w:val="single" w:sz="4" w:space="0" w:color="auto"/>
              <w:right w:val="single" w:sz="4" w:space="0" w:color="auto"/>
            </w:tcBorders>
            <w:shd w:val="clear" w:color="auto" w:fill="auto"/>
          </w:tcPr>
          <w:p w14:paraId="6876EA9A"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22</w:t>
            </w:r>
            <w:r w:rsidR="00B910F9" w:rsidRPr="00110D6C">
              <w:rPr>
                <w:rFonts w:cs="Times New Roman"/>
                <w:color w:val="auto"/>
                <w:szCs w:val="22"/>
                <w:lang w:val="pt-PT"/>
              </w:rPr>
              <w:t>6</w:t>
            </w:r>
            <w:r w:rsidR="00DA7FFC" w:rsidRPr="00110D6C">
              <w:rPr>
                <w:rFonts w:cs="Times New Roman"/>
                <w:color w:val="auto"/>
                <w:szCs w:val="22"/>
                <w:lang w:val="pt-PT"/>
              </w:rPr>
              <w:t xml:space="preserve"> </w:t>
            </w:r>
            <w:r w:rsidRPr="00110D6C">
              <w:rPr>
                <w:rFonts w:cs="Times New Roman"/>
                <w:color w:val="auto"/>
                <w:szCs w:val="22"/>
                <w:lang w:val="pt-PT"/>
              </w:rPr>
              <w:t>(81%)</w:t>
            </w:r>
          </w:p>
        </w:tc>
      </w:tr>
      <w:tr w:rsidR="0077031F" w:rsidRPr="00110D6C" w14:paraId="4EED97E6" w14:textId="77777777" w:rsidTr="0043129A">
        <w:tc>
          <w:tcPr>
            <w:tcW w:w="3019" w:type="dxa"/>
            <w:tcBorders>
              <w:top w:val="single" w:sz="4" w:space="0" w:color="auto"/>
              <w:left w:val="single" w:sz="4" w:space="0" w:color="auto"/>
            </w:tcBorders>
            <w:shd w:val="clear" w:color="auto" w:fill="auto"/>
          </w:tcPr>
          <w:p w14:paraId="34B64A79" w14:textId="77777777" w:rsidR="0077031F" w:rsidRPr="00110D6C" w:rsidRDefault="00030085" w:rsidP="00F5387C">
            <w:pPr>
              <w:widowControl/>
              <w:rPr>
                <w:rFonts w:cs="Times New Roman"/>
                <w:color w:val="auto"/>
                <w:szCs w:val="22"/>
                <w:lang w:val="pt-PT"/>
              </w:rPr>
            </w:pPr>
            <w:r w:rsidRPr="00110D6C">
              <w:rPr>
                <w:rFonts w:cs="Times New Roman"/>
                <w:color w:val="auto"/>
                <w:szCs w:val="22"/>
                <w:lang w:val="pt-PT"/>
              </w:rPr>
              <w:t>Número de doentes &gt;</w:t>
            </w:r>
            <w:r w:rsidR="00F5387C" w:rsidRPr="00110D6C">
              <w:rPr>
                <w:rFonts w:cs="Times New Roman"/>
                <w:color w:val="auto"/>
                <w:szCs w:val="22"/>
                <w:lang w:val="pt-PT"/>
              </w:rPr>
              <w:t> </w:t>
            </w:r>
            <w:r w:rsidRPr="00110D6C">
              <w:rPr>
                <w:rFonts w:cs="Times New Roman"/>
                <w:color w:val="auto"/>
                <w:szCs w:val="22"/>
                <w:lang w:val="pt-PT"/>
              </w:rPr>
              <w:t>10</w:t>
            </w:r>
            <w:r w:rsidR="00B910F9" w:rsidRPr="00110D6C">
              <w:rPr>
                <w:rFonts w:cs="Times New Roman"/>
                <w:color w:val="auto"/>
                <w:szCs w:val="22"/>
                <w:lang w:val="pt-PT"/>
              </w:rPr>
              <w:t>0 </w:t>
            </w:r>
            <w:r w:rsidRPr="00110D6C">
              <w:rPr>
                <w:rFonts w:cs="Times New Roman"/>
                <w:color w:val="auto"/>
                <w:szCs w:val="22"/>
                <w:lang w:val="pt-PT"/>
              </w:rPr>
              <w:t>kg</w:t>
            </w:r>
          </w:p>
        </w:tc>
        <w:tc>
          <w:tcPr>
            <w:tcW w:w="1094" w:type="dxa"/>
            <w:tcBorders>
              <w:top w:val="single" w:sz="4" w:space="0" w:color="auto"/>
              <w:left w:val="single" w:sz="4" w:space="0" w:color="auto"/>
            </w:tcBorders>
            <w:shd w:val="clear" w:color="auto" w:fill="auto"/>
          </w:tcPr>
          <w:p w14:paraId="5053DF5E"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120</w:t>
            </w:r>
          </w:p>
        </w:tc>
        <w:tc>
          <w:tcPr>
            <w:tcW w:w="1277" w:type="dxa"/>
            <w:tcBorders>
              <w:top w:val="single" w:sz="4" w:space="0" w:color="auto"/>
              <w:left w:val="single" w:sz="4" w:space="0" w:color="auto"/>
            </w:tcBorders>
            <w:shd w:val="clear" w:color="auto" w:fill="auto"/>
          </w:tcPr>
          <w:p w14:paraId="3CAD0A11"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112</w:t>
            </w:r>
          </w:p>
        </w:tc>
        <w:tc>
          <w:tcPr>
            <w:tcW w:w="1277" w:type="dxa"/>
            <w:tcBorders>
              <w:top w:val="single" w:sz="4" w:space="0" w:color="auto"/>
              <w:left w:val="single" w:sz="4" w:space="0" w:color="auto"/>
            </w:tcBorders>
            <w:shd w:val="clear" w:color="auto" w:fill="auto"/>
          </w:tcPr>
          <w:p w14:paraId="5567FDC0"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121</w:t>
            </w:r>
          </w:p>
        </w:tc>
        <w:tc>
          <w:tcPr>
            <w:tcW w:w="1195" w:type="dxa"/>
            <w:tcBorders>
              <w:top w:val="single" w:sz="4" w:space="0" w:color="auto"/>
              <w:left w:val="single" w:sz="4" w:space="0" w:color="auto"/>
            </w:tcBorders>
            <w:shd w:val="clear" w:color="auto" w:fill="auto"/>
          </w:tcPr>
          <w:p w14:paraId="117E84D9"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110</w:t>
            </w:r>
          </w:p>
        </w:tc>
        <w:tc>
          <w:tcPr>
            <w:tcW w:w="1210" w:type="dxa"/>
            <w:tcBorders>
              <w:top w:val="single" w:sz="4" w:space="0" w:color="auto"/>
              <w:left w:val="single" w:sz="4" w:space="0" w:color="auto"/>
              <w:right w:val="single" w:sz="4" w:space="0" w:color="auto"/>
            </w:tcBorders>
            <w:shd w:val="clear" w:color="auto" w:fill="auto"/>
          </w:tcPr>
          <w:p w14:paraId="3DBB20FE"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119</w:t>
            </w:r>
          </w:p>
        </w:tc>
      </w:tr>
      <w:tr w:rsidR="0077031F" w:rsidRPr="00110D6C" w14:paraId="47D57E60" w14:textId="77777777" w:rsidTr="0043129A">
        <w:tc>
          <w:tcPr>
            <w:tcW w:w="3019" w:type="dxa"/>
            <w:tcBorders>
              <w:top w:val="single" w:sz="4" w:space="0" w:color="auto"/>
              <w:left w:val="single" w:sz="4" w:space="0" w:color="auto"/>
              <w:bottom w:val="single" w:sz="4" w:space="0" w:color="auto"/>
            </w:tcBorders>
            <w:shd w:val="clear" w:color="auto" w:fill="auto"/>
          </w:tcPr>
          <w:p w14:paraId="0BE9346A" w14:textId="5BD97979" w:rsidR="0077031F" w:rsidRPr="00110D6C" w:rsidRDefault="00030085" w:rsidP="0043129A">
            <w:pPr>
              <w:widowControl/>
              <w:rPr>
                <w:rFonts w:cs="Times New Roman"/>
                <w:color w:val="auto"/>
                <w:szCs w:val="22"/>
                <w:lang w:val="pt-PT"/>
              </w:rPr>
            </w:pPr>
            <w:r w:rsidRPr="00110D6C">
              <w:rPr>
                <w:rFonts w:cs="Times New Roman"/>
                <w:color w:val="auto"/>
                <w:szCs w:val="22"/>
                <w:lang w:val="pt-PT"/>
              </w:rPr>
              <w:t>N.º de respostas PASI</w:t>
            </w:r>
            <w:r w:rsidR="00D5307E">
              <w:rPr>
                <w:rFonts w:cs="Times New Roman"/>
                <w:color w:val="auto"/>
                <w:szCs w:val="22"/>
                <w:lang w:val="pt-PT"/>
              </w:rPr>
              <w:t> </w:t>
            </w:r>
            <w:r w:rsidRPr="00110D6C">
              <w:rPr>
                <w:rFonts w:cs="Times New Roman"/>
                <w:color w:val="auto"/>
                <w:szCs w:val="22"/>
                <w:lang w:val="pt-PT"/>
              </w:rPr>
              <w:t>7</w:t>
            </w:r>
            <w:r w:rsidR="00B910F9" w:rsidRPr="00110D6C">
              <w:rPr>
                <w:rFonts w:cs="Times New Roman"/>
                <w:color w:val="auto"/>
                <w:szCs w:val="22"/>
                <w:lang w:val="pt-PT"/>
              </w:rPr>
              <w:t>5 </w:t>
            </w:r>
            <w:r w:rsidRPr="00110D6C">
              <w:rPr>
                <w:rFonts w:cs="Times New Roman"/>
                <w:color w:val="auto"/>
                <w:szCs w:val="22"/>
                <w:lang w:val="pt-PT"/>
              </w:rPr>
              <w:t>(%)</w:t>
            </w:r>
          </w:p>
        </w:tc>
        <w:tc>
          <w:tcPr>
            <w:tcW w:w="1094" w:type="dxa"/>
            <w:tcBorders>
              <w:top w:val="single" w:sz="4" w:space="0" w:color="auto"/>
              <w:left w:val="single" w:sz="4" w:space="0" w:color="auto"/>
              <w:bottom w:val="single" w:sz="4" w:space="0" w:color="auto"/>
            </w:tcBorders>
            <w:shd w:val="clear" w:color="auto" w:fill="auto"/>
          </w:tcPr>
          <w:p w14:paraId="0C8C8287" w14:textId="77777777" w:rsidR="0077031F" w:rsidRPr="00110D6C" w:rsidRDefault="00B910F9" w:rsidP="00DA7FFC">
            <w:pPr>
              <w:widowControl/>
              <w:jc w:val="center"/>
              <w:rPr>
                <w:rFonts w:cs="Times New Roman"/>
                <w:color w:val="auto"/>
                <w:szCs w:val="22"/>
                <w:lang w:val="pt-PT"/>
              </w:rPr>
            </w:pPr>
            <w:r w:rsidRPr="00110D6C">
              <w:rPr>
                <w:rFonts w:cs="Times New Roman"/>
                <w:color w:val="auto"/>
                <w:szCs w:val="22"/>
                <w:lang w:val="pt-PT"/>
              </w:rPr>
              <w:t>3</w:t>
            </w:r>
            <w:r w:rsidR="00DA7FFC" w:rsidRPr="00110D6C">
              <w:rPr>
                <w:rFonts w:cs="Times New Roman"/>
                <w:color w:val="auto"/>
                <w:szCs w:val="22"/>
                <w:lang w:val="pt-PT"/>
              </w:rPr>
              <w:t xml:space="preserve"> </w:t>
            </w:r>
            <w:r w:rsidR="00030085" w:rsidRPr="00110D6C">
              <w:rPr>
                <w:rFonts w:cs="Times New Roman"/>
                <w:color w:val="auto"/>
                <w:szCs w:val="22"/>
                <w:lang w:val="pt-PT"/>
              </w:rPr>
              <w:t>(3%)</w:t>
            </w:r>
          </w:p>
        </w:tc>
        <w:tc>
          <w:tcPr>
            <w:tcW w:w="1277" w:type="dxa"/>
            <w:tcBorders>
              <w:top w:val="single" w:sz="4" w:space="0" w:color="auto"/>
              <w:left w:val="single" w:sz="4" w:space="0" w:color="auto"/>
              <w:bottom w:val="single" w:sz="4" w:space="0" w:color="auto"/>
            </w:tcBorders>
            <w:shd w:val="clear" w:color="auto" w:fill="auto"/>
          </w:tcPr>
          <w:p w14:paraId="05783B7B"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5</w:t>
            </w:r>
            <w:r w:rsidR="00B910F9" w:rsidRPr="00110D6C">
              <w:rPr>
                <w:rFonts w:cs="Times New Roman"/>
                <w:color w:val="auto"/>
                <w:szCs w:val="22"/>
                <w:lang w:val="pt-PT"/>
              </w:rPr>
              <w:t>5</w:t>
            </w:r>
            <w:r w:rsidR="00DA7FFC" w:rsidRPr="00110D6C">
              <w:rPr>
                <w:rFonts w:cs="Times New Roman"/>
                <w:color w:val="auto"/>
                <w:szCs w:val="22"/>
                <w:lang w:val="pt-PT"/>
              </w:rPr>
              <w:t xml:space="preserve"> </w:t>
            </w:r>
            <w:r w:rsidRPr="00110D6C">
              <w:rPr>
                <w:rFonts w:cs="Times New Roman"/>
                <w:color w:val="auto"/>
                <w:szCs w:val="22"/>
                <w:lang w:val="pt-PT"/>
              </w:rPr>
              <w:t>(49%)</w:t>
            </w:r>
          </w:p>
        </w:tc>
        <w:tc>
          <w:tcPr>
            <w:tcW w:w="1277" w:type="dxa"/>
            <w:tcBorders>
              <w:top w:val="single" w:sz="4" w:space="0" w:color="auto"/>
              <w:left w:val="single" w:sz="4" w:space="0" w:color="auto"/>
              <w:bottom w:val="single" w:sz="4" w:space="0" w:color="auto"/>
            </w:tcBorders>
            <w:shd w:val="clear" w:color="auto" w:fill="auto"/>
          </w:tcPr>
          <w:p w14:paraId="708E8744"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8</w:t>
            </w:r>
            <w:r w:rsidR="00B910F9" w:rsidRPr="00110D6C">
              <w:rPr>
                <w:rFonts w:cs="Times New Roman"/>
                <w:color w:val="auto"/>
                <w:szCs w:val="22"/>
                <w:lang w:val="pt-PT"/>
              </w:rPr>
              <w:t>6</w:t>
            </w:r>
            <w:r w:rsidR="00DA7FFC" w:rsidRPr="00110D6C">
              <w:rPr>
                <w:rFonts w:cs="Times New Roman"/>
                <w:color w:val="auto"/>
                <w:szCs w:val="22"/>
                <w:lang w:val="pt-PT"/>
              </w:rPr>
              <w:t xml:space="preserve"> </w:t>
            </w:r>
            <w:r w:rsidRPr="00110D6C">
              <w:rPr>
                <w:rFonts w:cs="Times New Roman"/>
                <w:color w:val="auto"/>
                <w:szCs w:val="22"/>
                <w:lang w:val="pt-PT"/>
              </w:rPr>
              <w:t>(71%)</w:t>
            </w:r>
          </w:p>
        </w:tc>
        <w:tc>
          <w:tcPr>
            <w:tcW w:w="1195" w:type="dxa"/>
            <w:tcBorders>
              <w:top w:val="single" w:sz="4" w:space="0" w:color="auto"/>
              <w:left w:val="single" w:sz="4" w:space="0" w:color="auto"/>
              <w:bottom w:val="single" w:sz="4" w:space="0" w:color="auto"/>
            </w:tcBorders>
            <w:shd w:val="clear" w:color="auto" w:fill="auto"/>
          </w:tcPr>
          <w:p w14:paraId="26E834A4"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5</w:t>
            </w:r>
            <w:r w:rsidR="00B910F9" w:rsidRPr="00110D6C">
              <w:rPr>
                <w:rFonts w:cs="Times New Roman"/>
                <w:color w:val="auto"/>
                <w:szCs w:val="22"/>
                <w:lang w:val="pt-PT"/>
              </w:rPr>
              <w:t>9</w:t>
            </w:r>
            <w:r w:rsidR="00DA7FFC" w:rsidRPr="00110D6C">
              <w:rPr>
                <w:rFonts w:cs="Times New Roman"/>
                <w:color w:val="auto"/>
                <w:szCs w:val="22"/>
                <w:lang w:val="pt-PT"/>
              </w:rPr>
              <w:t xml:space="preserve"> </w:t>
            </w:r>
            <w:r w:rsidRPr="00110D6C">
              <w:rPr>
                <w:rFonts w:cs="Times New Roman"/>
                <w:color w:val="auto"/>
                <w:szCs w:val="22"/>
                <w:lang w:val="pt-PT"/>
              </w:rPr>
              <w:t>(54%)</w:t>
            </w: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353831A6" w14:textId="77777777" w:rsidR="0077031F" w:rsidRPr="00110D6C" w:rsidRDefault="00030085" w:rsidP="00DA7FFC">
            <w:pPr>
              <w:widowControl/>
              <w:jc w:val="center"/>
              <w:rPr>
                <w:rFonts w:cs="Times New Roman"/>
                <w:color w:val="auto"/>
                <w:szCs w:val="22"/>
                <w:lang w:val="pt-PT"/>
              </w:rPr>
            </w:pPr>
            <w:r w:rsidRPr="00110D6C">
              <w:rPr>
                <w:rFonts w:cs="Times New Roman"/>
                <w:color w:val="auto"/>
                <w:szCs w:val="22"/>
                <w:lang w:val="pt-PT"/>
              </w:rPr>
              <w:t>8</w:t>
            </w:r>
            <w:r w:rsidR="00B910F9" w:rsidRPr="00110D6C">
              <w:rPr>
                <w:rFonts w:cs="Times New Roman"/>
                <w:color w:val="auto"/>
                <w:szCs w:val="22"/>
                <w:lang w:val="pt-PT"/>
              </w:rPr>
              <w:t>8</w:t>
            </w:r>
            <w:r w:rsidR="00DA7FFC" w:rsidRPr="00110D6C">
              <w:rPr>
                <w:rFonts w:cs="Times New Roman"/>
                <w:color w:val="auto"/>
                <w:szCs w:val="22"/>
                <w:lang w:val="pt-PT"/>
              </w:rPr>
              <w:t xml:space="preserve"> </w:t>
            </w:r>
            <w:r w:rsidRPr="00110D6C">
              <w:rPr>
                <w:rFonts w:cs="Times New Roman"/>
                <w:color w:val="auto"/>
                <w:szCs w:val="22"/>
                <w:lang w:val="pt-PT"/>
              </w:rPr>
              <w:t>(74%)</w:t>
            </w:r>
          </w:p>
        </w:tc>
      </w:tr>
    </w:tbl>
    <w:p w14:paraId="645E173E" w14:textId="77777777" w:rsidR="0077031F" w:rsidRPr="00110D6C" w:rsidRDefault="00030085" w:rsidP="0043129A">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a</w:t>
      </w:r>
      <w:r w:rsidR="0043129A" w:rsidRPr="00110D6C">
        <w:rPr>
          <w:rFonts w:cs="Times New Roman"/>
          <w:color w:val="auto"/>
          <w:sz w:val="20"/>
          <w:szCs w:val="20"/>
          <w:lang w:val="pt-PT"/>
        </w:rPr>
        <w:tab/>
      </w:r>
      <w:r w:rsidRPr="00110D6C">
        <w:rPr>
          <w:rFonts w:cs="Times New Roman"/>
          <w:color w:val="auto"/>
          <w:sz w:val="20"/>
          <w:szCs w:val="20"/>
          <w:lang w:val="pt-PT"/>
        </w:rPr>
        <w:t>p</w:t>
      </w:r>
      <w:r w:rsidR="00F5387C" w:rsidRPr="00110D6C">
        <w:rPr>
          <w:rFonts w:cs="Times New Roman"/>
          <w:color w:val="auto"/>
          <w:sz w:val="20"/>
          <w:szCs w:val="20"/>
          <w:lang w:val="pt-PT"/>
        </w:rPr>
        <w:t> </w:t>
      </w:r>
      <w:r w:rsidRPr="00110D6C">
        <w:rPr>
          <w:rFonts w:cs="Times New Roman"/>
          <w:color w:val="auto"/>
          <w:sz w:val="20"/>
          <w:szCs w:val="20"/>
          <w:lang w:val="pt-PT"/>
        </w:rPr>
        <w:t>&lt;</w:t>
      </w:r>
      <w:r w:rsidR="00F5387C" w:rsidRPr="00110D6C">
        <w:rPr>
          <w:rFonts w:cs="Times New Roman"/>
          <w:color w:val="auto"/>
          <w:sz w:val="20"/>
          <w:szCs w:val="20"/>
          <w:lang w:val="pt-PT"/>
        </w:rPr>
        <w:t> </w:t>
      </w:r>
      <w:r w:rsidRPr="00110D6C">
        <w:rPr>
          <w:rFonts w:cs="Times New Roman"/>
          <w:color w:val="auto"/>
          <w:sz w:val="20"/>
          <w:szCs w:val="20"/>
          <w:lang w:val="pt-PT"/>
        </w:rPr>
        <w:t>0,00</w:t>
      </w:r>
      <w:r w:rsidR="00B910F9" w:rsidRPr="00110D6C">
        <w:rPr>
          <w:rFonts w:cs="Times New Roman"/>
          <w:color w:val="auto"/>
          <w:sz w:val="20"/>
          <w:szCs w:val="20"/>
          <w:lang w:val="pt-PT"/>
        </w:rPr>
        <w:t>1 </w:t>
      </w:r>
      <w:r w:rsidRPr="00110D6C">
        <w:rPr>
          <w:rFonts w:cs="Times New Roman"/>
          <w:color w:val="auto"/>
          <w:sz w:val="20"/>
          <w:szCs w:val="20"/>
          <w:lang w:val="pt-PT"/>
        </w:rPr>
        <w:t>para ustecinumab 4</w:t>
      </w:r>
      <w:r w:rsidR="00B910F9" w:rsidRPr="00110D6C">
        <w:rPr>
          <w:rFonts w:cs="Times New Roman"/>
          <w:color w:val="auto"/>
          <w:sz w:val="20"/>
          <w:szCs w:val="20"/>
          <w:lang w:val="pt-PT"/>
        </w:rPr>
        <w:t>5 </w:t>
      </w:r>
      <w:r w:rsidRPr="00110D6C">
        <w:rPr>
          <w:rFonts w:cs="Times New Roman"/>
          <w:color w:val="auto"/>
          <w:sz w:val="20"/>
          <w:szCs w:val="20"/>
          <w:lang w:val="pt-PT"/>
        </w:rPr>
        <w:t>mg ou 9</w:t>
      </w:r>
      <w:r w:rsidR="00B910F9" w:rsidRPr="00110D6C">
        <w:rPr>
          <w:rFonts w:cs="Times New Roman"/>
          <w:color w:val="auto"/>
          <w:sz w:val="20"/>
          <w:szCs w:val="20"/>
          <w:lang w:val="pt-PT"/>
        </w:rPr>
        <w:t>0 </w:t>
      </w:r>
      <w:r w:rsidRPr="00110D6C">
        <w:rPr>
          <w:rFonts w:cs="Times New Roman"/>
          <w:color w:val="auto"/>
          <w:sz w:val="20"/>
          <w:szCs w:val="20"/>
          <w:lang w:val="pt-PT"/>
        </w:rPr>
        <w:t>mg em comparação com o placebo (PBO).</w:t>
      </w:r>
    </w:p>
    <w:p w14:paraId="08AE94B9" w14:textId="77777777" w:rsidR="0077031F" w:rsidRPr="00110D6C" w:rsidRDefault="00030085" w:rsidP="0043129A">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b</w:t>
      </w:r>
      <w:r w:rsidRPr="00110D6C">
        <w:rPr>
          <w:rFonts w:cs="Times New Roman"/>
          <w:color w:val="auto"/>
          <w:sz w:val="20"/>
          <w:szCs w:val="20"/>
          <w:lang w:val="pt-PT"/>
        </w:rPr>
        <w:tab/>
        <w:t>PGA</w:t>
      </w:r>
      <w:r w:rsidR="00F5387C" w:rsidRPr="00110D6C">
        <w:rPr>
          <w:rFonts w:cs="Times New Roman"/>
          <w:color w:val="auto"/>
          <w:sz w:val="20"/>
          <w:szCs w:val="20"/>
          <w:lang w:val="pt-PT"/>
        </w:rPr>
        <w:t> </w:t>
      </w:r>
      <w:r w:rsidRPr="00110D6C">
        <w:rPr>
          <w:rFonts w:cs="Times New Roman"/>
          <w:color w:val="auto"/>
          <w:sz w:val="20"/>
          <w:szCs w:val="20"/>
          <w:lang w:val="pt-PT"/>
        </w:rPr>
        <w:t>=</w:t>
      </w:r>
      <w:r w:rsidR="00F5387C" w:rsidRPr="00110D6C">
        <w:rPr>
          <w:rFonts w:cs="Times New Roman"/>
          <w:color w:val="auto"/>
          <w:sz w:val="20"/>
          <w:szCs w:val="20"/>
          <w:lang w:val="pt-PT"/>
        </w:rPr>
        <w:t> </w:t>
      </w:r>
      <w:r w:rsidRPr="00110D6C">
        <w:rPr>
          <w:rFonts w:cs="Times New Roman"/>
          <w:color w:val="auto"/>
          <w:sz w:val="20"/>
          <w:szCs w:val="20"/>
          <w:lang w:val="pt-PT"/>
        </w:rPr>
        <w:t>Avaliação global efetuada pelo médico</w:t>
      </w:r>
    </w:p>
    <w:p w14:paraId="2C8C1F9A" w14:textId="77777777" w:rsidR="0043129A" w:rsidRPr="00110D6C" w:rsidRDefault="0043129A" w:rsidP="00A17623">
      <w:pPr>
        <w:widowControl/>
        <w:rPr>
          <w:rFonts w:cs="Times New Roman"/>
          <w:iCs/>
          <w:color w:val="auto"/>
          <w:szCs w:val="22"/>
          <w:lang w:val="pt-PT"/>
        </w:rPr>
      </w:pPr>
    </w:p>
    <w:p w14:paraId="16A518BC" w14:textId="4115FFC8" w:rsidR="0077031F" w:rsidRPr="00110D6C" w:rsidRDefault="00030085" w:rsidP="006A79E5">
      <w:pPr>
        <w:keepNext/>
        <w:keepLines/>
        <w:widowControl/>
        <w:ind w:left="1134" w:hanging="1134"/>
        <w:rPr>
          <w:rFonts w:cs="Times New Roman"/>
          <w:color w:val="auto"/>
          <w:szCs w:val="22"/>
          <w:lang w:val="pt-PT"/>
        </w:rPr>
      </w:pPr>
      <w:r w:rsidRPr="00110D6C">
        <w:rPr>
          <w:rFonts w:cs="Times New Roman"/>
          <w:i/>
          <w:iCs/>
          <w:color w:val="auto"/>
          <w:szCs w:val="22"/>
          <w:lang w:val="pt-PT"/>
        </w:rPr>
        <w:t>Tabela</w:t>
      </w:r>
      <w:r w:rsidR="00982985" w:rsidRPr="00110D6C">
        <w:rPr>
          <w:rFonts w:cs="Times New Roman"/>
          <w:i/>
          <w:iCs/>
          <w:color w:val="auto"/>
          <w:szCs w:val="22"/>
          <w:lang w:val="pt-PT"/>
        </w:rPr>
        <w:t> </w:t>
      </w:r>
      <w:r w:rsidR="00D5307E">
        <w:rPr>
          <w:rFonts w:cs="Times New Roman"/>
          <w:i/>
          <w:iCs/>
          <w:color w:val="auto"/>
          <w:szCs w:val="22"/>
          <w:lang w:val="pt-PT"/>
        </w:rPr>
        <w:t>4</w:t>
      </w:r>
      <w:r w:rsidR="006A79E5" w:rsidRPr="00110D6C">
        <w:rPr>
          <w:rFonts w:cs="Times New Roman"/>
          <w:i/>
          <w:iCs/>
          <w:color w:val="auto"/>
          <w:szCs w:val="22"/>
          <w:lang w:val="pt-PT"/>
        </w:rPr>
        <w:tab/>
      </w:r>
      <w:r w:rsidRPr="00110D6C">
        <w:rPr>
          <w:rFonts w:cs="Times New Roman"/>
          <w:i/>
          <w:iCs/>
          <w:color w:val="auto"/>
          <w:szCs w:val="22"/>
          <w:lang w:val="pt-PT"/>
        </w:rPr>
        <w:t>Resumo da resposta clínica na Semana</w:t>
      </w:r>
      <w:r w:rsidR="005562CC" w:rsidRPr="00110D6C">
        <w:rPr>
          <w:rFonts w:cs="Times New Roman"/>
          <w:i/>
          <w:iCs/>
          <w:color w:val="auto"/>
          <w:szCs w:val="22"/>
          <w:lang w:val="pt-PT"/>
        </w:rPr>
        <w:t> </w:t>
      </w:r>
      <w:r w:rsidRPr="00110D6C">
        <w:rPr>
          <w:rFonts w:cs="Times New Roman"/>
          <w:i/>
          <w:iCs/>
          <w:color w:val="auto"/>
          <w:szCs w:val="22"/>
          <w:lang w:val="pt-PT"/>
        </w:rPr>
        <w:t>1</w:t>
      </w:r>
      <w:r w:rsidR="00B910F9" w:rsidRPr="00110D6C">
        <w:rPr>
          <w:rFonts w:cs="Times New Roman"/>
          <w:i/>
          <w:iCs/>
          <w:color w:val="auto"/>
          <w:szCs w:val="22"/>
          <w:lang w:val="pt-PT"/>
        </w:rPr>
        <w:t>2</w:t>
      </w:r>
      <w:r w:rsidR="005562CC" w:rsidRPr="00110D6C">
        <w:rPr>
          <w:rFonts w:cs="Times New Roman"/>
          <w:i/>
          <w:iCs/>
          <w:color w:val="auto"/>
          <w:szCs w:val="22"/>
          <w:lang w:val="pt-PT"/>
        </w:rPr>
        <w:t xml:space="preserve"> </w:t>
      </w:r>
      <w:r w:rsidRPr="00110D6C">
        <w:rPr>
          <w:rFonts w:cs="Times New Roman"/>
          <w:i/>
          <w:iCs/>
          <w:color w:val="auto"/>
          <w:szCs w:val="22"/>
          <w:lang w:val="pt-PT"/>
        </w:rPr>
        <w:t>no Estudo da Psoríase</w:t>
      </w:r>
      <w:r w:rsidR="005562CC" w:rsidRPr="00110D6C">
        <w:rPr>
          <w:rFonts w:cs="Times New Roman"/>
          <w:i/>
          <w:iCs/>
          <w:color w:val="auto"/>
          <w:szCs w:val="22"/>
          <w:lang w:val="pt-PT"/>
        </w:rPr>
        <w:t> </w:t>
      </w:r>
      <w:r w:rsidR="00B910F9" w:rsidRPr="00110D6C">
        <w:rPr>
          <w:rFonts w:cs="Times New Roman"/>
          <w:i/>
          <w:iCs/>
          <w:color w:val="auto"/>
          <w:szCs w:val="22"/>
          <w:lang w:val="pt-PT"/>
        </w:rPr>
        <w:t>3</w:t>
      </w:r>
      <w:r w:rsidR="005562CC" w:rsidRPr="00110D6C">
        <w:rPr>
          <w:rFonts w:cs="Times New Roman"/>
          <w:i/>
          <w:iCs/>
          <w:color w:val="auto"/>
          <w:szCs w:val="22"/>
          <w:lang w:val="pt-PT"/>
        </w:rPr>
        <w:t xml:space="preserve"> </w:t>
      </w:r>
      <w:r w:rsidRPr="00110D6C">
        <w:rPr>
          <w:rFonts w:cs="Times New Roman"/>
          <w:i/>
          <w:iCs/>
          <w:color w:val="auto"/>
          <w:szCs w:val="22"/>
          <w:lang w:val="pt-PT"/>
        </w:rPr>
        <w:t>(ACCEPT)</w:t>
      </w:r>
    </w:p>
    <w:tbl>
      <w:tblPr>
        <w:tblOverlap w:val="never"/>
        <w:tblW w:w="0" w:type="auto"/>
        <w:tblLayout w:type="fixed"/>
        <w:tblLook w:val="04A0" w:firstRow="1" w:lastRow="0" w:firstColumn="1" w:lastColumn="0" w:noHBand="0" w:noVBand="1"/>
      </w:tblPr>
      <w:tblGrid>
        <w:gridCol w:w="3374"/>
        <w:gridCol w:w="1838"/>
        <w:gridCol w:w="1934"/>
        <w:gridCol w:w="1925"/>
      </w:tblGrid>
      <w:tr w:rsidR="0077031F" w:rsidRPr="00110D6C" w14:paraId="547EA670" w14:textId="77777777" w:rsidTr="0043129A">
        <w:tc>
          <w:tcPr>
            <w:tcW w:w="3374" w:type="dxa"/>
            <w:vMerge w:val="restart"/>
            <w:tcBorders>
              <w:top w:val="single" w:sz="4" w:space="0" w:color="auto"/>
              <w:left w:val="single" w:sz="4" w:space="0" w:color="auto"/>
            </w:tcBorders>
            <w:shd w:val="clear" w:color="auto" w:fill="auto"/>
          </w:tcPr>
          <w:p w14:paraId="56B2AA34" w14:textId="77777777" w:rsidR="0077031F" w:rsidRPr="00110D6C" w:rsidRDefault="0077031F" w:rsidP="0043129A">
            <w:pPr>
              <w:keepNext/>
              <w:keepLines/>
              <w:widowControl/>
              <w:rPr>
                <w:rFonts w:cs="Times New Roman"/>
                <w:color w:val="auto"/>
                <w:szCs w:val="22"/>
                <w:lang w:val="pt-PT"/>
              </w:rPr>
            </w:pPr>
          </w:p>
        </w:tc>
        <w:tc>
          <w:tcPr>
            <w:tcW w:w="5697" w:type="dxa"/>
            <w:gridSpan w:val="3"/>
            <w:tcBorders>
              <w:top w:val="single" w:sz="4" w:space="0" w:color="auto"/>
              <w:left w:val="single" w:sz="4" w:space="0" w:color="auto"/>
              <w:right w:val="single" w:sz="4" w:space="0" w:color="auto"/>
            </w:tcBorders>
            <w:shd w:val="clear" w:color="auto" w:fill="auto"/>
          </w:tcPr>
          <w:p w14:paraId="1F3878CA" w14:textId="77777777" w:rsidR="0077031F" w:rsidRPr="00110D6C" w:rsidRDefault="00030085" w:rsidP="00056B50">
            <w:pPr>
              <w:keepNext/>
              <w:keepLines/>
              <w:widowControl/>
              <w:jc w:val="center"/>
              <w:rPr>
                <w:rFonts w:cs="Times New Roman"/>
                <w:color w:val="auto"/>
                <w:szCs w:val="22"/>
                <w:lang w:val="pt-PT"/>
              </w:rPr>
            </w:pPr>
            <w:r w:rsidRPr="00110D6C">
              <w:rPr>
                <w:rFonts w:cs="Times New Roman"/>
                <w:b/>
                <w:bCs/>
                <w:color w:val="auto"/>
                <w:szCs w:val="22"/>
                <w:lang w:val="pt-PT"/>
              </w:rPr>
              <w:t>Estudo da Psoríase</w:t>
            </w:r>
            <w:r w:rsidR="00056B50" w:rsidRPr="00110D6C">
              <w:rPr>
                <w:rFonts w:cs="Times New Roman"/>
                <w:b/>
                <w:bCs/>
                <w:color w:val="auto"/>
                <w:szCs w:val="22"/>
                <w:lang w:val="pt-PT"/>
              </w:rPr>
              <w:t> </w:t>
            </w:r>
            <w:r w:rsidRPr="00110D6C">
              <w:rPr>
                <w:rFonts w:cs="Times New Roman"/>
                <w:b/>
                <w:bCs/>
                <w:color w:val="auto"/>
                <w:szCs w:val="22"/>
                <w:lang w:val="pt-PT"/>
              </w:rPr>
              <w:t>3</w:t>
            </w:r>
          </w:p>
        </w:tc>
      </w:tr>
      <w:tr w:rsidR="0077031F" w:rsidRPr="00110D6C" w14:paraId="72A87D4E" w14:textId="77777777" w:rsidTr="0043129A">
        <w:tc>
          <w:tcPr>
            <w:tcW w:w="3374" w:type="dxa"/>
            <w:vMerge/>
            <w:tcBorders>
              <w:left w:val="single" w:sz="4" w:space="0" w:color="auto"/>
            </w:tcBorders>
            <w:shd w:val="clear" w:color="auto" w:fill="auto"/>
          </w:tcPr>
          <w:p w14:paraId="19C3F45A" w14:textId="77777777" w:rsidR="0077031F" w:rsidRPr="00110D6C" w:rsidRDefault="0077031F" w:rsidP="0043129A">
            <w:pPr>
              <w:keepNext/>
              <w:keepLines/>
              <w:widowControl/>
              <w:rPr>
                <w:rFonts w:cs="Times New Roman"/>
                <w:color w:val="auto"/>
                <w:szCs w:val="22"/>
                <w:lang w:val="pt-PT"/>
              </w:rPr>
            </w:pPr>
          </w:p>
        </w:tc>
        <w:tc>
          <w:tcPr>
            <w:tcW w:w="1838" w:type="dxa"/>
            <w:vMerge w:val="restart"/>
            <w:tcBorders>
              <w:top w:val="single" w:sz="4" w:space="0" w:color="auto"/>
              <w:left w:val="single" w:sz="4" w:space="0" w:color="auto"/>
            </w:tcBorders>
            <w:shd w:val="clear" w:color="auto" w:fill="auto"/>
          </w:tcPr>
          <w:p w14:paraId="0D81D61F" w14:textId="77777777" w:rsidR="0077031F" w:rsidRPr="00110D6C" w:rsidRDefault="00030085" w:rsidP="0043129A">
            <w:pPr>
              <w:keepNext/>
              <w:keepLines/>
              <w:widowControl/>
              <w:jc w:val="center"/>
              <w:rPr>
                <w:rFonts w:cs="Times New Roman"/>
                <w:color w:val="auto"/>
                <w:szCs w:val="22"/>
                <w:lang w:val="pt-PT"/>
              </w:rPr>
            </w:pPr>
            <w:r w:rsidRPr="00110D6C">
              <w:rPr>
                <w:rFonts w:cs="Times New Roman"/>
                <w:color w:val="auto"/>
                <w:szCs w:val="22"/>
                <w:lang w:val="pt-PT"/>
              </w:rPr>
              <w:t>Etanercept</w:t>
            </w:r>
          </w:p>
          <w:p w14:paraId="49002A4B" w14:textId="77777777" w:rsidR="0043129A" w:rsidRPr="00110D6C" w:rsidRDefault="00030085" w:rsidP="0043129A">
            <w:pPr>
              <w:keepNext/>
              <w:keepLines/>
              <w:widowControl/>
              <w:jc w:val="center"/>
              <w:rPr>
                <w:rFonts w:cs="Times New Roman"/>
                <w:color w:val="auto"/>
                <w:szCs w:val="22"/>
                <w:lang w:val="pt-PT"/>
              </w:rPr>
            </w:pPr>
            <w:r w:rsidRPr="00110D6C">
              <w:rPr>
                <w:rFonts w:cs="Times New Roman"/>
                <w:color w:val="auto"/>
                <w:szCs w:val="22"/>
                <w:lang w:val="pt-PT"/>
              </w:rPr>
              <w:t>2</w:t>
            </w:r>
            <w:r w:rsidR="00B910F9" w:rsidRPr="00110D6C">
              <w:rPr>
                <w:rFonts w:cs="Times New Roman"/>
                <w:color w:val="auto"/>
                <w:szCs w:val="22"/>
                <w:lang w:val="pt-PT"/>
              </w:rPr>
              <w:t>4 </w:t>
            </w:r>
            <w:r w:rsidRPr="00110D6C">
              <w:rPr>
                <w:rFonts w:cs="Times New Roman"/>
                <w:color w:val="auto"/>
                <w:szCs w:val="22"/>
                <w:lang w:val="pt-PT"/>
              </w:rPr>
              <w:t xml:space="preserve">doses </w:t>
            </w:r>
          </w:p>
          <w:p w14:paraId="26636094" w14:textId="77777777" w:rsidR="0077031F" w:rsidRPr="00110D6C" w:rsidRDefault="00030085" w:rsidP="0043129A">
            <w:pPr>
              <w:keepNext/>
              <w:keepLines/>
              <w:widowControl/>
              <w:jc w:val="center"/>
              <w:rPr>
                <w:rFonts w:cs="Times New Roman"/>
                <w:color w:val="auto"/>
                <w:szCs w:val="22"/>
                <w:lang w:val="pt-PT"/>
              </w:rPr>
            </w:pPr>
            <w:r w:rsidRPr="00110D6C">
              <w:rPr>
                <w:rFonts w:cs="Times New Roman"/>
                <w:color w:val="auto"/>
                <w:szCs w:val="22"/>
                <w:lang w:val="pt-PT"/>
              </w:rPr>
              <w:t>(5</w:t>
            </w:r>
            <w:r w:rsidR="00B910F9" w:rsidRPr="00110D6C">
              <w:rPr>
                <w:rFonts w:cs="Times New Roman"/>
                <w:color w:val="auto"/>
                <w:szCs w:val="22"/>
                <w:lang w:val="pt-PT"/>
              </w:rPr>
              <w:t>0 </w:t>
            </w:r>
            <w:r w:rsidRPr="00110D6C">
              <w:rPr>
                <w:rFonts w:cs="Times New Roman"/>
                <w:color w:val="auto"/>
                <w:szCs w:val="22"/>
                <w:lang w:val="pt-PT"/>
              </w:rPr>
              <w:t>mg duas vezes por semana)</w:t>
            </w:r>
          </w:p>
        </w:tc>
        <w:tc>
          <w:tcPr>
            <w:tcW w:w="3859" w:type="dxa"/>
            <w:gridSpan w:val="2"/>
            <w:tcBorders>
              <w:top w:val="single" w:sz="4" w:space="0" w:color="auto"/>
              <w:left w:val="single" w:sz="4" w:space="0" w:color="auto"/>
              <w:right w:val="single" w:sz="4" w:space="0" w:color="auto"/>
            </w:tcBorders>
            <w:shd w:val="clear" w:color="auto" w:fill="auto"/>
          </w:tcPr>
          <w:p w14:paraId="4D7CE5BB" w14:textId="77777777" w:rsidR="0077031F" w:rsidRPr="00110D6C" w:rsidRDefault="00030085" w:rsidP="0043129A">
            <w:pPr>
              <w:keepNext/>
              <w:keepLines/>
              <w:widowControl/>
              <w:jc w:val="center"/>
              <w:rPr>
                <w:rFonts w:cs="Times New Roman"/>
                <w:color w:val="auto"/>
                <w:szCs w:val="22"/>
                <w:lang w:val="pt-PT"/>
              </w:rPr>
            </w:pPr>
            <w:r w:rsidRPr="00110D6C">
              <w:rPr>
                <w:rFonts w:cs="Times New Roman"/>
                <w:color w:val="auto"/>
                <w:szCs w:val="22"/>
                <w:lang w:val="pt-PT"/>
              </w:rPr>
              <w:t>Ustecinumab</w:t>
            </w:r>
          </w:p>
          <w:p w14:paraId="4B861A37" w14:textId="77777777" w:rsidR="0077031F" w:rsidRPr="00110D6C" w:rsidRDefault="00B910F9" w:rsidP="005562CC">
            <w:pPr>
              <w:keepNext/>
              <w:keepLines/>
              <w:widowControl/>
              <w:jc w:val="center"/>
              <w:rPr>
                <w:rFonts w:cs="Times New Roman"/>
                <w:color w:val="auto"/>
                <w:szCs w:val="22"/>
                <w:lang w:val="pt-PT"/>
              </w:rPr>
            </w:pPr>
            <w:r w:rsidRPr="00110D6C">
              <w:rPr>
                <w:rFonts w:cs="Times New Roman"/>
                <w:color w:val="auto"/>
                <w:szCs w:val="22"/>
                <w:lang w:val="pt-PT"/>
              </w:rPr>
              <w:t>2 </w:t>
            </w:r>
            <w:r w:rsidR="00030085" w:rsidRPr="00110D6C">
              <w:rPr>
                <w:rFonts w:cs="Times New Roman"/>
                <w:color w:val="auto"/>
                <w:szCs w:val="22"/>
                <w:lang w:val="pt-PT"/>
              </w:rPr>
              <w:t>doses (Semana</w:t>
            </w:r>
            <w:r w:rsidR="005562CC" w:rsidRPr="00110D6C">
              <w:rPr>
                <w:rFonts w:cs="Times New Roman"/>
                <w:color w:val="auto"/>
                <w:szCs w:val="22"/>
                <w:lang w:val="pt-PT"/>
              </w:rPr>
              <w:t> </w:t>
            </w:r>
            <w:r w:rsidRPr="00110D6C">
              <w:rPr>
                <w:rFonts w:cs="Times New Roman"/>
                <w:color w:val="auto"/>
                <w:szCs w:val="22"/>
                <w:lang w:val="pt-PT"/>
              </w:rPr>
              <w:t>0</w:t>
            </w:r>
            <w:r w:rsidR="005562CC" w:rsidRPr="00110D6C">
              <w:rPr>
                <w:rFonts w:cs="Times New Roman"/>
                <w:color w:val="auto"/>
                <w:szCs w:val="22"/>
                <w:lang w:val="pt-PT"/>
              </w:rPr>
              <w:t xml:space="preserve"> </w:t>
            </w:r>
            <w:r w:rsidR="00030085" w:rsidRPr="00110D6C">
              <w:rPr>
                <w:rFonts w:cs="Times New Roman"/>
                <w:color w:val="auto"/>
                <w:szCs w:val="22"/>
                <w:lang w:val="pt-PT"/>
              </w:rPr>
              <w:t>e Semana</w:t>
            </w:r>
            <w:r w:rsidR="006A79E5" w:rsidRPr="00110D6C">
              <w:rPr>
                <w:rFonts w:cs="Times New Roman"/>
                <w:color w:val="auto"/>
                <w:szCs w:val="22"/>
                <w:lang w:val="pt-PT"/>
              </w:rPr>
              <w:t> </w:t>
            </w:r>
            <w:r w:rsidR="00030085" w:rsidRPr="00110D6C">
              <w:rPr>
                <w:rFonts w:cs="Times New Roman"/>
                <w:color w:val="auto"/>
                <w:szCs w:val="22"/>
                <w:lang w:val="pt-PT"/>
              </w:rPr>
              <w:t>4)</w:t>
            </w:r>
          </w:p>
        </w:tc>
      </w:tr>
      <w:tr w:rsidR="0077031F" w:rsidRPr="00110D6C" w14:paraId="0FEC6F40" w14:textId="77777777" w:rsidTr="00056B50">
        <w:tc>
          <w:tcPr>
            <w:tcW w:w="3374" w:type="dxa"/>
            <w:vMerge/>
            <w:tcBorders>
              <w:left w:val="single" w:sz="4" w:space="0" w:color="auto"/>
            </w:tcBorders>
            <w:shd w:val="clear" w:color="auto" w:fill="auto"/>
          </w:tcPr>
          <w:p w14:paraId="44DC048F" w14:textId="77777777" w:rsidR="0077031F" w:rsidRPr="00110D6C" w:rsidRDefault="0077031F" w:rsidP="0043129A">
            <w:pPr>
              <w:keepNext/>
              <w:keepLines/>
              <w:widowControl/>
              <w:rPr>
                <w:rFonts w:cs="Times New Roman"/>
                <w:color w:val="auto"/>
                <w:szCs w:val="22"/>
                <w:lang w:val="pt-PT"/>
              </w:rPr>
            </w:pPr>
          </w:p>
        </w:tc>
        <w:tc>
          <w:tcPr>
            <w:tcW w:w="1838" w:type="dxa"/>
            <w:vMerge/>
            <w:tcBorders>
              <w:left w:val="single" w:sz="4" w:space="0" w:color="auto"/>
            </w:tcBorders>
            <w:shd w:val="clear" w:color="auto" w:fill="auto"/>
          </w:tcPr>
          <w:p w14:paraId="47A7B917" w14:textId="77777777" w:rsidR="0077031F" w:rsidRPr="00110D6C" w:rsidRDefault="0077031F" w:rsidP="0043129A">
            <w:pPr>
              <w:keepNext/>
              <w:keepLines/>
              <w:widowControl/>
              <w:jc w:val="center"/>
              <w:rPr>
                <w:rFonts w:cs="Times New Roman"/>
                <w:color w:val="auto"/>
                <w:szCs w:val="22"/>
                <w:lang w:val="pt-PT"/>
              </w:rPr>
            </w:pPr>
          </w:p>
        </w:tc>
        <w:tc>
          <w:tcPr>
            <w:tcW w:w="1934" w:type="dxa"/>
            <w:tcBorders>
              <w:top w:val="single" w:sz="4" w:space="0" w:color="auto"/>
              <w:left w:val="single" w:sz="4" w:space="0" w:color="auto"/>
            </w:tcBorders>
            <w:shd w:val="clear" w:color="auto" w:fill="auto"/>
            <w:vAlign w:val="center"/>
          </w:tcPr>
          <w:p w14:paraId="08748AB7" w14:textId="77777777" w:rsidR="0077031F" w:rsidRPr="00110D6C" w:rsidRDefault="00030085" w:rsidP="00056B50">
            <w:pPr>
              <w:keepNext/>
              <w:keepLines/>
              <w:widowControl/>
              <w:jc w:val="center"/>
              <w:rPr>
                <w:rFonts w:cs="Times New Roman"/>
                <w:color w:val="auto"/>
                <w:szCs w:val="22"/>
                <w:lang w:val="pt-PT"/>
              </w:rPr>
            </w:pPr>
            <w:r w:rsidRPr="00110D6C">
              <w:rPr>
                <w:rFonts w:cs="Times New Roman"/>
                <w:color w:val="auto"/>
                <w:szCs w:val="22"/>
                <w:lang w:val="pt-PT"/>
              </w:rPr>
              <w:t>4</w:t>
            </w:r>
            <w:r w:rsidR="00B910F9" w:rsidRPr="00110D6C">
              <w:rPr>
                <w:rFonts w:cs="Times New Roman"/>
                <w:color w:val="auto"/>
                <w:szCs w:val="22"/>
                <w:lang w:val="pt-PT"/>
              </w:rPr>
              <w:t>5 </w:t>
            </w:r>
            <w:r w:rsidRPr="00110D6C">
              <w:rPr>
                <w:rFonts w:cs="Times New Roman"/>
                <w:color w:val="auto"/>
                <w:szCs w:val="22"/>
                <w:lang w:val="pt-PT"/>
              </w:rPr>
              <w:t>mg</w:t>
            </w:r>
          </w:p>
        </w:tc>
        <w:tc>
          <w:tcPr>
            <w:tcW w:w="1925" w:type="dxa"/>
            <w:tcBorders>
              <w:top w:val="single" w:sz="4" w:space="0" w:color="auto"/>
              <w:left w:val="single" w:sz="4" w:space="0" w:color="auto"/>
              <w:right w:val="single" w:sz="4" w:space="0" w:color="auto"/>
            </w:tcBorders>
            <w:shd w:val="clear" w:color="auto" w:fill="auto"/>
            <w:vAlign w:val="center"/>
          </w:tcPr>
          <w:p w14:paraId="79FA3C69" w14:textId="77777777" w:rsidR="0077031F" w:rsidRPr="00110D6C" w:rsidRDefault="00030085" w:rsidP="00056B50">
            <w:pPr>
              <w:keepNext/>
              <w:keepLines/>
              <w:widowControl/>
              <w:jc w:val="center"/>
              <w:rPr>
                <w:rFonts w:cs="Times New Roman"/>
                <w:color w:val="auto"/>
                <w:szCs w:val="22"/>
                <w:lang w:val="pt-PT"/>
              </w:rPr>
            </w:pPr>
            <w:r w:rsidRPr="00110D6C">
              <w:rPr>
                <w:rFonts w:cs="Times New Roman"/>
                <w:color w:val="auto"/>
                <w:szCs w:val="22"/>
                <w:lang w:val="pt-PT"/>
              </w:rPr>
              <w:t>9</w:t>
            </w:r>
            <w:r w:rsidR="00B910F9" w:rsidRPr="00110D6C">
              <w:rPr>
                <w:rFonts w:cs="Times New Roman"/>
                <w:color w:val="auto"/>
                <w:szCs w:val="22"/>
                <w:lang w:val="pt-PT"/>
              </w:rPr>
              <w:t>0 </w:t>
            </w:r>
            <w:r w:rsidRPr="00110D6C">
              <w:rPr>
                <w:rFonts w:cs="Times New Roman"/>
                <w:color w:val="auto"/>
                <w:szCs w:val="22"/>
                <w:lang w:val="pt-PT"/>
              </w:rPr>
              <w:t>mg</w:t>
            </w:r>
          </w:p>
        </w:tc>
      </w:tr>
      <w:tr w:rsidR="0077031F" w:rsidRPr="00110D6C" w14:paraId="33B0D186" w14:textId="77777777" w:rsidTr="0043129A">
        <w:tc>
          <w:tcPr>
            <w:tcW w:w="3374" w:type="dxa"/>
            <w:tcBorders>
              <w:top w:val="single" w:sz="4" w:space="0" w:color="auto"/>
              <w:left w:val="single" w:sz="4" w:space="0" w:color="auto"/>
            </w:tcBorders>
            <w:shd w:val="clear" w:color="auto" w:fill="auto"/>
          </w:tcPr>
          <w:p w14:paraId="7C749B53" w14:textId="77777777" w:rsidR="0077031F" w:rsidRPr="00110D6C" w:rsidRDefault="00030085" w:rsidP="0043129A">
            <w:pPr>
              <w:keepNext/>
              <w:keepLines/>
              <w:widowControl/>
              <w:rPr>
                <w:rFonts w:cs="Times New Roman"/>
                <w:color w:val="auto"/>
                <w:szCs w:val="22"/>
                <w:lang w:val="pt-PT"/>
              </w:rPr>
            </w:pPr>
            <w:r w:rsidRPr="00110D6C">
              <w:rPr>
                <w:rFonts w:cs="Times New Roman"/>
                <w:color w:val="auto"/>
                <w:szCs w:val="22"/>
                <w:lang w:val="pt-PT"/>
              </w:rPr>
              <w:t>Número de doentes aleatorizados</w:t>
            </w:r>
          </w:p>
        </w:tc>
        <w:tc>
          <w:tcPr>
            <w:tcW w:w="1838" w:type="dxa"/>
            <w:tcBorders>
              <w:top w:val="single" w:sz="4" w:space="0" w:color="auto"/>
              <w:left w:val="single" w:sz="4" w:space="0" w:color="auto"/>
            </w:tcBorders>
            <w:shd w:val="clear" w:color="auto" w:fill="auto"/>
          </w:tcPr>
          <w:p w14:paraId="2077BE62" w14:textId="77777777" w:rsidR="0077031F" w:rsidRPr="00110D6C" w:rsidRDefault="00030085" w:rsidP="0043129A">
            <w:pPr>
              <w:keepNext/>
              <w:keepLines/>
              <w:widowControl/>
              <w:jc w:val="center"/>
              <w:rPr>
                <w:rFonts w:cs="Times New Roman"/>
                <w:color w:val="auto"/>
                <w:szCs w:val="22"/>
                <w:lang w:val="pt-PT"/>
              </w:rPr>
            </w:pPr>
            <w:r w:rsidRPr="00110D6C">
              <w:rPr>
                <w:rFonts w:cs="Times New Roman"/>
                <w:color w:val="auto"/>
                <w:szCs w:val="22"/>
                <w:lang w:val="pt-PT"/>
              </w:rPr>
              <w:t>347</w:t>
            </w:r>
          </w:p>
        </w:tc>
        <w:tc>
          <w:tcPr>
            <w:tcW w:w="1934" w:type="dxa"/>
            <w:tcBorders>
              <w:top w:val="single" w:sz="4" w:space="0" w:color="auto"/>
              <w:left w:val="single" w:sz="4" w:space="0" w:color="auto"/>
            </w:tcBorders>
            <w:shd w:val="clear" w:color="auto" w:fill="auto"/>
          </w:tcPr>
          <w:p w14:paraId="2CCF7990" w14:textId="77777777" w:rsidR="0077031F" w:rsidRPr="00110D6C" w:rsidRDefault="00030085" w:rsidP="0043129A">
            <w:pPr>
              <w:keepNext/>
              <w:keepLines/>
              <w:widowControl/>
              <w:jc w:val="center"/>
              <w:rPr>
                <w:rFonts w:cs="Times New Roman"/>
                <w:color w:val="auto"/>
                <w:szCs w:val="22"/>
                <w:lang w:val="pt-PT"/>
              </w:rPr>
            </w:pPr>
            <w:r w:rsidRPr="00110D6C">
              <w:rPr>
                <w:rFonts w:cs="Times New Roman"/>
                <w:color w:val="auto"/>
                <w:szCs w:val="22"/>
                <w:lang w:val="pt-PT"/>
              </w:rPr>
              <w:t>209</w:t>
            </w:r>
          </w:p>
        </w:tc>
        <w:tc>
          <w:tcPr>
            <w:tcW w:w="1925" w:type="dxa"/>
            <w:tcBorders>
              <w:top w:val="single" w:sz="4" w:space="0" w:color="auto"/>
              <w:left w:val="single" w:sz="4" w:space="0" w:color="auto"/>
              <w:right w:val="single" w:sz="4" w:space="0" w:color="auto"/>
            </w:tcBorders>
            <w:shd w:val="clear" w:color="auto" w:fill="auto"/>
          </w:tcPr>
          <w:p w14:paraId="2E77597D" w14:textId="77777777" w:rsidR="0077031F" w:rsidRPr="00110D6C" w:rsidRDefault="00030085" w:rsidP="0043129A">
            <w:pPr>
              <w:keepNext/>
              <w:keepLines/>
              <w:widowControl/>
              <w:jc w:val="center"/>
              <w:rPr>
                <w:rFonts w:cs="Times New Roman"/>
                <w:color w:val="auto"/>
                <w:szCs w:val="22"/>
                <w:lang w:val="pt-PT"/>
              </w:rPr>
            </w:pPr>
            <w:r w:rsidRPr="00110D6C">
              <w:rPr>
                <w:rFonts w:cs="Times New Roman"/>
                <w:color w:val="auto"/>
                <w:szCs w:val="22"/>
                <w:lang w:val="pt-PT"/>
              </w:rPr>
              <w:t>347</w:t>
            </w:r>
          </w:p>
        </w:tc>
      </w:tr>
      <w:tr w:rsidR="0077031F" w:rsidRPr="00110D6C" w14:paraId="47D99321" w14:textId="77777777" w:rsidTr="0043129A">
        <w:tc>
          <w:tcPr>
            <w:tcW w:w="3374" w:type="dxa"/>
            <w:tcBorders>
              <w:top w:val="single" w:sz="4" w:space="0" w:color="auto"/>
              <w:left w:val="single" w:sz="4" w:space="0" w:color="auto"/>
            </w:tcBorders>
            <w:shd w:val="clear" w:color="auto" w:fill="auto"/>
          </w:tcPr>
          <w:p w14:paraId="2162D59A" w14:textId="040279EC" w:rsidR="0077031F" w:rsidRPr="00110D6C" w:rsidRDefault="00030085" w:rsidP="006A79E5">
            <w:pPr>
              <w:keepNext/>
              <w:keepLines/>
              <w:widowControl/>
              <w:rPr>
                <w:rFonts w:cs="Times New Roman"/>
                <w:color w:val="auto"/>
                <w:szCs w:val="22"/>
                <w:lang w:val="pt-PT"/>
              </w:rPr>
            </w:pPr>
            <w:r w:rsidRPr="00110D6C">
              <w:rPr>
                <w:rFonts w:cs="Times New Roman"/>
                <w:color w:val="auto"/>
                <w:szCs w:val="22"/>
                <w:lang w:val="pt-PT"/>
              </w:rPr>
              <w:t>N.º de respostas PASI</w:t>
            </w:r>
            <w:r w:rsidR="00D5307E">
              <w:rPr>
                <w:rFonts w:cs="Times New Roman"/>
                <w:color w:val="auto"/>
                <w:szCs w:val="22"/>
                <w:lang w:val="pt-PT"/>
              </w:rPr>
              <w:t> </w:t>
            </w:r>
            <w:r w:rsidRPr="00110D6C">
              <w:rPr>
                <w:rFonts w:cs="Times New Roman"/>
                <w:color w:val="auto"/>
                <w:szCs w:val="22"/>
                <w:lang w:val="pt-PT"/>
              </w:rPr>
              <w:t>5</w:t>
            </w:r>
            <w:r w:rsidR="00B910F9" w:rsidRPr="00110D6C">
              <w:rPr>
                <w:rFonts w:cs="Times New Roman"/>
                <w:color w:val="auto"/>
                <w:szCs w:val="22"/>
                <w:lang w:val="pt-PT"/>
              </w:rPr>
              <w:t>0</w:t>
            </w:r>
            <w:r w:rsidR="006A79E5" w:rsidRPr="00110D6C">
              <w:rPr>
                <w:rFonts w:cs="Times New Roman"/>
                <w:color w:val="auto"/>
                <w:szCs w:val="22"/>
                <w:lang w:val="pt-PT"/>
              </w:rPr>
              <w:t xml:space="preserve"> </w:t>
            </w:r>
            <w:r w:rsidRPr="00110D6C">
              <w:rPr>
                <w:rFonts w:cs="Times New Roman"/>
                <w:color w:val="auto"/>
                <w:szCs w:val="22"/>
                <w:lang w:val="pt-PT"/>
              </w:rPr>
              <w:t>(%)</w:t>
            </w:r>
          </w:p>
        </w:tc>
        <w:tc>
          <w:tcPr>
            <w:tcW w:w="1838" w:type="dxa"/>
            <w:tcBorders>
              <w:top w:val="single" w:sz="4" w:space="0" w:color="auto"/>
              <w:left w:val="single" w:sz="4" w:space="0" w:color="auto"/>
            </w:tcBorders>
            <w:shd w:val="clear" w:color="auto" w:fill="auto"/>
          </w:tcPr>
          <w:p w14:paraId="67A93934" w14:textId="77777777" w:rsidR="0077031F" w:rsidRPr="00110D6C" w:rsidRDefault="00030085" w:rsidP="006A79E5">
            <w:pPr>
              <w:keepNext/>
              <w:keepLines/>
              <w:widowControl/>
              <w:jc w:val="center"/>
              <w:rPr>
                <w:rFonts w:cs="Times New Roman"/>
                <w:color w:val="auto"/>
                <w:szCs w:val="22"/>
                <w:lang w:val="pt-PT"/>
              </w:rPr>
            </w:pPr>
            <w:r w:rsidRPr="00110D6C">
              <w:rPr>
                <w:rFonts w:cs="Times New Roman"/>
                <w:color w:val="auto"/>
                <w:szCs w:val="22"/>
                <w:lang w:val="pt-PT"/>
              </w:rPr>
              <w:t>28</w:t>
            </w:r>
            <w:r w:rsidR="00B910F9" w:rsidRPr="00110D6C">
              <w:rPr>
                <w:rFonts w:cs="Times New Roman"/>
                <w:color w:val="auto"/>
                <w:szCs w:val="22"/>
                <w:lang w:val="pt-PT"/>
              </w:rPr>
              <w:t>6</w:t>
            </w:r>
            <w:r w:rsidR="006A79E5" w:rsidRPr="00110D6C">
              <w:rPr>
                <w:rFonts w:cs="Times New Roman"/>
                <w:color w:val="auto"/>
                <w:szCs w:val="22"/>
                <w:lang w:val="pt-PT"/>
              </w:rPr>
              <w:t xml:space="preserve"> </w:t>
            </w:r>
            <w:r w:rsidRPr="00110D6C">
              <w:rPr>
                <w:rFonts w:cs="Times New Roman"/>
                <w:color w:val="auto"/>
                <w:szCs w:val="22"/>
                <w:lang w:val="pt-PT"/>
              </w:rPr>
              <w:t>(82%)</w:t>
            </w:r>
          </w:p>
        </w:tc>
        <w:tc>
          <w:tcPr>
            <w:tcW w:w="1934" w:type="dxa"/>
            <w:tcBorders>
              <w:top w:val="single" w:sz="4" w:space="0" w:color="auto"/>
              <w:left w:val="single" w:sz="4" w:space="0" w:color="auto"/>
            </w:tcBorders>
            <w:shd w:val="clear" w:color="auto" w:fill="auto"/>
          </w:tcPr>
          <w:p w14:paraId="62046BEF" w14:textId="77777777" w:rsidR="0077031F" w:rsidRPr="00110D6C" w:rsidRDefault="00030085" w:rsidP="006A79E5">
            <w:pPr>
              <w:keepNext/>
              <w:keepLines/>
              <w:widowControl/>
              <w:jc w:val="center"/>
              <w:rPr>
                <w:rFonts w:cs="Times New Roman"/>
                <w:color w:val="auto"/>
                <w:szCs w:val="22"/>
                <w:lang w:val="pt-PT"/>
              </w:rPr>
            </w:pPr>
            <w:r w:rsidRPr="00110D6C">
              <w:rPr>
                <w:rFonts w:cs="Times New Roman"/>
                <w:color w:val="auto"/>
                <w:szCs w:val="22"/>
                <w:lang w:val="pt-PT"/>
              </w:rPr>
              <w:t>18</w:t>
            </w:r>
            <w:r w:rsidR="00B910F9" w:rsidRPr="00110D6C">
              <w:rPr>
                <w:rFonts w:cs="Times New Roman"/>
                <w:color w:val="auto"/>
                <w:szCs w:val="22"/>
                <w:lang w:val="pt-PT"/>
              </w:rPr>
              <w:t>1</w:t>
            </w:r>
            <w:r w:rsidR="006A79E5" w:rsidRPr="00110D6C">
              <w:rPr>
                <w:rFonts w:cs="Times New Roman"/>
                <w:color w:val="auto"/>
                <w:szCs w:val="22"/>
                <w:lang w:val="pt-PT"/>
              </w:rPr>
              <w:t xml:space="preserve"> </w:t>
            </w:r>
            <w:r w:rsidRPr="00110D6C">
              <w:rPr>
                <w:rFonts w:cs="Times New Roman"/>
                <w:color w:val="auto"/>
                <w:szCs w:val="22"/>
                <w:lang w:val="pt-PT"/>
              </w:rPr>
              <w:t>(87%)</w:t>
            </w:r>
          </w:p>
        </w:tc>
        <w:tc>
          <w:tcPr>
            <w:tcW w:w="1925" w:type="dxa"/>
            <w:tcBorders>
              <w:top w:val="single" w:sz="4" w:space="0" w:color="auto"/>
              <w:left w:val="single" w:sz="4" w:space="0" w:color="auto"/>
              <w:right w:val="single" w:sz="4" w:space="0" w:color="auto"/>
            </w:tcBorders>
            <w:shd w:val="clear" w:color="auto" w:fill="auto"/>
          </w:tcPr>
          <w:p w14:paraId="5EADAD2D" w14:textId="77777777" w:rsidR="0077031F" w:rsidRPr="00110D6C" w:rsidRDefault="00030085" w:rsidP="006A79E5">
            <w:pPr>
              <w:keepNext/>
              <w:keepLines/>
              <w:widowControl/>
              <w:jc w:val="center"/>
              <w:rPr>
                <w:rFonts w:cs="Times New Roman"/>
                <w:color w:val="auto"/>
                <w:szCs w:val="22"/>
                <w:lang w:val="pt-PT"/>
              </w:rPr>
            </w:pPr>
            <w:r w:rsidRPr="00110D6C">
              <w:rPr>
                <w:rFonts w:cs="Times New Roman"/>
                <w:color w:val="auto"/>
                <w:szCs w:val="22"/>
                <w:lang w:val="pt-PT"/>
              </w:rPr>
              <w:t>32</w:t>
            </w:r>
            <w:r w:rsidR="00B910F9" w:rsidRPr="00110D6C">
              <w:rPr>
                <w:rFonts w:cs="Times New Roman"/>
                <w:color w:val="auto"/>
                <w:szCs w:val="22"/>
                <w:lang w:val="pt-PT"/>
              </w:rPr>
              <w:t>0</w:t>
            </w:r>
            <w:r w:rsidR="006A79E5" w:rsidRPr="00110D6C">
              <w:rPr>
                <w:rFonts w:cs="Times New Roman"/>
                <w:color w:val="auto"/>
                <w:szCs w:val="22"/>
                <w:lang w:val="pt-PT"/>
              </w:rPr>
              <w:t xml:space="preserve"> </w:t>
            </w:r>
            <w:r w:rsidRPr="00110D6C">
              <w:rPr>
                <w:rFonts w:cs="Times New Roman"/>
                <w:color w:val="auto"/>
                <w:szCs w:val="22"/>
                <w:lang w:val="pt-PT"/>
              </w:rPr>
              <w:t xml:space="preserve">(92%) </w:t>
            </w:r>
            <w:r w:rsidRPr="00110D6C">
              <w:rPr>
                <w:rFonts w:cs="Times New Roman"/>
                <w:color w:val="auto"/>
                <w:szCs w:val="22"/>
                <w:vertAlign w:val="superscript"/>
                <w:lang w:val="pt-PT"/>
              </w:rPr>
              <w:t>a</w:t>
            </w:r>
          </w:p>
        </w:tc>
      </w:tr>
      <w:tr w:rsidR="0077031F" w:rsidRPr="00110D6C" w14:paraId="4E152F59" w14:textId="77777777" w:rsidTr="0043129A">
        <w:tc>
          <w:tcPr>
            <w:tcW w:w="3374" w:type="dxa"/>
            <w:tcBorders>
              <w:top w:val="single" w:sz="4" w:space="0" w:color="auto"/>
              <w:left w:val="single" w:sz="4" w:space="0" w:color="auto"/>
            </w:tcBorders>
            <w:shd w:val="clear" w:color="auto" w:fill="auto"/>
          </w:tcPr>
          <w:p w14:paraId="00EE3587" w14:textId="6E0BF32D" w:rsidR="0077031F" w:rsidRPr="00110D6C" w:rsidRDefault="00030085" w:rsidP="006A79E5">
            <w:pPr>
              <w:widowControl/>
              <w:rPr>
                <w:rFonts w:cs="Times New Roman"/>
                <w:color w:val="auto"/>
                <w:szCs w:val="22"/>
                <w:lang w:val="pt-PT"/>
              </w:rPr>
            </w:pPr>
            <w:r w:rsidRPr="00110D6C">
              <w:rPr>
                <w:rFonts w:cs="Times New Roman"/>
                <w:color w:val="auto"/>
                <w:szCs w:val="22"/>
                <w:lang w:val="pt-PT"/>
              </w:rPr>
              <w:t>N.º de respostas PASI</w:t>
            </w:r>
            <w:r w:rsidR="00D5307E">
              <w:rPr>
                <w:rFonts w:cs="Times New Roman"/>
                <w:color w:val="auto"/>
                <w:szCs w:val="22"/>
                <w:lang w:val="pt-PT"/>
              </w:rPr>
              <w:t> </w:t>
            </w:r>
            <w:r w:rsidRPr="00110D6C">
              <w:rPr>
                <w:rFonts w:cs="Times New Roman"/>
                <w:color w:val="auto"/>
                <w:szCs w:val="22"/>
                <w:lang w:val="pt-PT"/>
              </w:rPr>
              <w:t>7</w:t>
            </w:r>
            <w:r w:rsidR="00B910F9" w:rsidRPr="00110D6C">
              <w:rPr>
                <w:rFonts w:cs="Times New Roman"/>
                <w:color w:val="auto"/>
                <w:szCs w:val="22"/>
                <w:lang w:val="pt-PT"/>
              </w:rPr>
              <w:t>5</w:t>
            </w:r>
            <w:r w:rsidR="006A79E5" w:rsidRPr="00110D6C">
              <w:rPr>
                <w:rFonts w:cs="Times New Roman"/>
                <w:color w:val="auto"/>
                <w:szCs w:val="22"/>
                <w:lang w:val="pt-PT"/>
              </w:rPr>
              <w:t xml:space="preserve"> </w:t>
            </w:r>
            <w:r w:rsidRPr="00110D6C">
              <w:rPr>
                <w:rFonts w:cs="Times New Roman"/>
                <w:color w:val="auto"/>
                <w:szCs w:val="22"/>
                <w:lang w:val="pt-PT"/>
              </w:rPr>
              <w:t>(%)</w:t>
            </w:r>
          </w:p>
        </w:tc>
        <w:tc>
          <w:tcPr>
            <w:tcW w:w="1838" w:type="dxa"/>
            <w:tcBorders>
              <w:top w:val="single" w:sz="4" w:space="0" w:color="auto"/>
              <w:left w:val="single" w:sz="4" w:space="0" w:color="auto"/>
            </w:tcBorders>
            <w:shd w:val="clear" w:color="auto" w:fill="auto"/>
          </w:tcPr>
          <w:p w14:paraId="4D883C08" w14:textId="77777777" w:rsidR="0077031F" w:rsidRPr="00110D6C" w:rsidRDefault="00030085" w:rsidP="006A79E5">
            <w:pPr>
              <w:widowControl/>
              <w:jc w:val="center"/>
              <w:rPr>
                <w:rFonts w:cs="Times New Roman"/>
                <w:color w:val="auto"/>
                <w:szCs w:val="22"/>
                <w:lang w:val="pt-PT"/>
              </w:rPr>
            </w:pPr>
            <w:r w:rsidRPr="00110D6C">
              <w:rPr>
                <w:rFonts w:cs="Times New Roman"/>
                <w:color w:val="auto"/>
                <w:szCs w:val="22"/>
                <w:lang w:val="pt-PT"/>
              </w:rPr>
              <w:t>19</w:t>
            </w:r>
            <w:r w:rsidR="00B910F9" w:rsidRPr="00110D6C">
              <w:rPr>
                <w:rFonts w:cs="Times New Roman"/>
                <w:color w:val="auto"/>
                <w:szCs w:val="22"/>
                <w:lang w:val="pt-PT"/>
              </w:rPr>
              <w:t>7</w:t>
            </w:r>
            <w:r w:rsidR="006A79E5" w:rsidRPr="00110D6C">
              <w:rPr>
                <w:rFonts w:cs="Times New Roman"/>
                <w:color w:val="auto"/>
                <w:szCs w:val="22"/>
                <w:lang w:val="pt-PT"/>
              </w:rPr>
              <w:t xml:space="preserve"> </w:t>
            </w:r>
            <w:r w:rsidRPr="00110D6C">
              <w:rPr>
                <w:rFonts w:cs="Times New Roman"/>
                <w:color w:val="auto"/>
                <w:szCs w:val="22"/>
                <w:lang w:val="pt-PT"/>
              </w:rPr>
              <w:t>(57%)</w:t>
            </w:r>
          </w:p>
        </w:tc>
        <w:tc>
          <w:tcPr>
            <w:tcW w:w="1934" w:type="dxa"/>
            <w:tcBorders>
              <w:top w:val="single" w:sz="4" w:space="0" w:color="auto"/>
              <w:left w:val="single" w:sz="4" w:space="0" w:color="auto"/>
            </w:tcBorders>
            <w:shd w:val="clear" w:color="auto" w:fill="auto"/>
          </w:tcPr>
          <w:p w14:paraId="7E73DD63" w14:textId="77777777" w:rsidR="0077031F" w:rsidRPr="00110D6C" w:rsidRDefault="00030085" w:rsidP="006A79E5">
            <w:pPr>
              <w:widowControl/>
              <w:jc w:val="center"/>
              <w:rPr>
                <w:rFonts w:cs="Times New Roman"/>
                <w:color w:val="auto"/>
                <w:szCs w:val="22"/>
                <w:lang w:val="pt-PT"/>
              </w:rPr>
            </w:pPr>
            <w:r w:rsidRPr="00110D6C">
              <w:rPr>
                <w:rFonts w:cs="Times New Roman"/>
                <w:color w:val="auto"/>
                <w:szCs w:val="22"/>
                <w:lang w:val="pt-PT"/>
              </w:rPr>
              <w:t>14</w:t>
            </w:r>
            <w:r w:rsidR="00B910F9" w:rsidRPr="00110D6C">
              <w:rPr>
                <w:rFonts w:cs="Times New Roman"/>
                <w:color w:val="auto"/>
                <w:szCs w:val="22"/>
                <w:lang w:val="pt-PT"/>
              </w:rPr>
              <w:t>1</w:t>
            </w:r>
            <w:r w:rsidR="006A79E5" w:rsidRPr="00110D6C">
              <w:rPr>
                <w:rFonts w:cs="Times New Roman"/>
                <w:color w:val="auto"/>
                <w:szCs w:val="22"/>
                <w:lang w:val="pt-PT"/>
              </w:rPr>
              <w:t xml:space="preserve"> </w:t>
            </w:r>
            <w:r w:rsidRPr="00110D6C">
              <w:rPr>
                <w:rFonts w:cs="Times New Roman"/>
                <w:color w:val="auto"/>
                <w:szCs w:val="22"/>
                <w:lang w:val="pt-PT"/>
              </w:rPr>
              <w:t>(67%)</w:t>
            </w:r>
            <w:r w:rsidRPr="00110D6C">
              <w:rPr>
                <w:rFonts w:cs="Times New Roman"/>
                <w:color w:val="auto"/>
                <w:szCs w:val="22"/>
                <w:vertAlign w:val="superscript"/>
                <w:lang w:val="pt-PT"/>
              </w:rPr>
              <w:t>b</w:t>
            </w:r>
          </w:p>
        </w:tc>
        <w:tc>
          <w:tcPr>
            <w:tcW w:w="1925" w:type="dxa"/>
            <w:tcBorders>
              <w:top w:val="single" w:sz="4" w:space="0" w:color="auto"/>
              <w:left w:val="single" w:sz="4" w:space="0" w:color="auto"/>
              <w:right w:val="single" w:sz="4" w:space="0" w:color="auto"/>
            </w:tcBorders>
            <w:shd w:val="clear" w:color="auto" w:fill="auto"/>
          </w:tcPr>
          <w:p w14:paraId="3E012C81" w14:textId="77777777" w:rsidR="0077031F" w:rsidRPr="00110D6C" w:rsidRDefault="00030085" w:rsidP="006A79E5">
            <w:pPr>
              <w:widowControl/>
              <w:jc w:val="center"/>
              <w:rPr>
                <w:rFonts w:cs="Times New Roman"/>
                <w:color w:val="auto"/>
                <w:szCs w:val="22"/>
                <w:lang w:val="pt-PT"/>
              </w:rPr>
            </w:pPr>
            <w:r w:rsidRPr="00110D6C">
              <w:rPr>
                <w:rFonts w:cs="Times New Roman"/>
                <w:color w:val="auto"/>
                <w:szCs w:val="22"/>
                <w:lang w:val="pt-PT"/>
              </w:rPr>
              <w:t>25</w:t>
            </w:r>
            <w:r w:rsidR="00B910F9" w:rsidRPr="00110D6C">
              <w:rPr>
                <w:rFonts w:cs="Times New Roman"/>
                <w:color w:val="auto"/>
                <w:szCs w:val="22"/>
                <w:lang w:val="pt-PT"/>
              </w:rPr>
              <w:t>6</w:t>
            </w:r>
            <w:r w:rsidR="006A79E5" w:rsidRPr="00110D6C">
              <w:rPr>
                <w:rFonts w:cs="Times New Roman"/>
                <w:color w:val="auto"/>
                <w:szCs w:val="22"/>
                <w:lang w:val="pt-PT"/>
              </w:rPr>
              <w:t xml:space="preserve"> </w:t>
            </w:r>
            <w:r w:rsidRPr="00110D6C">
              <w:rPr>
                <w:rFonts w:cs="Times New Roman"/>
                <w:color w:val="auto"/>
                <w:szCs w:val="22"/>
                <w:lang w:val="pt-PT"/>
              </w:rPr>
              <w:t xml:space="preserve">(74%) </w:t>
            </w:r>
            <w:r w:rsidRPr="00110D6C">
              <w:rPr>
                <w:rFonts w:cs="Times New Roman"/>
                <w:color w:val="auto"/>
                <w:szCs w:val="22"/>
                <w:vertAlign w:val="superscript"/>
                <w:lang w:val="pt-PT"/>
              </w:rPr>
              <w:t>a</w:t>
            </w:r>
          </w:p>
        </w:tc>
      </w:tr>
      <w:tr w:rsidR="0077031F" w:rsidRPr="00110D6C" w14:paraId="756CE1D7" w14:textId="77777777" w:rsidTr="0043129A">
        <w:tc>
          <w:tcPr>
            <w:tcW w:w="3374" w:type="dxa"/>
            <w:tcBorders>
              <w:top w:val="single" w:sz="4" w:space="0" w:color="auto"/>
              <w:left w:val="single" w:sz="4" w:space="0" w:color="auto"/>
            </w:tcBorders>
            <w:shd w:val="clear" w:color="auto" w:fill="auto"/>
          </w:tcPr>
          <w:p w14:paraId="1DC6450C" w14:textId="5B7CF823" w:rsidR="0077031F" w:rsidRPr="00110D6C" w:rsidRDefault="00030085" w:rsidP="006A79E5">
            <w:pPr>
              <w:widowControl/>
              <w:rPr>
                <w:rFonts w:cs="Times New Roman"/>
                <w:color w:val="auto"/>
                <w:szCs w:val="22"/>
                <w:lang w:val="pt-PT"/>
              </w:rPr>
            </w:pPr>
            <w:r w:rsidRPr="00110D6C">
              <w:rPr>
                <w:rFonts w:cs="Times New Roman"/>
                <w:color w:val="auto"/>
                <w:szCs w:val="22"/>
                <w:lang w:val="pt-PT"/>
              </w:rPr>
              <w:t>N.º de respostas PASI</w:t>
            </w:r>
            <w:r w:rsidR="00D5307E">
              <w:rPr>
                <w:rFonts w:cs="Times New Roman"/>
                <w:color w:val="auto"/>
                <w:szCs w:val="22"/>
                <w:lang w:val="pt-PT"/>
              </w:rPr>
              <w:t> </w:t>
            </w:r>
            <w:r w:rsidRPr="00110D6C">
              <w:rPr>
                <w:rFonts w:cs="Times New Roman"/>
                <w:color w:val="auto"/>
                <w:szCs w:val="22"/>
                <w:lang w:val="pt-PT"/>
              </w:rPr>
              <w:t>9</w:t>
            </w:r>
            <w:r w:rsidR="00B910F9" w:rsidRPr="00110D6C">
              <w:rPr>
                <w:rFonts w:cs="Times New Roman"/>
                <w:color w:val="auto"/>
                <w:szCs w:val="22"/>
                <w:lang w:val="pt-PT"/>
              </w:rPr>
              <w:t>0</w:t>
            </w:r>
            <w:r w:rsidR="006A79E5" w:rsidRPr="00110D6C">
              <w:rPr>
                <w:rFonts w:cs="Times New Roman"/>
                <w:color w:val="auto"/>
                <w:szCs w:val="22"/>
                <w:lang w:val="pt-PT"/>
              </w:rPr>
              <w:t xml:space="preserve"> </w:t>
            </w:r>
            <w:r w:rsidRPr="00110D6C">
              <w:rPr>
                <w:rFonts w:cs="Times New Roman"/>
                <w:color w:val="auto"/>
                <w:szCs w:val="22"/>
                <w:lang w:val="pt-PT"/>
              </w:rPr>
              <w:t>(%)</w:t>
            </w:r>
          </w:p>
        </w:tc>
        <w:tc>
          <w:tcPr>
            <w:tcW w:w="1838" w:type="dxa"/>
            <w:tcBorders>
              <w:top w:val="single" w:sz="4" w:space="0" w:color="auto"/>
              <w:left w:val="single" w:sz="4" w:space="0" w:color="auto"/>
            </w:tcBorders>
            <w:shd w:val="clear" w:color="auto" w:fill="auto"/>
          </w:tcPr>
          <w:p w14:paraId="5A539D6C" w14:textId="77777777" w:rsidR="0077031F" w:rsidRPr="00110D6C" w:rsidRDefault="00030085" w:rsidP="006A79E5">
            <w:pPr>
              <w:widowControl/>
              <w:jc w:val="center"/>
              <w:rPr>
                <w:rFonts w:cs="Times New Roman"/>
                <w:color w:val="auto"/>
                <w:szCs w:val="22"/>
                <w:lang w:val="pt-PT"/>
              </w:rPr>
            </w:pPr>
            <w:r w:rsidRPr="00110D6C">
              <w:rPr>
                <w:rFonts w:cs="Times New Roman"/>
                <w:color w:val="auto"/>
                <w:szCs w:val="22"/>
                <w:lang w:val="pt-PT"/>
              </w:rPr>
              <w:t>8</w:t>
            </w:r>
            <w:r w:rsidR="00B910F9" w:rsidRPr="00110D6C">
              <w:rPr>
                <w:rFonts w:cs="Times New Roman"/>
                <w:color w:val="auto"/>
                <w:szCs w:val="22"/>
                <w:lang w:val="pt-PT"/>
              </w:rPr>
              <w:t>0</w:t>
            </w:r>
            <w:r w:rsidR="006A79E5" w:rsidRPr="00110D6C">
              <w:rPr>
                <w:rFonts w:cs="Times New Roman"/>
                <w:color w:val="auto"/>
                <w:szCs w:val="22"/>
                <w:lang w:val="pt-PT"/>
              </w:rPr>
              <w:t xml:space="preserve"> </w:t>
            </w:r>
            <w:r w:rsidRPr="00110D6C">
              <w:rPr>
                <w:rFonts w:cs="Times New Roman"/>
                <w:color w:val="auto"/>
                <w:szCs w:val="22"/>
                <w:lang w:val="pt-PT"/>
              </w:rPr>
              <w:t>(23%)</w:t>
            </w:r>
          </w:p>
        </w:tc>
        <w:tc>
          <w:tcPr>
            <w:tcW w:w="1934" w:type="dxa"/>
            <w:tcBorders>
              <w:top w:val="single" w:sz="4" w:space="0" w:color="auto"/>
              <w:left w:val="single" w:sz="4" w:space="0" w:color="auto"/>
            </w:tcBorders>
            <w:shd w:val="clear" w:color="auto" w:fill="auto"/>
          </w:tcPr>
          <w:p w14:paraId="54CB1DB0" w14:textId="77777777" w:rsidR="0077031F" w:rsidRPr="00110D6C" w:rsidRDefault="00030085" w:rsidP="006A79E5">
            <w:pPr>
              <w:widowControl/>
              <w:jc w:val="center"/>
              <w:rPr>
                <w:rFonts w:cs="Times New Roman"/>
                <w:color w:val="auto"/>
                <w:szCs w:val="22"/>
                <w:lang w:val="pt-PT"/>
              </w:rPr>
            </w:pPr>
            <w:r w:rsidRPr="00110D6C">
              <w:rPr>
                <w:rFonts w:cs="Times New Roman"/>
                <w:color w:val="auto"/>
                <w:szCs w:val="22"/>
                <w:lang w:val="pt-PT"/>
              </w:rPr>
              <w:t>7</w:t>
            </w:r>
            <w:r w:rsidR="00B910F9" w:rsidRPr="00110D6C">
              <w:rPr>
                <w:rFonts w:cs="Times New Roman"/>
                <w:color w:val="auto"/>
                <w:szCs w:val="22"/>
                <w:lang w:val="pt-PT"/>
              </w:rPr>
              <w:t>6</w:t>
            </w:r>
            <w:r w:rsidR="006A79E5" w:rsidRPr="00110D6C">
              <w:rPr>
                <w:rFonts w:cs="Times New Roman"/>
                <w:color w:val="auto"/>
                <w:szCs w:val="22"/>
                <w:lang w:val="pt-PT"/>
              </w:rPr>
              <w:t xml:space="preserve"> </w:t>
            </w:r>
            <w:r w:rsidRPr="00110D6C">
              <w:rPr>
                <w:rFonts w:cs="Times New Roman"/>
                <w:color w:val="auto"/>
                <w:szCs w:val="22"/>
                <w:lang w:val="pt-PT"/>
              </w:rPr>
              <w:t xml:space="preserve">(36%) </w:t>
            </w:r>
            <w:r w:rsidRPr="00110D6C">
              <w:rPr>
                <w:rFonts w:cs="Times New Roman"/>
                <w:color w:val="auto"/>
                <w:szCs w:val="22"/>
                <w:vertAlign w:val="superscript"/>
                <w:lang w:val="pt-PT"/>
              </w:rPr>
              <w:t>a</w:t>
            </w:r>
          </w:p>
        </w:tc>
        <w:tc>
          <w:tcPr>
            <w:tcW w:w="1925" w:type="dxa"/>
            <w:tcBorders>
              <w:top w:val="single" w:sz="4" w:space="0" w:color="auto"/>
              <w:left w:val="single" w:sz="4" w:space="0" w:color="auto"/>
              <w:right w:val="single" w:sz="4" w:space="0" w:color="auto"/>
            </w:tcBorders>
            <w:shd w:val="clear" w:color="auto" w:fill="auto"/>
          </w:tcPr>
          <w:p w14:paraId="0F3EC088" w14:textId="77777777" w:rsidR="0077031F" w:rsidRPr="00110D6C" w:rsidRDefault="00030085" w:rsidP="006A79E5">
            <w:pPr>
              <w:widowControl/>
              <w:jc w:val="center"/>
              <w:rPr>
                <w:rFonts w:cs="Times New Roman"/>
                <w:color w:val="auto"/>
                <w:szCs w:val="22"/>
                <w:lang w:val="pt-PT"/>
              </w:rPr>
            </w:pPr>
            <w:r w:rsidRPr="00110D6C">
              <w:rPr>
                <w:rFonts w:cs="Times New Roman"/>
                <w:color w:val="auto"/>
                <w:szCs w:val="22"/>
                <w:lang w:val="pt-PT"/>
              </w:rPr>
              <w:t>15</w:t>
            </w:r>
            <w:r w:rsidR="00B910F9" w:rsidRPr="00110D6C">
              <w:rPr>
                <w:rFonts w:cs="Times New Roman"/>
                <w:color w:val="auto"/>
                <w:szCs w:val="22"/>
                <w:lang w:val="pt-PT"/>
              </w:rPr>
              <w:t>5</w:t>
            </w:r>
            <w:r w:rsidR="006A79E5" w:rsidRPr="00110D6C">
              <w:rPr>
                <w:rFonts w:cs="Times New Roman"/>
                <w:color w:val="auto"/>
                <w:szCs w:val="22"/>
                <w:lang w:val="pt-PT"/>
              </w:rPr>
              <w:t xml:space="preserve"> </w:t>
            </w:r>
            <w:r w:rsidRPr="00110D6C">
              <w:rPr>
                <w:rFonts w:cs="Times New Roman"/>
                <w:color w:val="auto"/>
                <w:szCs w:val="22"/>
                <w:lang w:val="pt-PT"/>
              </w:rPr>
              <w:t xml:space="preserve">(45%) </w:t>
            </w:r>
            <w:r w:rsidRPr="00110D6C">
              <w:rPr>
                <w:rFonts w:cs="Times New Roman"/>
                <w:color w:val="auto"/>
                <w:szCs w:val="22"/>
                <w:vertAlign w:val="superscript"/>
                <w:lang w:val="pt-PT"/>
              </w:rPr>
              <w:t>a</w:t>
            </w:r>
          </w:p>
        </w:tc>
      </w:tr>
      <w:tr w:rsidR="0077031F" w:rsidRPr="00110D6C" w14:paraId="71BCF349" w14:textId="77777777" w:rsidTr="0043129A">
        <w:tc>
          <w:tcPr>
            <w:tcW w:w="3374" w:type="dxa"/>
            <w:tcBorders>
              <w:top w:val="single" w:sz="4" w:space="0" w:color="auto"/>
              <w:left w:val="single" w:sz="4" w:space="0" w:color="auto"/>
            </w:tcBorders>
            <w:shd w:val="clear" w:color="auto" w:fill="auto"/>
          </w:tcPr>
          <w:p w14:paraId="6D20FD66" w14:textId="77777777" w:rsidR="0077031F" w:rsidRPr="00110D6C" w:rsidRDefault="00030085" w:rsidP="0043129A">
            <w:pPr>
              <w:widowControl/>
              <w:rPr>
                <w:rFonts w:cs="Times New Roman"/>
                <w:color w:val="auto"/>
                <w:szCs w:val="22"/>
                <w:lang w:val="pt-PT"/>
              </w:rPr>
            </w:pPr>
            <w:r w:rsidRPr="00110D6C">
              <w:rPr>
                <w:rFonts w:cs="Times New Roman"/>
                <w:color w:val="auto"/>
                <w:szCs w:val="22"/>
                <w:lang w:val="pt-PT"/>
              </w:rPr>
              <w:t>N.º de PGA (%) mínima ou ausente</w:t>
            </w:r>
          </w:p>
        </w:tc>
        <w:tc>
          <w:tcPr>
            <w:tcW w:w="1838" w:type="dxa"/>
            <w:tcBorders>
              <w:top w:val="single" w:sz="4" w:space="0" w:color="auto"/>
              <w:left w:val="single" w:sz="4" w:space="0" w:color="auto"/>
            </w:tcBorders>
            <w:shd w:val="clear" w:color="auto" w:fill="auto"/>
          </w:tcPr>
          <w:p w14:paraId="25A61B7B" w14:textId="77777777" w:rsidR="0077031F" w:rsidRPr="00110D6C" w:rsidRDefault="00030085" w:rsidP="006A79E5">
            <w:pPr>
              <w:widowControl/>
              <w:jc w:val="center"/>
              <w:rPr>
                <w:rFonts w:cs="Times New Roman"/>
                <w:color w:val="auto"/>
                <w:szCs w:val="22"/>
                <w:lang w:val="pt-PT"/>
              </w:rPr>
            </w:pPr>
            <w:r w:rsidRPr="00110D6C">
              <w:rPr>
                <w:rFonts w:cs="Times New Roman"/>
                <w:color w:val="auto"/>
                <w:szCs w:val="22"/>
                <w:lang w:val="pt-PT"/>
              </w:rPr>
              <w:t>17</w:t>
            </w:r>
            <w:r w:rsidR="00B910F9" w:rsidRPr="00110D6C">
              <w:rPr>
                <w:rFonts w:cs="Times New Roman"/>
                <w:color w:val="auto"/>
                <w:szCs w:val="22"/>
                <w:lang w:val="pt-PT"/>
              </w:rPr>
              <w:t>0</w:t>
            </w:r>
            <w:r w:rsidR="006A79E5" w:rsidRPr="00110D6C">
              <w:rPr>
                <w:rFonts w:cs="Times New Roman"/>
                <w:color w:val="auto"/>
                <w:szCs w:val="22"/>
                <w:lang w:val="pt-PT"/>
              </w:rPr>
              <w:t xml:space="preserve"> </w:t>
            </w:r>
            <w:r w:rsidRPr="00110D6C">
              <w:rPr>
                <w:rFonts w:cs="Times New Roman"/>
                <w:color w:val="auto"/>
                <w:szCs w:val="22"/>
                <w:lang w:val="pt-PT"/>
              </w:rPr>
              <w:t>(49%)</w:t>
            </w:r>
          </w:p>
        </w:tc>
        <w:tc>
          <w:tcPr>
            <w:tcW w:w="1934" w:type="dxa"/>
            <w:tcBorders>
              <w:top w:val="single" w:sz="4" w:space="0" w:color="auto"/>
              <w:left w:val="single" w:sz="4" w:space="0" w:color="auto"/>
            </w:tcBorders>
            <w:shd w:val="clear" w:color="auto" w:fill="auto"/>
          </w:tcPr>
          <w:p w14:paraId="70790709" w14:textId="77777777" w:rsidR="0077031F" w:rsidRPr="00110D6C" w:rsidRDefault="00030085" w:rsidP="006A79E5">
            <w:pPr>
              <w:widowControl/>
              <w:jc w:val="center"/>
              <w:rPr>
                <w:rFonts w:cs="Times New Roman"/>
                <w:color w:val="auto"/>
                <w:szCs w:val="22"/>
                <w:lang w:val="pt-PT"/>
              </w:rPr>
            </w:pPr>
            <w:r w:rsidRPr="00110D6C">
              <w:rPr>
                <w:rFonts w:cs="Times New Roman"/>
                <w:color w:val="auto"/>
                <w:szCs w:val="22"/>
                <w:lang w:val="pt-PT"/>
              </w:rPr>
              <w:t>13</w:t>
            </w:r>
            <w:r w:rsidR="00B910F9" w:rsidRPr="00110D6C">
              <w:rPr>
                <w:rFonts w:cs="Times New Roman"/>
                <w:color w:val="auto"/>
                <w:szCs w:val="22"/>
                <w:lang w:val="pt-PT"/>
              </w:rPr>
              <w:t>6</w:t>
            </w:r>
            <w:r w:rsidR="006A79E5" w:rsidRPr="00110D6C">
              <w:rPr>
                <w:rFonts w:cs="Times New Roman"/>
                <w:color w:val="auto"/>
                <w:szCs w:val="22"/>
                <w:lang w:val="pt-PT"/>
              </w:rPr>
              <w:t xml:space="preserve"> </w:t>
            </w:r>
            <w:r w:rsidRPr="00110D6C">
              <w:rPr>
                <w:rFonts w:cs="Times New Roman"/>
                <w:color w:val="auto"/>
                <w:szCs w:val="22"/>
                <w:lang w:val="pt-PT"/>
              </w:rPr>
              <w:t>(65%)</w:t>
            </w:r>
            <w:r w:rsidRPr="00110D6C">
              <w:rPr>
                <w:rFonts w:cs="Times New Roman"/>
                <w:color w:val="auto"/>
                <w:szCs w:val="22"/>
                <w:vertAlign w:val="superscript"/>
                <w:lang w:val="pt-PT"/>
              </w:rPr>
              <w:t>a</w:t>
            </w:r>
          </w:p>
        </w:tc>
        <w:tc>
          <w:tcPr>
            <w:tcW w:w="1925" w:type="dxa"/>
            <w:tcBorders>
              <w:top w:val="single" w:sz="4" w:space="0" w:color="auto"/>
              <w:left w:val="single" w:sz="4" w:space="0" w:color="auto"/>
              <w:right w:val="single" w:sz="4" w:space="0" w:color="auto"/>
            </w:tcBorders>
            <w:shd w:val="clear" w:color="auto" w:fill="auto"/>
          </w:tcPr>
          <w:p w14:paraId="6E0FDDCD" w14:textId="77777777" w:rsidR="0077031F" w:rsidRPr="00110D6C" w:rsidRDefault="00030085" w:rsidP="006A79E5">
            <w:pPr>
              <w:widowControl/>
              <w:jc w:val="center"/>
              <w:rPr>
                <w:rFonts w:cs="Times New Roman"/>
                <w:color w:val="auto"/>
                <w:szCs w:val="22"/>
                <w:lang w:val="pt-PT"/>
              </w:rPr>
            </w:pPr>
            <w:r w:rsidRPr="00110D6C">
              <w:rPr>
                <w:rFonts w:cs="Times New Roman"/>
                <w:color w:val="auto"/>
                <w:szCs w:val="22"/>
                <w:lang w:val="pt-PT"/>
              </w:rPr>
              <w:t>24</w:t>
            </w:r>
            <w:r w:rsidR="00B910F9" w:rsidRPr="00110D6C">
              <w:rPr>
                <w:rFonts w:cs="Times New Roman"/>
                <w:color w:val="auto"/>
                <w:szCs w:val="22"/>
                <w:lang w:val="pt-PT"/>
              </w:rPr>
              <w:t>5</w:t>
            </w:r>
            <w:r w:rsidR="006A79E5" w:rsidRPr="00110D6C">
              <w:rPr>
                <w:rFonts w:cs="Times New Roman"/>
                <w:color w:val="auto"/>
                <w:szCs w:val="22"/>
                <w:lang w:val="pt-PT"/>
              </w:rPr>
              <w:t xml:space="preserve"> </w:t>
            </w:r>
            <w:r w:rsidRPr="00110D6C">
              <w:rPr>
                <w:rFonts w:cs="Times New Roman"/>
                <w:color w:val="auto"/>
                <w:szCs w:val="22"/>
                <w:lang w:val="pt-PT"/>
              </w:rPr>
              <w:t xml:space="preserve">(71%) </w:t>
            </w:r>
            <w:r w:rsidRPr="00110D6C">
              <w:rPr>
                <w:rFonts w:cs="Times New Roman"/>
                <w:color w:val="auto"/>
                <w:szCs w:val="22"/>
                <w:vertAlign w:val="superscript"/>
                <w:lang w:val="pt-PT"/>
              </w:rPr>
              <w:t>a</w:t>
            </w:r>
          </w:p>
        </w:tc>
      </w:tr>
      <w:tr w:rsidR="0077031F" w:rsidRPr="00110D6C" w14:paraId="32A8F197" w14:textId="77777777" w:rsidTr="0043129A">
        <w:tc>
          <w:tcPr>
            <w:tcW w:w="3374" w:type="dxa"/>
            <w:tcBorders>
              <w:top w:val="single" w:sz="4" w:space="0" w:color="auto"/>
              <w:left w:val="single" w:sz="4" w:space="0" w:color="auto"/>
            </w:tcBorders>
            <w:shd w:val="clear" w:color="auto" w:fill="auto"/>
          </w:tcPr>
          <w:p w14:paraId="78CE346C" w14:textId="77777777" w:rsidR="0077031F" w:rsidRPr="00110D6C" w:rsidRDefault="00030085" w:rsidP="006A79E5">
            <w:pPr>
              <w:widowControl/>
              <w:rPr>
                <w:rFonts w:cs="Times New Roman"/>
                <w:color w:val="auto"/>
                <w:szCs w:val="22"/>
                <w:lang w:val="pt-PT"/>
              </w:rPr>
            </w:pPr>
            <w:r w:rsidRPr="00110D6C">
              <w:rPr>
                <w:rFonts w:cs="Times New Roman"/>
                <w:color w:val="auto"/>
                <w:szCs w:val="22"/>
                <w:lang w:val="pt-PT"/>
              </w:rPr>
              <w:t>Número de doentes ≤</w:t>
            </w:r>
            <w:r w:rsidR="00F5387C" w:rsidRPr="00110D6C">
              <w:rPr>
                <w:rFonts w:cs="Times New Roman"/>
                <w:color w:val="auto"/>
                <w:szCs w:val="22"/>
                <w:lang w:val="pt-PT"/>
              </w:rPr>
              <w:t> </w:t>
            </w:r>
            <w:r w:rsidRPr="00110D6C">
              <w:rPr>
                <w:rFonts w:cs="Times New Roman"/>
                <w:color w:val="auto"/>
                <w:szCs w:val="22"/>
                <w:lang w:val="pt-PT"/>
              </w:rPr>
              <w:t>10</w:t>
            </w:r>
            <w:r w:rsidR="00B910F9" w:rsidRPr="00110D6C">
              <w:rPr>
                <w:rFonts w:cs="Times New Roman"/>
                <w:color w:val="auto"/>
                <w:szCs w:val="22"/>
                <w:lang w:val="pt-PT"/>
              </w:rPr>
              <w:t>0</w:t>
            </w:r>
            <w:r w:rsidR="006A79E5" w:rsidRPr="00110D6C">
              <w:rPr>
                <w:rFonts w:cs="Times New Roman"/>
                <w:color w:val="auto"/>
                <w:szCs w:val="22"/>
                <w:lang w:val="pt-PT"/>
              </w:rPr>
              <w:t xml:space="preserve"> </w:t>
            </w:r>
            <w:r w:rsidRPr="00110D6C">
              <w:rPr>
                <w:rFonts w:cs="Times New Roman"/>
                <w:color w:val="auto"/>
                <w:szCs w:val="22"/>
                <w:lang w:val="pt-PT"/>
              </w:rPr>
              <w:t>kg</w:t>
            </w:r>
          </w:p>
        </w:tc>
        <w:tc>
          <w:tcPr>
            <w:tcW w:w="1838" w:type="dxa"/>
            <w:tcBorders>
              <w:top w:val="single" w:sz="4" w:space="0" w:color="auto"/>
              <w:left w:val="single" w:sz="4" w:space="0" w:color="auto"/>
            </w:tcBorders>
            <w:shd w:val="clear" w:color="auto" w:fill="auto"/>
          </w:tcPr>
          <w:p w14:paraId="19BE0BA6"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251</w:t>
            </w:r>
          </w:p>
        </w:tc>
        <w:tc>
          <w:tcPr>
            <w:tcW w:w="1934" w:type="dxa"/>
            <w:tcBorders>
              <w:top w:val="single" w:sz="4" w:space="0" w:color="auto"/>
              <w:left w:val="single" w:sz="4" w:space="0" w:color="auto"/>
            </w:tcBorders>
            <w:shd w:val="clear" w:color="auto" w:fill="auto"/>
          </w:tcPr>
          <w:p w14:paraId="2AD18EE3"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151</w:t>
            </w:r>
          </w:p>
        </w:tc>
        <w:tc>
          <w:tcPr>
            <w:tcW w:w="1925" w:type="dxa"/>
            <w:tcBorders>
              <w:top w:val="single" w:sz="4" w:space="0" w:color="auto"/>
              <w:left w:val="single" w:sz="4" w:space="0" w:color="auto"/>
              <w:right w:val="single" w:sz="4" w:space="0" w:color="auto"/>
            </w:tcBorders>
            <w:shd w:val="clear" w:color="auto" w:fill="auto"/>
          </w:tcPr>
          <w:p w14:paraId="44635B0E"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244</w:t>
            </w:r>
          </w:p>
        </w:tc>
      </w:tr>
      <w:tr w:rsidR="0077031F" w:rsidRPr="00110D6C" w14:paraId="363DCFD0" w14:textId="77777777" w:rsidTr="0043129A">
        <w:tc>
          <w:tcPr>
            <w:tcW w:w="3374" w:type="dxa"/>
            <w:tcBorders>
              <w:top w:val="single" w:sz="4" w:space="0" w:color="auto"/>
              <w:left w:val="single" w:sz="4" w:space="0" w:color="auto"/>
            </w:tcBorders>
            <w:shd w:val="clear" w:color="auto" w:fill="auto"/>
          </w:tcPr>
          <w:p w14:paraId="16490EF7" w14:textId="64483B0B" w:rsidR="0077031F" w:rsidRPr="00110D6C" w:rsidRDefault="00030085" w:rsidP="006A79E5">
            <w:pPr>
              <w:widowControl/>
              <w:rPr>
                <w:rFonts w:cs="Times New Roman"/>
                <w:color w:val="auto"/>
                <w:szCs w:val="22"/>
                <w:lang w:val="pt-PT"/>
              </w:rPr>
            </w:pPr>
            <w:r w:rsidRPr="00110D6C">
              <w:rPr>
                <w:rFonts w:cs="Times New Roman"/>
                <w:color w:val="auto"/>
                <w:szCs w:val="22"/>
                <w:lang w:val="pt-PT"/>
              </w:rPr>
              <w:t>N.º de respostas PASI</w:t>
            </w:r>
            <w:r w:rsidR="00D5307E">
              <w:rPr>
                <w:rFonts w:cs="Times New Roman"/>
                <w:color w:val="auto"/>
                <w:szCs w:val="22"/>
                <w:lang w:val="pt-PT"/>
              </w:rPr>
              <w:t> </w:t>
            </w:r>
            <w:r w:rsidRPr="00110D6C">
              <w:rPr>
                <w:rFonts w:cs="Times New Roman"/>
                <w:color w:val="auto"/>
                <w:szCs w:val="22"/>
                <w:lang w:val="pt-PT"/>
              </w:rPr>
              <w:t>7</w:t>
            </w:r>
            <w:r w:rsidR="00B910F9" w:rsidRPr="00110D6C">
              <w:rPr>
                <w:rFonts w:cs="Times New Roman"/>
                <w:color w:val="auto"/>
                <w:szCs w:val="22"/>
                <w:lang w:val="pt-PT"/>
              </w:rPr>
              <w:t>5</w:t>
            </w:r>
            <w:r w:rsidR="006A79E5" w:rsidRPr="00110D6C">
              <w:rPr>
                <w:rFonts w:cs="Times New Roman"/>
                <w:color w:val="auto"/>
                <w:szCs w:val="22"/>
                <w:lang w:val="pt-PT"/>
              </w:rPr>
              <w:t xml:space="preserve"> </w:t>
            </w:r>
            <w:r w:rsidRPr="00110D6C">
              <w:rPr>
                <w:rFonts w:cs="Times New Roman"/>
                <w:color w:val="auto"/>
                <w:szCs w:val="22"/>
                <w:lang w:val="pt-PT"/>
              </w:rPr>
              <w:t>(%)</w:t>
            </w:r>
          </w:p>
        </w:tc>
        <w:tc>
          <w:tcPr>
            <w:tcW w:w="1838" w:type="dxa"/>
            <w:tcBorders>
              <w:top w:val="single" w:sz="4" w:space="0" w:color="auto"/>
              <w:left w:val="single" w:sz="4" w:space="0" w:color="auto"/>
            </w:tcBorders>
            <w:shd w:val="clear" w:color="auto" w:fill="auto"/>
          </w:tcPr>
          <w:p w14:paraId="0BCFDCCB" w14:textId="77777777" w:rsidR="0077031F" w:rsidRPr="00110D6C" w:rsidRDefault="00030085" w:rsidP="006A79E5">
            <w:pPr>
              <w:widowControl/>
              <w:jc w:val="center"/>
              <w:rPr>
                <w:rFonts w:cs="Times New Roman"/>
                <w:color w:val="auto"/>
                <w:szCs w:val="22"/>
                <w:lang w:val="pt-PT"/>
              </w:rPr>
            </w:pPr>
            <w:r w:rsidRPr="00110D6C">
              <w:rPr>
                <w:rFonts w:cs="Times New Roman"/>
                <w:color w:val="auto"/>
                <w:szCs w:val="22"/>
                <w:lang w:val="pt-PT"/>
              </w:rPr>
              <w:t>15</w:t>
            </w:r>
            <w:r w:rsidR="00B910F9" w:rsidRPr="00110D6C">
              <w:rPr>
                <w:rFonts w:cs="Times New Roman"/>
                <w:color w:val="auto"/>
                <w:szCs w:val="22"/>
                <w:lang w:val="pt-PT"/>
              </w:rPr>
              <w:t>4</w:t>
            </w:r>
            <w:r w:rsidR="006A79E5" w:rsidRPr="00110D6C">
              <w:rPr>
                <w:rFonts w:cs="Times New Roman"/>
                <w:color w:val="auto"/>
                <w:szCs w:val="22"/>
                <w:lang w:val="pt-PT"/>
              </w:rPr>
              <w:t xml:space="preserve"> </w:t>
            </w:r>
            <w:r w:rsidRPr="00110D6C">
              <w:rPr>
                <w:rFonts w:cs="Times New Roman"/>
                <w:color w:val="auto"/>
                <w:szCs w:val="22"/>
                <w:lang w:val="pt-PT"/>
              </w:rPr>
              <w:t>(61%)</w:t>
            </w:r>
          </w:p>
        </w:tc>
        <w:tc>
          <w:tcPr>
            <w:tcW w:w="1934" w:type="dxa"/>
            <w:tcBorders>
              <w:top w:val="single" w:sz="4" w:space="0" w:color="auto"/>
              <w:left w:val="single" w:sz="4" w:space="0" w:color="auto"/>
            </w:tcBorders>
            <w:shd w:val="clear" w:color="auto" w:fill="auto"/>
          </w:tcPr>
          <w:p w14:paraId="40562107" w14:textId="77777777" w:rsidR="0077031F" w:rsidRPr="00110D6C" w:rsidRDefault="00030085" w:rsidP="006A79E5">
            <w:pPr>
              <w:widowControl/>
              <w:jc w:val="center"/>
              <w:rPr>
                <w:rFonts w:cs="Times New Roman"/>
                <w:color w:val="auto"/>
                <w:szCs w:val="22"/>
                <w:lang w:val="pt-PT"/>
              </w:rPr>
            </w:pPr>
            <w:r w:rsidRPr="00110D6C">
              <w:rPr>
                <w:rFonts w:cs="Times New Roman"/>
                <w:color w:val="auto"/>
                <w:szCs w:val="22"/>
                <w:lang w:val="pt-PT"/>
              </w:rPr>
              <w:t>10</w:t>
            </w:r>
            <w:r w:rsidR="00B910F9" w:rsidRPr="00110D6C">
              <w:rPr>
                <w:rFonts w:cs="Times New Roman"/>
                <w:color w:val="auto"/>
                <w:szCs w:val="22"/>
                <w:lang w:val="pt-PT"/>
              </w:rPr>
              <w:t>9</w:t>
            </w:r>
            <w:r w:rsidR="006A79E5" w:rsidRPr="00110D6C">
              <w:rPr>
                <w:rFonts w:cs="Times New Roman"/>
                <w:color w:val="auto"/>
                <w:szCs w:val="22"/>
                <w:lang w:val="pt-PT"/>
              </w:rPr>
              <w:t xml:space="preserve"> </w:t>
            </w:r>
            <w:r w:rsidRPr="00110D6C">
              <w:rPr>
                <w:rFonts w:cs="Times New Roman"/>
                <w:color w:val="auto"/>
                <w:szCs w:val="22"/>
                <w:lang w:val="pt-PT"/>
              </w:rPr>
              <w:t>(72%)</w:t>
            </w:r>
          </w:p>
        </w:tc>
        <w:tc>
          <w:tcPr>
            <w:tcW w:w="1925" w:type="dxa"/>
            <w:tcBorders>
              <w:top w:val="single" w:sz="4" w:space="0" w:color="auto"/>
              <w:left w:val="single" w:sz="4" w:space="0" w:color="auto"/>
              <w:right w:val="single" w:sz="4" w:space="0" w:color="auto"/>
            </w:tcBorders>
            <w:shd w:val="clear" w:color="auto" w:fill="auto"/>
          </w:tcPr>
          <w:p w14:paraId="433DD5BF" w14:textId="77777777" w:rsidR="0077031F" w:rsidRPr="00110D6C" w:rsidRDefault="00030085" w:rsidP="006A79E5">
            <w:pPr>
              <w:widowControl/>
              <w:jc w:val="center"/>
              <w:rPr>
                <w:rFonts w:cs="Times New Roman"/>
                <w:color w:val="auto"/>
                <w:szCs w:val="22"/>
                <w:lang w:val="pt-PT"/>
              </w:rPr>
            </w:pPr>
            <w:r w:rsidRPr="00110D6C">
              <w:rPr>
                <w:rFonts w:cs="Times New Roman"/>
                <w:color w:val="auto"/>
                <w:szCs w:val="22"/>
                <w:lang w:val="pt-PT"/>
              </w:rPr>
              <w:t>18</w:t>
            </w:r>
            <w:r w:rsidR="00B910F9" w:rsidRPr="00110D6C">
              <w:rPr>
                <w:rFonts w:cs="Times New Roman"/>
                <w:color w:val="auto"/>
                <w:szCs w:val="22"/>
                <w:lang w:val="pt-PT"/>
              </w:rPr>
              <w:t>9</w:t>
            </w:r>
            <w:r w:rsidR="006A79E5" w:rsidRPr="00110D6C">
              <w:rPr>
                <w:rFonts w:cs="Times New Roman"/>
                <w:color w:val="auto"/>
                <w:szCs w:val="22"/>
                <w:lang w:val="pt-PT"/>
              </w:rPr>
              <w:t xml:space="preserve"> </w:t>
            </w:r>
            <w:r w:rsidRPr="00110D6C">
              <w:rPr>
                <w:rFonts w:cs="Times New Roman"/>
                <w:color w:val="auto"/>
                <w:szCs w:val="22"/>
                <w:lang w:val="pt-PT"/>
              </w:rPr>
              <w:t>(77%)</w:t>
            </w:r>
          </w:p>
        </w:tc>
      </w:tr>
      <w:tr w:rsidR="0077031F" w:rsidRPr="00110D6C" w14:paraId="1B54147E" w14:textId="77777777" w:rsidTr="0043129A">
        <w:tc>
          <w:tcPr>
            <w:tcW w:w="3374" w:type="dxa"/>
            <w:tcBorders>
              <w:top w:val="single" w:sz="4" w:space="0" w:color="auto"/>
              <w:left w:val="single" w:sz="4" w:space="0" w:color="auto"/>
            </w:tcBorders>
            <w:shd w:val="clear" w:color="auto" w:fill="auto"/>
          </w:tcPr>
          <w:p w14:paraId="7C5A26B7" w14:textId="77777777" w:rsidR="0077031F" w:rsidRPr="00110D6C" w:rsidRDefault="00030085" w:rsidP="006A79E5">
            <w:pPr>
              <w:widowControl/>
              <w:rPr>
                <w:rFonts w:cs="Times New Roman"/>
                <w:color w:val="auto"/>
                <w:szCs w:val="22"/>
                <w:lang w:val="pt-PT"/>
              </w:rPr>
            </w:pPr>
            <w:r w:rsidRPr="00110D6C">
              <w:rPr>
                <w:rFonts w:cs="Times New Roman"/>
                <w:color w:val="auto"/>
                <w:szCs w:val="22"/>
                <w:lang w:val="pt-PT"/>
              </w:rPr>
              <w:t>Número de doentes &gt;</w:t>
            </w:r>
            <w:r w:rsidR="00F5387C" w:rsidRPr="00110D6C">
              <w:rPr>
                <w:rFonts w:cs="Times New Roman"/>
                <w:color w:val="auto"/>
                <w:szCs w:val="22"/>
                <w:lang w:val="pt-PT"/>
              </w:rPr>
              <w:t> </w:t>
            </w:r>
            <w:r w:rsidRPr="00110D6C">
              <w:rPr>
                <w:rFonts w:cs="Times New Roman"/>
                <w:color w:val="auto"/>
                <w:szCs w:val="22"/>
                <w:lang w:val="pt-PT"/>
              </w:rPr>
              <w:t>10</w:t>
            </w:r>
            <w:r w:rsidR="00B910F9" w:rsidRPr="00110D6C">
              <w:rPr>
                <w:rFonts w:cs="Times New Roman"/>
                <w:color w:val="auto"/>
                <w:szCs w:val="22"/>
                <w:lang w:val="pt-PT"/>
              </w:rPr>
              <w:t>0</w:t>
            </w:r>
            <w:r w:rsidR="006A79E5" w:rsidRPr="00110D6C">
              <w:rPr>
                <w:rFonts w:cs="Times New Roman"/>
                <w:color w:val="auto"/>
                <w:szCs w:val="22"/>
                <w:lang w:val="pt-PT"/>
              </w:rPr>
              <w:t xml:space="preserve"> </w:t>
            </w:r>
            <w:r w:rsidRPr="00110D6C">
              <w:rPr>
                <w:rFonts w:cs="Times New Roman"/>
                <w:color w:val="auto"/>
                <w:szCs w:val="22"/>
                <w:lang w:val="pt-PT"/>
              </w:rPr>
              <w:t>kg</w:t>
            </w:r>
          </w:p>
        </w:tc>
        <w:tc>
          <w:tcPr>
            <w:tcW w:w="1838" w:type="dxa"/>
            <w:tcBorders>
              <w:top w:val="single" w:sz="4" w:space="0" w:color="auto"/>
              <w:left w:val="single" w:sz="4" w:space="0" w:color="auto"/>
            </w:tcBorders>
            <w:shd w:val="clear" w:color="auto" w:fill="auto"/>
          </w:tcPr>
          <w:p w14:paraId="298C379D"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96</w:t>
            </w:r>
          </w:p>
        </w:tc>
        <w:tc>
          <w:tcPr>
            <w:tcW w:w="1934" w:type="dxa"/>
            <w:tcBorders>
              <w:top w:val="single" w:sz="4" w:space="0" w:color="auto"/>
              <w:left w:val="single" w:sz="4" w:space="0" w:color="auto"/>
            </w:tcBorders>
            <w:shd w:val="clear" w:color="auto" w:fill="auto"/>
          </w:tcPr>
          <w:p w14:paraId="033E42B4"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58</w:t>
            </w:r>
          </w:p>
        </w:tc>
        <w:tc>
          <w:tcPr>
            <w:tcW w:w="1925" w:type="dxa"/>
            <w:tcBorders>
              <w:top w:val="single" w:sz="4" w:space="0" w:color="auto"/>
              <w:left w:val="single" w:sz="4" w:space="0" w:color="auto"/>
              <w:right w:val="single" w:sz="4" w:space="0" w:color="auto"/>
            </w:tcBorders>
            <w:shd w:val="clear" w:color="auto" w:fill="auto"/>
          </w:tcPr>
          <w:p w14:paraId="06919D81" w14:textId="77777777" w:rsidR="0077031F" w:rsidRPr="00110D6C" w:rsidRDefault="00030085" w:rsidP="0043129A">
            <w:pPr>
              <w:widowControl/>
              <w:jc w:val="center"/>
              <w:rPr>
                <w:rFonts w:cs="Times New Roman"/>
                <w:color w:val="auto"/>
                <w:szCs w:val="22"/>
                <w:lang w:val="pt-PT"/>
              </w:rPr>
            </w:pPr>
            <w:r w:rsidRPr="00110D6C">
              <w:rPr>
                <w:rFonts w:cs="Times New Roman"/>
                <w:color w:val="auto"/>
                <w:szCs w:val="22"/>
                <w:lang w:val="pt-PT"/>
              </w:rPr>
              <w:t>103</w:t>
            </w:r>
          </w:p>
        </w:tc>
      </w:tr>
      <w:tr w:rsidR="0077031F" w:rsidRPr="00110D6C" w14:paraId="0A4C9602" w14:textId="77777777" w:rsidTr="0043129A">
        <w:tc>
          <w:tcPr>
            <w:tcW w:w="3374" w:type="dxa"/>
            <w:tcBorders>
              <w:top w:val="single" w:sz="4" w:space="0" w:color="auto"/>
              <w:left w:val="single" w:sz="4" w:space="0" w:color="auto"/>
              <w:bottom w:val="single" w:sz="4" w:space="0" w:color="auto"/>
            </w:tcBorders>
            <w:shd w:val="clear" w:color="auto" w:fill="auto"/>
          </w:tcPr>
          <w:p w14:paraId="03A2D9D8" w14:textId="420DF727" w:rsidR="0077031F" w:rsidRPr="00110D6C" w:rsidRDefault="00030085" w:rsidP="006A79E5">
            <w:pPr>
              <w:widowControl/>
              <w:rPr>
                <w:rFonts w:cs="Times New Roman"/>
                <w:color w:val="auto"/>
                <w:szCs w:val="22"/>
                <w:lang w:val="pt-PT"/>
              </w:rPr>
            </w:pPr>
            <w:r w:rsidRPr="00110D6C">
              <w:rPr>
                <w:rFonts w:cs="Times New Roman"/>
                <w:color w:val="auto"/>
                <w:szCs w:val="22"/>
                <w:lang w:val="pt-PT"/>
              </w:rPr>
              <w:t>N.º de respostas PASI</w:t>
            </w:r>
            <w:r w:rsidR="00D5307E">
              <w:rPr>
                <w:rFonts w:cs="Times New Roman"/>
                <w:color w:val="auto"/>
                <w:szCs w:val="22"/>
                <w:lang w:val="pt-PT"/>
              </w:rPr>
              <w:t> </w:t>
            </w:r>
            <w:r w:rsidRPr="00110D6C">
              <w:rPr>
                <w:rFonts w:cs="Times New Roman"/>
                <w:color w:val="auto"/>
                <w:szCs w:val="22"/>
                <w:lang w:val="pt-PT"/>
              </w:rPr>
              <w:t>7</w:t>
            </w:r>
            <w:r w:rsidR="00B910F9" w:rsidRPr="00110D6C">
              <w:rPr>
                <w:rFonts w:cs="Times New Roman"/>
                <w:color w:val="auto"/>
                <w:szCs w:val="22"/>
                <w:lang w:val="pt-PT"/>
              </w:rPr>
              <w:t>5</w:t>
            </w:r>
            <w:r w:rsidR="006A79E5" w:rsidRPr="00110D6C">
              <w:rPr>
                <w:rFonts w:cs="Times New Roman"/>
                <w:color w:val="auto"/>
                <w:szCs w:val="22"/>
                <w:lang w:val="pt-PT"/>
              </w:rPr>
              <w:t xml:space="preserve"> </w:t>
            </w:r>
            <w:r w:rsidRPr="00110D6C">
              <w:rPr>
                <w:rFonts w:cs="Times New Roman"/>
                <w:color w:val="auto"/>
                <w:szCs w:val="22"/>
                <w:lang w:val="pt-PT"/>
              </w:rPr>
              <w:t>(%)</w:t>
            </w:r>
          </w:p>
        </w:tc>
        <w:tc>
          <w:tcPr>
            <w:tcW w:w="1838" w:type="dxa"/>
            <w:tcBorders>
              <w:top w:val="single" w:sz="4" w:space="0" w:color="auto"/>
              <w:left w:val="single" w:sz="4" w:space="0" w:color="auto"/>
              <w:bottom w:val="single" w:sz="4" w:space="0" w:color="auto"/>
            </w:tcBorders>
            <w:shd w:val="clear" w:color="auto" w:fill="auto"/>
          </w:tcPr>
          <w:p w14:paraId="198BE0EA" w14:textId="77777777" w:rsidR="0077031F" w:rsidRPr="00110D6C" w:rsidRDefault="00030085" w:rsidP="006A79E5">
            <w:pPr>
              <w:widowControl/>
              <w:jc w:val="center"/>
              <w:rPr>
                <w:rFonts w:cs="Times New Roman"/>
                <w:color w:val="auto"/>
                <w:szCs w:val="22"/>
                <w:lang w:val="pt-PT"/>
              </w:rPr>
            </w:pPr>
            <w:r w:rsidRPr="00110D6C">
              <w:rPr>
                <w:rFonts w:cs="Times New Roman"/>
                <w:color w:val="auto"/>
                <w:szCs w:val="22"/>
                <w:lang w:val="pt-PT"/>
              </w:rPr>
              <w:t>4</w:t>
            </w:r>
            <w:r w:rsidR="00B910F9" w:rsidRPr="00110D6C">
              <w:rPr>
                <w:rFonts w:cs="Times New Roman"/>
                <w:color w:val="auto"/>
                <w:szCs w:val="22"/>
                <w:lang w:val="pt-PT"/>
              </w:rPr>
              <w:t>3</w:t>
            </w:r>
            <w:r w:rsidR="006A79E5" w:rsidRPr="00110D6C">
              <w:rPr>
                <w:rFonts w:cs="Times New Roman"/>
                <w:color w:val="auto"/>
                <w:szCs w:val="22"/>
                <w:lang w:val="pt-PT"/>
              </w:rPr>
              <w:t xml:space="preserve"> </w:t>
            </w:r>
            <w:r w:rsidRPr="00110D6C">
              <w:rPr>
                <w:rFonts w:cs="Times New Roman"/>
                <w:color w:val="auto"/>
                <w:szCs w:val="22"/>
                <w:lang w:val="pt-PT"/>
              </w:rPr>
              <w:t>(45%)</w:t>
            </w:r>
          </w:p>
        </w:tc>
        <w:tc>
          <w:tcPr>
            <w:tcW w:w="1934" w:type="dxa"/>
            <w:tcBorders>
              <w:top w:val="single" w:sz="4" w:space="0" w:color="auto"/>
              <w:left w:val="single" w:sz="4" w:space="0" w:color="auto"/>
              <w:bottom w:val="single" w:sz="4" w:space="0" w:color="auto"/>
            </w:tcBorders>
            <w:shd w:val="clear" w:color="auto" w:fill="auto"/>
          </w:tcPr>
          <w:p w14:paraId="26403E00" w14:textId="77777777" w:rsidR="0077031F" w:rsidRPr="00110D6C" w:rsidRDefault="00030085" w:rsidP="006A79E5">
            <w:pPr>
              <w:widowControl/>
              <w:jc w:val="center"/>
              <w:rPr>
                <w:rFonts w:cs="Times New Roman"/>
                <w:color w:val="auto"/>
                <w:szCs w:val="22"/>
                <w:lang w:val="pt-PT"/>
              </w:rPr>
            </w:pPr>
            <w:r w:rsidRPr="00110D6C">
              <w:rPr>
                <w:rFonts w:cs="Times New Roman"/>
                <w:color w:val="auto"/>
                <w:szCs w:val="22"/>
                <w:lang w:val="pt-PT"/>
              </w:rPr>
              <w:t>3</w:t>
            </w:r>
            <w:r w:rsidR="00B910F9" w:rsidRPr="00110D6C">
              <w:rPr>
                <w:rFonts w:cs="Times New Roman"/>
                <w:color w:val="auto"/>
                <w:szCs w:val="22"/>
                <w:lang w:val="pt-PT"/>
              </w:rPr>
              <w:t>2</w:t>
            </w:r>
            <w:r w:rsidR="006A79E5" w:rsidRPr="00110D6C">
              <w:rPr>
                <w:rFonts w:cs="Times New Roman"/>
                <w:color w:val="auto"/>
                <w:szCs w:val="22"/>
                <w:lang w:val="pt-PT"/>
              </w:rPr>
              <w:t xml:space="preserve"> </w:t>
            </w:r>
            <w:r w:rsidRPr="00110D6C">
              <w:rPr>
                <w:rFonts w:cs="Times New Roman"/>
                <w:color w:val="auto"/>
                <w:szCs w:val="22"/>
                <w:lang w:val="pt-PT"/>
              </w:rPr>
              <w:t>(55%)</w:t>
            </w:r>
          </w:p>
        </w:tc>
        <w:tc>
          <w:tcPr>
            <w:tcW w:w="1925" w:type="dxa"/>
            <w:tcBorders>
              <w:top w:val="single" w:sz="4" w:space="0" w:color="auto"/>
              <w:left w:val="single" w:sz="4" w:space="0" w:color="auto"/>
              <w:bottom w:val="single" w:sz="4" w:space="0" w:color="auto"/>
              <w:right w:val="single" w:sz="4" w:space="0" w:color="auto"/>
            </w:tcBorders>
            <w:shd w:val="clear" w:color="auto" w:fill="auto"/>
          </w:tcPr>
          <w:p w14:paraId="09973EB0" w14:textId="77777777" w:rsidR="0077031F" w:rsidRPr="00110D6C" w:rsidRDefault="00030085" w:rsidP="006A79E5">
            <w:pPr>
              <w:widowControl/>
              <w:jc w:val="center"/>
              <w:rPr>
                <w:rFonts w:cs="Times New Roman"/>
                <w:color w:val="auto"/>
                <w:szCs w:val="22"/>
                <w:lang w:val="pt-PT"/>
              </w:rPr>
            </w:pPr>
            <w:r w:rsidRPr="00110D6C">
              <w:rPr>
                <w:rFonts w:cs="Times New Roman"/>
                <w:color w:val="auto"/>
                <w:szCs w:val="22"/>
                <w:lang w:val="pt-PT"/>
              </w:rPr>
              <w:t>6</w:t>
            </w:r>
            <w:r w:rsidR="00B910F9" w:rsidRPr="00110D6C">
              <w:rPr>
                <w:rFonts w:cs="Times New Roman"/>
                <w:color w:val="auto"/>
                <w:szCs w:val="22"/>
                <w:lang w:val="pt-PT"/>
              </w:rPr>
              <w:t>7</w:t>
            </w:r>
            <w:r w:rsidR="006A79E5" w:rsidRPr="00110D6C">
              <w:rPr>
                <w:rFonts w:cs="Times New Roman"/>
                <w:color w:val="auto"/>
                <w:szCs w:val="22"/>
                <w:lang w:val="pt-PT"/>
              </w:rPr>
              <w:t xml:space="preserve"> </w:t>
            </w:r>
            <w:r w:rsidRPr="00110D6C">
              <w:rPr>
                <w:rFonts w:cs="Times New Roman"/>
                <w:color w:val="auto"/>
                <w:szCs w:val="22"/>
                <w:lang w:val="pt-PT"/>
              </w:rPr>
              <w:t>(65%)</w:t>
            </w:r>
          </w:p>
        </w:tc>
      </w:tr>
    </w:tbl>
    <w:p w14:paraId="37237F11" w14:textId="77777777" w:rsidR="0077031F" w:rsidRPr="00110D6C" w:rsidRDefault="00030085" w:rsidP="0043129A">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a</w:t>
      </w:r>
      <w:r w:rsidR="0043129A" w:rsidRPr="00110D6C">
        <w:rPr>
          <w:rFonts w:cs="Times New Roman"/>
          <w:color w:val="auto"/>
          <w:sz w:val="20"/>
          <w:szCs w:val="20"/>
          <w:lang w:val="pt-PT"/>
        </w:rPr>
        <w:tab/>
      </w:r>
      <w:r w:rsidRPr="00110D6C">
        <w:rPr>
          <w:rFonts w:cs="Times New Roman"/>
          <w:color w:val="auto"/>
          <w:sz w:val="20"/>
          <w:szCs w:val="20"/>
          <w:lang w:val="pt-PT"/>
        </w:rPr>
        <w:t>p</w:t>
      </w:r>
      <w:r w:rsidR="00F5387C" w:rsidRPr="00110D6C">
        <w:rPr>
          <w:rFonts w:cs="Times New Roman"/>
          <w:color w:val="auto"/>
          <w:sz w:val="20"/>
          <w:szCs w:val="20"/>
          <w:lang w:val="pt-PT"/>
        </w:rPr>
        <w:t> </w:t>
      </w:r>
      <w:r w:rsidRPr="00110D6C">
        <w:rPr>
          <w:rFonts w:cs="Times New Roman"/>
          <w:color w:val="auto"/>
          <w:sz w:val="20"/>
          <w:szCs w:val="20"/>
          <w:lang w:val="pt-PT"/>
        </w:rPr>
        <w:t>&lt;</w:t>
      </w:r>
      <w:r w:rsidR="00F5387C" w:rsidRPr="00110D6C">
        <w:rPr>
          <w:rFonts w:cs="Times New Roman"/>
          <w:color w:val="auto"/>
          <w:sz w:val="20"/>
          <w:szCs w:val="20"/>
          <w:lang w:val="pt-PT"/>
        </w:rPr>
        <w:t> </w:t>
      </w:r>
      <w:r w:rsidRPr="00110D6C">
        <w:rPr>
          <w:rFonts w:cs="Times New Roman"/>
          <w:color w:val="auto"/>
          <w:sz w:val="20"/>
          <w:szCs w:val="20"/>
          <w:lang w:val="pt-PT"/>
        </w:rPr>
        <w:t>0,00</w:t>
      </w:r>
      <w:r w:rsidR="00B910F9" w:rsidRPr="00110D6C">
        <w:rPr>
          <w:rFonts w:cs="Times New Roman"/>
          <w:color w:val="auto"/>
          <w:sz w:val="20"/>
          <w:szCs w:val="20"/>
          <w:lang w:val="pt-PT"/>
        </w:rPr>
        <w:t>1 </w:t>
      </w:r>
      <w:r w:rsidRPr="00110D6C">
        <w:rPr>
          <w:rFonts w:cs="Times New Roman"/>
          <w:color w:val="auto"/>
          <w:sz w:val="20"/>
          <w:szCs w:val="20"/>
          <w:lang w:val="pt-PT"/>
        </w:rPr>
        <w:t>para ustecinumab 4</w:t>
      </w:r>
      <w:r w:rsidR="00B910F9" w:rsidRPr="00110D6C">
        <w:rPr>
          <w:rFonts w:cs="Times New Roman"/>
          <w:color w:val="auto"/>
          <w:sz w:val="20"/>
          <w:szCs w:val="20"/>
          <w:lang w:val="pt-PT"/>
        </w:rPr>
        <w:t>5 </w:t>
      </w:r>
      <w:r w:rsidRPr="00110D6C">
        <w:rPr>
          <w:rFonts w:cs="Times New Roman"/>
          <w:color w:val="auto"/>
          <w:sz w:val="20"/>
          <w:szCs w:val="20"/>
          <w:lang w:val="pt-PT"/>
        </w:rPr>
        <w:t>mg ou 9</w:t>
      </w:r>
      <w:r w:rsidR="00B910F9" w:rsidRPr="00110D6C">
        <w:rPr>
          <w:rFonts w:cs="Times New Roman"/>
          <w:color w:val="auto"/>
          <w:sz w:val="20"/>
          <w:szCs w:val="20"/>
          <w:lang w:val="pt-PT"/>
        </w:rPr>
        <w:t>0 </w:t>
      </w:r>
      <w:r w:rsidRPr="00110D6C">
        <w:rPr>
          <w:rFonts w:cs="Times New Roman"/>
          <w:color w:val="auto"/>
          <w:sz w:val="20"/>
          <w:szCs w:val="20"/>
          <w:lang w:val="pt-PT"/>
        </w:rPr>
        <w:t>mg em comparação com etanercept.</w:t>
      </w:r>
    </w:p>
    <w:p w14:paraId="67CE7113" w14:textId="77777777" w:rsidR="0077031F" w:rsidRPr="00110D6C" w:rsidRDefault="00030085" w:rsidP="0043129A">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b</w:t>
      </w:r>
      <w:r w:rsidR="0043129A" w:rsidRPr="00110D6C">
        <w:rPr>
          <w:rFonts w:cs="Times New Roman"/>
          <w:color w:val="auto"/>
          <w:sz w:val="20"/>
          <w:szCs w:val="20"/>
          <w:vertAlign w:val="superscript"/>
          <w:lang w:val="pt-PT"/>
        </w:rPr>
        <w:tab/>
      </w:r>
      <w:r w:rsidRPr="00110D6C">
        <w:rPr>
          <w:rFonts w:cs="Times New Roman"/>
          <w:color w:val="auto"/>
          <w:sz w:val="20"/>
          <w:szCs w:val="20"/>
          <w:lang w:val="pt-PT"/>
        </w:rPr>
        <w:t>p</w:t>
      </w:r>
      <w:r w:rsidR="00F5387C" w:rsidRPr="00110D6C">
        <w:rPr>
          <w:rFonts w:cs="Times New Roman"/>
          <w:color w:val="auto"/>
          <w:sz w:val="20"/>
          <w:szCs w:val="20"/>
          <w:lang w:val="pt-PT"/>
        </w:rPr>
        <w:t> </w:t>
      </w:r>
      <w:r w:rsidRPr="00110D6C">
        <w:rPr>
          <w:rFonts w:cs="Times New Roman"/>
          <w:color w:val="auto"/>
          <w:sz w:val="20"/>
          <w:szCs w:val="20"/>
          <w:lang w:val="pt-PT"/>
        </w:rPr>
        <w:t>=</w:t>
      </w:r>
      <w:r w:rsidR="00F5387C" w:rsidRPr="00110D6C">
        <w:rPr>
          <w:rFonts w:cs="Times New Roman"/>
          <w:color w:val="auto"/>
          <w:sz w:val="20"/>
          <w:szCs w:val="20"/>
          <w:lang w:val="pt-PT"/>
        </w:rPr>
        <w:t> </w:t>
      </w:r>
      <w:r w:rsidRPr="00110D6C">
        <w:rPr>
          <w:rFonts w:cs="Times New Roman"/>
          <w:color w:val="auto"/>
          <w:sz w:val="20"/>
          <w:szCs w:val="20"/>
          <w:lang w:val="pt-PT"/>
        </w:rPr>
        <w:t>0,01</w:t>
      </w:r>
      <w:r w:rsidR="00B910F9" w:rsidRPr="00110D6C">
        <w:rPr>
          <w:rFonts w:cs="Times New Roman"/>
          <w:color w:val="auto"/>
          <w:sz w:val="20"/>
          <w:szCs w:val="20"/>
          <w:lang w:val="pt-PT"/>
        </w:rPr>
        <w:t>2 </w:t>
      </w:r>
      <w:r w:rsidRPr="00110D6C">
        <w:rPr>
          <w:rFonts w:cs="Times New Roman"/>
          <w:color w:val="auto"/>
          <w:sz w:val="20"/>
          <w:szCs w:val="20"/>
          <w:lang w:val="pt-PT"/>
        </w:rPr>
        <w:t>para ustecinumab 4</w:t>
      </w:r>
      <w:r w:rsidR="00B910F9" w:rsidRPr="00110D6C">
        <w:rPr>
          <w:rFonts w:cs="Times New Roman"/>
          <w:color w:val="auto"/>
          <w:sz w:val="20"/>
          <w:szCs w:val="20"/>
          <w:lang w:val="pt-PT"/>
        </w:rPr>
        <w:t>5 </w:t>
      </w:r>
      <w:r w:rsidRPr="00110D6C">
        <w:rPr>
          <w:rFonts w:cs="Times New Roman"/>
          <w:color w:val="auto"/>
          <w:sz w:val="20"/>
          <w:szCs w:val="20"/>
          <w:lang w:val="pt-PT"/>
        </w:rPr>
        <w:t>mg em comparação com etanercept</w:t>
      </w:r>
    </w:p>
    <w:p w14:paraId="75D4C967" w14:textId="77777777" w:rsidR="0043129A" w:rsidRPr="00110D6C" w:rsidRDefault="0043129A" w:rsidP="00A17623">
      <w:pPr>
        <w:widowControl/>
        <w:rPr>
          <w:rFonts w:cs="Times New Roman"/>
          <w:color w:val="auto"/>
          <w:szCs w:val="22"/>
          <w:lang w:val="pt-PT"/>
        </w:rPr>
      </w:pPr>
    </w:p>
    <w:p w14:paraId="7F3F7D02" w14:textId="2CCF6B0F" w:rsidR="0077031F" w:rsidRPr="00110D6C" w:rsidRDefault="00030085" w:rsidP="00A17623">
      <w:pPr>
        <w:widowControl/>
        <w:rPr>
          <w:rFonts w:cs="Times New Roman"/>
          <w:color w:val="auto"/>
          <w:szCs w:val="22"/>
          <w:lang w:val="pt-PT"/>
        </w:rPr>
      </w:pPr>
      <w:r w:rsidRPr="00110D6C">
        <w:rPr>
          <w:rFonts w:cs="Times New Roman"/>
          <w:color w:val="auto"/>
          <w:szCs w:val="22"/>
          <w:lang w:val="pt-PT"/>
        </w:rPr>
        <w:t>No Estudo da Psoríase</w:t>
      </w:r>
      <w:r w:rsidR="00D5307E">
        <w:rPr>
          <w:rFonts w:cs="Times New Roman"/>
          <w:color w:val="auto"/>
          <w:szCs w:val="22"/>
          <w:lang w:val="pt-PT"/>
        </w:rPr>
        <w:t> </w:t>
      </w:r>
      <w:r w:rsidRPr="00110D6C">
        <w:rPr>
          <w:rFonts w:cs="Times New Roman"/>
          <w:color w:val="auto"/>
          <w:szCs w:val="22"/>
          <w:lang w:val="pt-PT"/>
        </w:rPr>
        <w:t>1, a manutenção de uma resposta PASI 7</w:t>
      </w:r>
      <w:r w:rsidR="00B910F9" w:rsidRPr="00110D6C">
        <w:rPr>
          <w:rFonts w:cs="Times New Roman"/>
          <w:color w:val="auto"/>
          <w:szCs w:val="22"/>
          <w:lang w:val="pt-PT"/>
        </w:rPr>
        <w:t>5 </w:t>
      </w:r>
      <w:r w:rsidRPr="00110D6C">
        <w:rPr>
          <w:rFonts w:cs="Times New Roman"/>
          <w:color w:val="auto"/>
          <w:szCs w:val="22"/>
          <w:lang w:val="pt-PT"/>
        </w:rPr>
        <w:t>foi significativamente superior com a continuação da terapêutica em comparação com a retirada do tratamento (p</w:t>
      </w:r>
      <w:r w:rsidR="00F5387C" w:rsidRPr="00110D6C">
        <w:rPr>
          <w:rFonts w:cs="Times New Roman"/>
          <w:color w:val="auto"/>
          <w:szCs w:val="22"/>
          <w:lang w:val="pt-PT"/>
        </w:rPr>
        <w:t> </w:t>
      </w:r>
      <w:r w:rsidRPr="00110D6C">
        <w:rPr>
          <w:rFonts w:cs="Times New Roman"/>
          <w:color w:val="auto"/>
          <w:szCs w:val="22"/>
          <w:lang w:val="pt-PT"/>
        </w:rPr>
        <w:t>&lt;</w:t>
      </w:r>
      <w:r w:rsidR="00F5387C" w:rsidRPr="00110D6C">
        <w:rPr>
          <w:rFonts w:cs="Times New Roman"/>
          <w:color w:val="auto"/>
          <w:szCs w:val="22"/>
          <w:lang w:val="pt-PT"/>
        </w:rPr>
        <w:t> </w:t>
      </w:r>
      <w:r w:rsidRPr="00110D6C">
        <w:rPr>
          <w:rFonts w:cs="Times New Roman"/>
          <w:color w:val="auto"/>
          <w:szCs w:val="22"/>
          <w:lang w:val="pt-PT"/>
        </w:rPr>
        <w:t xml:space="preserve">0,001). Resultados semelhantes foram observados com cada uma das doses de ustecinumab. No ano </w:t>
      </w:r>
      <w:r w:rsidR="00B910F9" w:rsidRPr="00110D6C">
        <w:rPr>
          <w:rFonts w:cs="Times New Roman"/>
          <w:color w:val="auto"/>
          <w:szCs w:val="22"/>
          <w:lang w:val="pt-PT"/>
        </w:rPr>
        <w:t>1 </w:t>
      </w:r>
      <w:r w:rsidRPr="00110D6C">
        <w:rPr>
          <w:rFonts w:cs="Times New Roman"/>
          <w:color w:val="auto"/>
          <w:szCs w:val="22"/>
          <w:lang w:val="pt-PT"/>
        </w:rPr>
        <w:t>(semana</w:t>
      </w:r>
      <w:r w:rsidR="005562CC" w:rsidRPr="00110D6C">
        <w:rPr>
          <w:rFonts w:cs="Times New Roman"/>
          <w:color w:val="auto"/>
          <w:szCs w:val="22"/>
          <w:lang w:val="pt-PT"/>
        </w:rPr>
        <w:t> </w:t>
      </w:r>
      <w:r w:rsidRPr="00110D6C">
        <w:rPr>
          <w:rFonts w:cs="Times New Roman"/>
          <w:color w:val="auto"/>
          <w:szCs w:val="22"/>
          <w:lang w:val="pt-PT"/>
        </w:rPr>
        <w:t>52), 89% dos doentes realeatorizados para o tratamento de manutenção eram respondedores apresentando uma resposta PASI 7</w:t>
      </w:r>
      <w:r w:rsidR="00B910F9" w:rsidRPr="00110D6C">
        <w:rPr>
          <w:rFonts w:cs="Times New Roman"/>
          <w:color w:val="auto"/>
          <w:szCs w:val="22"/>
          <w:lang w:val="pt-PT"/>
        </w:rPr>
        <w:t>5 </w:t>
      </w:r>
      <w:r w:rsidRPr="00110D6C">
        <w:rPr>
          <w:rFonts w:cs="Times New Roman"/>
          <w:color w:val="auto"/>
          <w:szCs w:val="22"/>
          <w:lang w:val="pt-PT"/>
        </w:rPr>
        <w:t>em comparação com 63% dos doentes realeatorizados para placebo (retirada do tratamento) (p</w:t>
      </w:r>
      <w:r w:rsidR="00F5387C" w:rsidRPr="00110D6C">
        <w:rPr>
          <w:rFonts w:cs="Times New Roman"/>
          <w:color w:val="auto"/>
          <w:szCs w:val="22"/>
          <w:lang w:val="pt-PT"/>
        </w:rPr>
        <w:t> </w:t>
      </w:r>
      <w:r w:rsidRPr="00110D6C">
        <w:rPr>
          <w:rFonts w:cs="Times New Roman"/>
          <w:color w:val="auto"/>
          <w:szCs w:val="22"/>
          <w:lang w:val="pt-PT"/>
        </w:rPr>
        <w:t>&lt;</w:t>
      </w:r>
      <w:r w:rsidR="00F5387C" w:rsidRPr="00110D6C">
        <w:rPr>
          <w:rFonts w:cs="Times New Roman"/>
          <w:color w:val="auto"/>
          <w:szCs w:val="22"/>
          <w:lang w:val="pt-PT"/>
        </w:rPr>
        <w:t> </w:t>
      </w:r>
      <w:r w:rsidRPr="00110D6C">
        <w:rPr>
          <w:rFonts w:cs="Times New Roman"/>
          <w:color w:val="auto"/>
          <w:szCs w:val="22"/>
          <w:lang w:val="pt-PT"/>
        </w:rPr>
        <w:t>0,001). Aos 1</w:t>
      </w:r>
      <w:r w:rsidR="00B910F9" w:rsidRPr="00110D6C">
        <w:rPr>
          <w:rFonts w:cs="Times New Roman"/>
          <w:color w:val="auto"/>
          <w:szCs w:val="22"/>
          <w:lang w:val="pt-PT"/>
        </w:rPr>
        <w:t>8 </w:t>
      </w:r>
      <w:r w:rsidRPr="00110D6C">
        <w:rPr>
          <w:rFonts w:cs="Times New Roman"/>
          <w:color w:val="auto"/>
          <w:szCs w:val="22"/>
          <w:lang w:val="pt-PT"/>
        </w:rPr>
        <w:t>meses (semana</w:t>
      </w:r>
      <w:r w:rsidR="005562CC" w:rsidRPr="00110D6C">
        <w:rPr>
          <w:rFonts w:cs="Times New Roman"/>
          <w:color w:val="auto"/>
          <w:szCs w:val="22"/>
          <w:lang w:val="pt-PT"/>
        </w:rPr>
        <w:t> </w:t>
      </w:r>
      <w:r w:rsidRPr="00110D6C">
        <w:rPr>
          <w:rFonts w:cs="Times New Roman"/>
          <w:color w:val="auto"/>
          <w:szCs w:val="22"/>
          <w:lang w:val="pt-PT"/>
        </w:rPr>
        <w:t>76), 84% dos doentes realeatorizados para o tratamento de manutenção eram respondedores apresentando uma resposta PASI 7</w:t>
      </w:r>
      <w:r w:rsidR="00B910F9" w:rsidRPr="00110D6C">
        <w:rPr>
          <w:rFonts w:cs="Times New Roman"/>
          <w:color w:val="auto"/>
          <w:szCs w:val="22"/>
          <w:lang w:val="pt-PT"/>
        </w:rPr>
        <w:t>5 </w:t>
      </w:r>
      <w:r w:rsidRPr="00110D6C">
        <w:rPr>
          <w:rFonts w:cs="Times New Roman"/>
          <w:color w:val="auto"/>
          <w:szCs w:val="22"/>
          <w:lang w:val="pt-PT"/>
        </w:rPr>
        <w:t xml:space="preserve">em comparação com 19% dos doentes realeatorizados para placebo (retirada do tratamento). Aos </w:t>
      </w:r>
      <w:r w:rsidR="00B910F9" w:rsidRPr="00110D6C">
        <w:rPr>
          <w:rFonts w:cs="Times New Roman"/>
          <w:color w:val="auto"/>
          <w:szCs w:val="22"/>
          <w:lang w:val="pt-PT"/>
        </w:rPr>
        <w:t>3 </w:t>
      </w:r>
      <w:r w:rsidRPr="00110D6C">
        <w:rPr>
          <w:rFonts w:cs="Times New Roman"/>
          <w:color w:val="auto"/>
          <w:szCs w:val="22"/>
          <w:lang w:val="pt-PT"/>
        </w:rPr>
        <w:t>anos (semana</w:t>
      </w:r>
      <w:r w:rsidR="005562CC" w:rsidRPr="00110D6C">
        <w:rPr>
          <w:rFonts w:cs="Times New Roman"/>
          <w:color w:val="auto"/>
          <w:szCs w:val="22"/>
          <w:lang w:val="pt-PT"/>
        </w:rPr>
        <w:t> </w:t>
      </w:r>
      <w:r w:rsidRPr="00110D6C">
        <w:rPr>
          <w:rFonts w:cs="Times New Roman"/>
          <w:color w:val="auto"/>
          <w:szCs w:val="22"/>
          <w:lang w:val="pt-PT"/>
        </w:rPr>
        <w:t xml:space="preserve">148), 82% dos doentes realeatorizados para o tratamento de manutenção eram respondedores apresentando uma resposta PASI 75. Aos </w:t>
      </w:r>
      <w:r w:rsidR="00B910F9" w:rsidRPr="00110D6C">
        <w:rPr>
          <w:rFonts w:cs="Times New Roman"/>
          <w:color w:val="auto"/>
          <w:szCs w:val="22"/>
          <w:lang w:val="pt-PT"/>
        </w:rPr>
        <w:t>5 </w:t>
      </w:r>
      <w:r w:rsidRPr="00110D6C">
        <w:rPr>
          <w:rFonts w:cs="Times New Roman"/>
          <w:color w:val="auto"/>
          <w:szCs w:val="22"/>
          <w:lang w:val="pt-PT"/>
        </w:rPr>
        <w:t>anos (semana</w:t>
      </w:r>
      <w:r w:rsidR="005562CC" w:rsidRPr="00110D6C">
        <w:rPr>
          <w:rFonts w:cs="Times New Roman"/>
          <w:color w:val="auto"/>
          <w:szCs w:val="22"/>
          <w:lang w:val="pt-PT"/>
        </w:rPr>
        <w:t> </w:t>
      </w:r>
      <w:r w:rsidRPr="00110D6C">
        <w:rPr>
          <w:rFonts w:cs="Times New Roman"/>
          <w:color w:val="auto"/>
          <w:szCs w:val="22"/>
          <w:lang w:val="pt-PT"/>
        </w:rPr>
        <w:t>244), 80% dos doentes realeatorizados para o tratamento de manutenção eram respondedores PASI 75.</w:t>
      </w:r>
    </w:p>
    <w:p w14:paraId="41ABBB06" w14:textId="77777777" w:rsidR="0043129A" w:rsidRPr="00110D6C" w:rsidRDefault="0043129A" w:rsidP="00A17623">
      <w:pPr>
        <w:widowControl/>
        <w:rPr>
          <w:rFonts w:cs="Times New Roman"/>
          <w:color w:val="auto"/>
          <w:szCs w:val="22"/>
          <w:lang w:val="pt-PT"/>
        </w:rPr>
      </w:pPr>
    </w:p>
    <w:p w14:paraId="7432B469"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Nos doentes realeatorizados para receberem placebo, e que reiniciaram o seu regime de tratamento original com ustecinumab após perda de ≥</w:t>
      </w:r>
      <w:r w:rsidR="00F5387C" w:rsidRPr="00110D6C">
        <w:rPr>
          <w:rFonts w:cs="Times New Roman"/>
          <w:color w:val="auto"/>
          <w:szCs w:val="22"/>
          <w:lang w:val="pt-PT"/>
        </w:rPr>
        <w:t> </w:t>
      </w:r>
      <w:r w:rsidRPr="00110D6C">
        <w:rPr>
          <w:rFonts w:cs="Times New Roman"/>
          <w:color w:val="auto"/>
          <w:szCs w:val="22"/>
          <w:lang w:val="pt-PT"/>
        </w:rPr>
        <w:t>50% da melhoria de 85% no índice PASI, recuperaram a resposta PASI 7</w:t>
      </w:r>
      <w:r w:rsidR="00B910F9" w:rsidRPr="00110D6C">
        <w:rPr>
          <w:rFonts w:cs="Times New Roman"/>
          <w:color w:val="auto"/>
          <w:szCs w:val="22"/>
          <w:lang w:val="pt-PT"/>
        </w:rPr>
        <w:t>5 </w:t>
      </w:r>
      <w:r w:rsidRPr="00110D6C">
        <w:rPr>
          <w:rFonts w:cs="Times New Roman"/>
          <w:color w:val="auto"/>
          <w:szCs w:val="22"/>
          <w:lang w:val="pt-PT"/>
        </w:rPr>
        <w:t>nas 1</w:t>
      </w:r>
      <w:r w:rsidR="00B910F9" w:rsidRPr="00110D6C">
        <w:rPr>
          <w:rFonts w:cs="Times New Roman"/>
          <w:color w:val="auto"/>
          <w:szCs w:val="22"/>
          <w:lang w:val="pt-PT"/>
        </w:rPr>
        <w:t>2 </w:t>
      </w:r>
      <w:r w:rsidRPr="00110D6C">
        <w:rPr>
          <w:rFonts w:cs="Times New Roman"/>
          <w:color w:val="auto"/>
          <w:szCs w:val="22"/>
          <w:lang w:val="pt-PT"/>
        </w:rPr>
        <w:t>semanas após o reinício da terapêutica.</w:t>
      </w:r>
    </w:p>
    <w:p w14:paraId="58401B2D" w14:textId="77777777" w:rsidR="0043129A" w:rsidRPr="00110D6C" w:rsidRDefault="0043129A" w:rsidP="00A17623">
      <w:pPr>
        <w:widowControl/>
        <w:rPr>
          <w:rFonts w:cs="Times New Roman"/>
          <w:color w:val="auto"/>
          <w:szCs w:val="22"/>
          <w:lang w:val="pt-PT"/>
        </w:rPr>
      </w:pPr>
    </w:p>
    <w:p w14:paraId="667132B0" w14:textId="2C4AFAC3" w:rsidR="00D5307E" w:rsidRDefault="00030085" w:rsidP="00A17623">
      <w:pPr>
        <w:widowControl/>
        <w:rPr>
          <w:rFonts w:cs="Times New Roman"/>
          <w:color w:val="auto"/>
          <w:szCs w:val="22"/>
          <w:lang w:val="pt-PT"/>
        </w:rPr>
      </w:pPr>
      <w:r w:rsidRPr="00110D6C">
        <w:rPr>
          <w:rFonts w:cs="Times New Roman"/>
          <w:color w:val="auto"/>
          <w:szCs w:val="22"/>
          <w:lang w:val="pt-PT"/>
        </w:rPr>
        <w:t>No Estudo da Psoríase 1, nas semanas</w:t>
      </w:r>
      <w:r w:rsidR="005562CC" w:rsidRPr="00110D6C">
        <w:rPr>
          <w:rFonts w:cs="Times New Roman"/>
          <w:color w:val="auto"/>
          <w:szCs w:val="22"/>
          <w:lang w:val="pt-PT"/>
        </w:rPr>
        <w:t> </w:t>
      </w:r>
      <w:r w:rsidR="00B910F9" w:rsidRPr="00110D6C">
        <w:rPr>
          <w:rFonts w:cs="Times New Roman"/>
          <w:color w:val="auto"/>
          <w:szCs w:val="22"/>
          <w:lang w:val="pt-PT"/>
        </w:rPr>
        <w:t>2</w:t>
      </w:r>
      <w:r w:rsidR="005562CC" w:rsidRPr="00110D6C">
        <w:rPr>
          <w:rFonts w:cs="Times New Roman"/>
          <w:color w:val="auto"/>
          <w:szCs w:val="22"/>
          <w:lang w:val="pt-PT"/>
        </w:rPr>
        <w:t xml:space="preserve"> </w:t>
      </w:r>
      <w:r w:rsidRPr="00110D6C">
        <w:rPr>
          <w:rFonts w:cs="Times New Roman"/>
          <w:color w:val="auto"/>
          <w:szCs w:val="22"/>
          <w:lang w:val="pt-PT"/>
        </w:rPr>
        <w:t>e 12, foi demonstrada melhoria significativa do DLQI relativamente aos valores iniciais em cada grupo de tratamento com ustecinumab comparativamente com placebo.</w:t>
      </w:r>
    </w:p>
    <w:p w14:paraId="2E5F7114" w14:textId="44936AB3" w:rsidR="0077031F" w:rsidRPr="00110D6C" w:rsidRDefault="00030085" w:rsidP="00A17623">
      <w:pPr>
        <w:widowControl/>
        <w:rPr>
          <w:rFonts w:cs="Times New Roman"/>
          <w:color w:val="auto"/>
          <w:szCs w:val="22"/>
          <w:lang w:val="pt-PT"/>
        </w:rPr>
      </w:pPr>
      <w:r w:rsidRPr="00110D6C">
        <w:rPr>
          <w:rFonts w:cs="Times New Roman"/>
          <w:color w:val="auto"/>
          <w:szCs w:val="22"/>
          <w:lang w:val="pt-PT"/>
        </w:rPr>
        <w:t>A melhoria foi mantida até à Semana</w:t>
      </w:r>
      <w:r w:rsidR="005562CC" w:rsidRPr="00110D6C">
        <w:rPr>
          <w:rFonts w:cs="Times New Roman"/>
          <w:color w:val="auto"/>
          <w:szCs w:val="22"/>
          <w:lang w:val="pt-PT"/>
        </w:rPr>
        <w:t> </w:t>
      </w:r>
      <w:r w:rsidRPr="00110D6C">
        <w:rPr>
          <w:rFonts w:cs="Times New Roman"/>
          <w:color w:val="auto"/>
          <w:szCs w:val="22"/>
          <w:lang w:val="pt-PT"/>
        </w:rPr>
        <w:t>28. À semelhança, foi observada melhoria significativa nas Semanas</w:t>
      </w:r>
      <w:r w:rsidR="005562CC" w:rsidRPr="00110D6C">
        <w:rPr>
          <w:rFonts w:cs="Times New Roman"/>
          <w:color w:val="auto"/>
          <w:szCs w:val="22"/>
          <w:lang w:val="pt-PT"/>
        </w:rPr>
        <w:t> </w:t>
      </w:r>
      <w:r w:rsidR="00B910F9" w:rsidRPr="00110D6C">
        <w:rPr>
          <w:rFonts w:cs="Times New Roman"/>
          <w:color w:val="auto"/>
          <w:szCs w:val="22"/>
          <w:lang w:val="pt-PT"/>
        </w:rPr>
        <w:t>4</w:t>
      </w:r>
      <w:r w:rsidR="005562CC" w:rsidRPr="00110D6C">
        <w:rPr>
          <w:rFonts w:cs="Times New Roman"/>
          <w:color w:val="auto"/>
          <w:szCs w:val="22"/>
          <w:lang w:val="pt-PT"/>
        </w:rPr>
        <w:t xml:space="preserve"> </w:t>
      </w:r>
      <w:r w:rsidRPr="00110D6C">
        <w:rPr>
          <w:rFonts w:cs="Times New Roman"/>
          <w:color w:val="auto"/>
          <w:szCs w:val="22"/>
          <w:lang w:val="pt-PT"/>
        </w:rPr>
        <w:t>e 1</w:t>
      </w:r>
      <w:r w:rsidR="00B910F9" w:rsidRPr="00110D6C">
        <w:rPr>
          <w:rFonts w:cs="Times New Roman"/>
          <w:color w:val="auto"/>
          <w:szCs w:val="22"/>
          <w:lang w:val="pt-PT"/>
        </w:rPr>
        <w:t>2 </w:t>
      </w:r>
      <w:r w:rsidRPr="00110D6C">
        <w:rPr>
          <w:rFonts w:cs="Times New Roman"/>
          <w:color w:val="auto"/>
          <w:szCs w:val="22"/>
          <w:lang w:val="pt-PT"/>
        </w:rPr>
        <w:t>do Estudo da Psoríase</w:t>
      </w:r>
      <w:r w:rsidR="005562CC" w:rsidRPr="00110D6C">
        <w:rPr>
          <w:rFonts w:cs="Times New Roman"/>
          <w:color w:val="auto"/>
          <w:szCs w:val="22"/>
          <w:lang w:val="pt-PT"/>
        </w:rPr>
        <w:t> </w:t>
      </w:r>
      <w:r w:rsidR="00B910F9" w:rsidRPr="00110D6C">
        <w:rPr>
          <w:rFonts w:cs="Times New Roman"/>
          <w:color w:val="auto"/>
          <w:szCs w:val="22"/>
          <w:lang w:val="pt-PT"/>
        </w:rPr>
        <w:t>2</w:t>
      </w:r>
      <w:r w:rsidR="005562CC" w:rsidRPr="00110D6C">
        <w:rPr>
          <w:rFonts w:cs="Times New Roman"/>
          <w:color w:val="auto"/>
          <w:szCs w:val="22"/>
          <w:lang w:val="pt-PT"/>
        </w:rPr>
        <w:t xml:space="preserve"> </w:t>
      </w:r>
      <w:r w:rsidRPr="00110D6C">
        <w:rPr>
          <w:rFonts w:cs="Times New Roman"/>
          <w:color w:val="auto"/>
          <w:szCs w:val="22"/>
          <w:lang w:val="pt-PT"/>
        </w:rPr>
        <w:t>e mantida até à Semana</w:t>
      </w:r>
      <w:r w:rsidR="005562CC" w:rsidRPr="00110D6C">
        <w:rPr>
          <w:rFonts w:cs="Times New Roman"/>
          <w:color w:val="auto"/>
          <w:szCs w:val="22"/>
          <w:lang w:val="pt-PT"/>
        </w:rPr>
        <w:t> </w:t>
      </w:r>
      <w:r w:rsidRPr="00110D6C">
        <w:rPr>
          <w:rFonts w:cs="Times New Roman"/>
          <w:color w:val="auto"/>
          <w:szCs w:val="22"/>
          <w:lang w:val="pt-PT"/>
        </w:rPr>
        <w:t>24. No Estudo da Psoríase 1, a melhoria da psoríase ungueal (</w:t>
      </w:r>
      <w:r w:rsidRPr="00110D6C">
        <w:rPr>
          <w:rFonts w:cs="Times New Roman"/>
          <w:i/>
          <w:iCs/>
          <w:color w:val="auto"/>
          <w:szCs w:val="22"/>
          <w:lang w:val="pt-PT"/>
        </w:rPr>
        <w:t>Nail Psoriasis Severity Index</w:t>
      </w:r>
      <w:r w:rsidRPr="00110D6C">
        <w:rPr>
          <w:rFonts w:cs="Times New Roman"/>
          <w:color w:val="auto"/>
          <w:szCs w:val="22"/>
          <w:lang w:val="pt-PT"/>
        </w:rPr>
        <w:t>), nas pontuações sumárias dos componentes físicos e mentais do SF-3</w:t>
      </w:r>
      <w:r w:rsidR="00B910F9" w:rsidRPr="00110D6C">
        <w:rPr>
          <w:rFonts w:cs="Times New Roman"/>
          <w:color w:val="auto"/>
          <w:szCs w:val="22"/>
          <w:lang w:val="pt-PT"/>
        </w:rPr>
        <w:t>6 </w:t>
      </w:r>
      <w:r w:rsidRPr="00110D6C">
        <w:rPr>
          <w:rFonts w:cs="Times New Roman"/>
          <w:color w:val="auto"/>
          <w:szCs w:val="22"/>
          <w:lang w:val="pt-PT"/>
        </w:rPr>
        <w:t xml:space="preserve">e na Escala Visual Analógica (EVA) para prurido, foi </w:t>
      </w:r>
      <w:r w:rsidRPr="00110D6C">
        <w:rPr>
          <w:rFonts w:cs="Times New Roman"/>
          <w:color w:val="auto"/>
          <w:szCs w:val="22"/>
          <w:lang w:val="pt-PT"/>
        </w:rPr>
        <w:lastRenderedPageBreak/>
        <w:t xml:space="preserve">também significativa em cada grupo de tratamento com ustecinumab comparativamente com placebo. No Estudo da Psoríase 2, a </w:t>
      </w:r>
      <w:r w:rsidRPr="00110D6C">
        <w:rPr>
          <w:rFonts w:cs="Times New Roman"/>
          <w:i/>
          <w:iCs/>
          <w:color w:val="auto"/>
          <w:szCs w:val="22"/>
          <w:lang w:val="pt-PT"/>
        </w:rPr>
        <w:t>Hospitalar Anxiety and Depression Scale</w:t>
      </w:r>
      <w:r w:rsidRPr="00110D6C">
        <w:rPr>
          <w:rFonts w:cs="Times New Roman"/>
          <w:color w:val="auto"/>
          <w:szCs w:val="22"/>
          <w:lang w:val="pt-PT"/>
        </w:rPr>
        <w:t xml:space="preserve"> (HADS) e o </w:t>
      </w:r>
      <w:r w:rsidRPr="00110D6C">
        <w:rPr>
          <w:rFonts w:cs="Times New Roman"/>
          <w:i/>
          <w:iCs/>
          <w:color w:val="auto"/>
          <w:szCs w:val="22"/>
          <w:lang w:val="pt-PT"/>
        </w:rPr>
        <w:t>Work Limitations Questionnaire</w:t>
      </w:r>
      <w:r w:rsidRPr="00110D6C">
        <w:rPr>
          <w:rFonts w:cs="Times New Roman"/>
          <w:color w:val="auto"/>
          <w:szCs w:val="22"/>
          <w:lang w:val="pt-PT"/>
        </w:rPr>
        <w:t xml:space="preserve"> (WLQ) apresentaram também melhoria significativa em cada grupo de tratamento com ustecinumab comparativamente com placebo.</w:t>
      </w:r>
    </w:p>
    <w:p w14:paraId="1E81DD0A" w14:textId="77777777" w:rsidR="0043129A" w:rsidRPr="00110D6C" w:rsidRDefault="0043129A" w:rsidP="00A17623">
      <w:pPr>
        <w:widowControl/>
        <w:rPr>
          <w:rFonts w:cs="Times New Roman"/>
          <w:color w:val="auto"/>
          <w:szCs w:val="22"/>
          <w:lang w:val="pt-PT"/>
        </w:rPr>
      </w:pPr>
    </w:p>
    <w:p w14:paraId="77099B20"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Artrite psoriática (AP) (Adultos)</w:t>
      </w:r>
    </w:p>
    <w:p w14:paraId="46911A4D"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O ustecinumab tem demonstrado melhorar os sinais e sintomas, a função física e a qualidade de vida relacionada com a saúde, e reduzir a taxa de progressão de dano das articulações periféricas em doentes adultos com AP ativa.</w:t>
      </w:r>
    </w:p>
    <w:p w14:paraId="47AAE998" w14:textId="77777777" w:rsidR="0043129A" w:rsidRPr="00110D6C" w:rsidRDefault="0043129A" w:rsidP="00A17623">
      <w:pPr>
        <w:widowControl/>
        <w:rPr>
          <w:rFonts w:cs="Times New Roman"/>
          <w:color w:val="auto"/>
          <w:szCs w:val="22"/>
          <w:lang w:val="pt-PT"/>
        </w:rPr>
      </w:pPr>
    </w:p>
    <w:p w14:paraId="02D03C19" w14:textId="6C6A8C49" w:rsidR="0077031F" w:rsidRPr="00110D6C" w:rsidRDefault="00030085" w:rsidP="00A17623">
      <w:pPr>
        <w:widowControl/>
        <w:rPr>
          <w:rFonts w:cs="Times New Roman"/>
          <w:color w:val="auto"/>
          <w:szCs w:val="22"/>
          <w:lang w:val="pt-PT"/>
        </w:rPr>
      </w:pPr>
      <w:r w:rsidRPr="00110D6C">
        <w:rPr>
          <w:rFonts w:cs="Times New Roman"/>
          <w:color w:val="auto"/>
          <w:szCs w:val="22"/>
          <w:lang w:val="pt-PT"/>
        </w:rPr>
        <w:t>A segurança e eficácia de ustecinumab foi avaliada em 92</w:t>
      </w:r>
      <w:r w:rsidR="00B910F9" w:rsidRPr="00110D6C">
        <w:rPr>
          <w:rFonts w:cs="Times New Roman"/>
          <w:color w:val="auto"/>
          <w:szCs w:val="22"/>
          <w:lang w:val="pt-PT"/>
        </w:rPr>
        <w:t>7 </w:t>
      </w:r>
      <w:r w:rsidRPr="00110D6C">
        <w:rPr>
          <w:rFonts w:cs="Times New Roman"/>
          <w:color w:val="auto"/>
          <w:szCs w:val="22"/>
          <w:lang w:val="pt-PT"/>
        </w:rPr>
        <w:t>doentes em dois estudos aleatorizados, em dupla ocultação, controlados por placebo, realizados em doentes com artrite psoriática (com ≥</w:t>
      </w:r>
      <w:r w:rsidR="00F5387C" w:rsidRPr="00110D6C">
        <w:rPr>
          <w:rFonts w:cs="Times New Roman"/>
          <w:color w:val="auto"/>
          <w:szCs w:val="22"/>
          <w:lang w:val="pt-PT"/>
        </w:rPr>
        <w:t> </w:t>
      </w:r>
      <w:r w:rsidR="00B910F9" w:rsidRPr="00110D6C">
        <w:rPr>
          <w:rFonts w:cs="Times New Roman"/>
          <w:color w:val="auto"/>
          <w:szCs w:val="22"/>
          <w:lang w:val="pt-PT"/>
        </w:rPr>
        <w:t>5 </w:t>
      </w:r>
      <w:r w:rsidRPr="00110D6C">
        <w:rPr>
          <w:rFonts w:cs="Times New Roman"/>
          <w:color w:val="auto"/>
          <w:szCs w:val="22"/>
          <w:lang w:val="pt-PT"/>
        </w:rPr>
        <w:t>articulações tumefactas e ≥</w:t>
      </w:r>
      <w:r w:rsidR="00F5387C" w:rsidRPr="00110D6C">
        <w:rPr>
          <w:rFonts w:cs="Times New Roman"/>
          <w:color w:val="auto"/>
          <w:szCs w:val="22"/>
          <w:lang w:val="pt-PT"/>
        </w:rPr>
        <w:t> </w:t>
      </w:r>
      <w:r w:rsidR="00B910F9" w:rsidRPr="00110D6C">
        <w:rPr>
          <w:rFonts w:cs="Times New Roman"/>
          <w:color w:val="auto"/>
          <w:szCs w:val="22"/>
          <w:lang w:val="pt-PT"/>
        </w:rPr>
        <w:t>5 </w:t>
      </w:r>
      <w:r w:rsidRPr="00110D6C">
        <w:rPr>
          <w:rFonts w:cs="Times New Roman"/>
          <w:color w:val="auto"/>
          <w:szCs w:val="22"/>
          <w:lang w:val="pt-PT"/>
        </w:rPr>
        <w:t>articulações dolorosas), apesar da terapêutica com medicamentos anti-inflamatórios não ester</w:t>
      </w:r>
      <w:r w:rsidR="00587D68">
        <w:rPr>
          <w:rFonts w:cs="Times New Roman"/>
          <w:color w:val="auto"/>
          <w:szCs w:val="22"/>
          <w:lang w:val="pt-PT"/>
        </w:rPr>
        <w:t>o</w:t>
      </w:r>
      <w:r w:rsidRPr="00110D6C">
        <w:rPr>
          <w:rFonts w:cs="Times New Roman"/>
          <w:color w:val="auto"/>
          <w:szCs w:val="22"/>
          <w:lang w:val="pt-PT"/>
        </w:rPr>
        <w:t>ides (AINEs) e da terapêutica com medicamentos anti</w:t>
      </w:r>
      <w:r w:rsidR="00D5307E">
        <w:rPr>
          <w:rFonts w:cs="Times New Roman"/>
          <w:color w:val="auto"/>
          <w:szCs w:val="22"/>
          <w:lang w:val="pt-PT"/>
        </w:rPr>
        <w:t>r</w:t>
      </w:r>
      <w:r w:rsidRPr="00110D6C">
        <w:rPr>
          <w:rFonts w:cs="Times New Roman"/>
          <w:color w:val="auto"/>
          <w:szCs w:val="22"/>
          <w:lang w:val="pt-PT"/>
        </w:rPr>
        <w:t xml:space="preserve">reumáticos modificadores da doença (DMARDs). Nestes estudos, os doentes tiveram o diagnóstico de AP pelo menos </w:t>
      </w:r>
      <w:r w:rsidR="00B910F9" w:rsidRPr="00110D6C">
        <w:rPr>
          <w:rFonts w:cs="Times New Roman"/>
          <w:color w:val="auto"/>
          <w:szCs w:val="22"/>
          <w:lang w:val="pt-PT"/>
        </w:rPr>
        <w:t>6 </w:t>
      </w:r>
      <w:r w:rsidRPr="00110D6C">
        <w:rPr>
          <w:rFonts w:cs="Times New Roman"/>
          <w:color w:val="auto"/>
          <w:szCs w:val="22"/>
          <w:lang w:val="pt-PT"/>
        </w:rPr>
        <w:t>meses antes. Foram incluídos doentes com cada subtipo de AP, incluindo artrite poliarticular, sem evidência de nódulos reumat</w:t>
      </w:r>
      <w:r w:rsidR="00D5307E">
        <w:rPr>
          <w:rFonts w:cs="Times New Roman"/>
          <w:color w:val="auto"/>
          <w:szCs w:val="22"/>
          <w:lang w:val="pt-PT"/>
        </w:rPr>
        <w:t>o</w:t>
      </w:r>
      <w:r w:rsidRPr="00110D6C">
        <w:rPr>
          <w:rFonts w:cs="Times New Roman"/>
          <w:color w:val="auto"/>
          <w:szCs w:val="22"/>
          <w:lang w:val="pt-PT"/>
        </w:rPr>
        <w:t>ides (39%), espondilite com artrite periférica (28%), artrite</w:t>
      </w:r>
      <w:r w:rsidR="006A79E5" w:rsidRPr="00110D6C">
        <w:rPr>
          <w:rFonts w:cs="Times New Roman"/>
          <w:color w:val="auto"/>
          <w:szCs w:val="22"/>
          <w:lang w:val="pt-PT"/>
        </w:rPr>
        <w:t xml:space="preserve"> </w:t>
      </w:r>
      <w:r w:rsidRPr="00110D6C">
        <w:rPr>
          <w:rFonts w:cs="Times New Roman"/>
          <w:color w:val="auto"/>
          <w:szCs w:val="22"/>
          <w:lang w:val="pt-PT"/>
        </w:rPr>
        <w:t>assimétrica periférica (21%), envolvimento interfalângico distal (12%) e artrite mutilante (0,5%). No início dos estudos, mais de 70% e 40% dos doentes apresentaram entesites e dactilites, respetivamente. Os doentes foram aleatorizados para receber tratamento com ustecinumab 4</w:t>
      </w:r>
      <w:r w:rsidR="00B910F9" w:rsidRPr="00110D6C">
        <w:rPr>
          <w:rFonts w:cs="Times New Roman"/>
          <w:color w:val="auto"/>
          <w:szCs w:val="22"/>
          <w:lang w:val="pt-PT"/>
        </w:rPr>
        <w:t>5 </w:t>
      </w:r>
      <w:r w:rsidRPr="00110D6C">
        <w:rPr>
          <w:rFonts w:cs="Times New Roman"/>
          <w:color w:val="auto"/>
          <w:szCs w:val="22"/>
          <w:lang w:val="pt-PT"/>
        </w:rPr>
        <w:t>mg, 9</w:t>
      </w:r>
      <w:r w:rsidR="00B910F9" w:rsidRPr="00110D6C">
        <w:rPr>
          <w:rFonts w:cs="Times New Roman"/>
          <w:color w:val="auto"/>
          <w:szCs w:val="22"/>
          <w:lang w:val="pt-PT"/>
        </w:rPr>
        <w:t>0 </w:t>
      </w:r>
      <w:r w:rsidRPr="00110D6C">
        <w:rPr>
          <w:rFonts w:cs="Times New Roman"/>
          <w:color w:val="auto"/>
          <w:szCs w:val="22"/>
          <w:lang w:val="pt-PT"/>
        </w:rPr>
        <w:t>mg, ou placebo por via subcutânea nas Semanas</w:t>
      </w:r>
      <w:r w:rsidR="005562CC" w:rsidRPr="00110D6C">
        <w:rPr>
          <w:rFonts w:cs="Times New Roman"/>
          <w:color w:val="auto"/>
          <w:szCs w:val="22"/>
          <w:lang w:val="pt-PT"/>
        </w:rPr>
        <w:t> </w:t>
      </w:r>
      <w:r w:rsidR="00B910F9" w:rsidRPr="00110D6C">
        <w:rPr>
          <w:rFonts w:cs="Times New Roman"/>
          <w:color w:val="auto"/>
          <w:szCs w:val="22"/>
          <w:lang w:val="pt-PT"/>
        </w:rPr>
        <w:t>0</w:t>
      </w:r>
      <w:r w:rsidR="005562CC" w:rsidRPr="00110D6C">
        <w:rPr>
          <w:rFonts w:cs="Times New Roman"/>
          <w:color w:val="auto"/>
          <w:szCs w:val="22"/>
          <w:lang w:val="pt-PT"/>
        </w:rPr>
        <w:t xml:space="preserve"> </w:t>
      </w:r>
      <w:r w:rsidRPr="00110D6C">
        <w:rPr>
          <w:rFonts w:cs="Times New Roman"/>
          <w:color w:val="auto"/>
          <w:szCs w:val="22"/>
          <w:lang w:val="pt-PT"/>
        </w:rPr>
        <w:t>e 4, seguidas de doses em intervalos de 1</w:t>
      </w:r>
      <w:r w:rsidR="00B910F9" w:rsidRPr="00110D6C">
        <w:rPr>
          <w:rFonts w:cs="Times New Roman"/>
          <w:color w:val="auto"/>
          <w:szCs w:val="22"/>
          <w:lang w:val="pt-PT"/>
        </w:rPr>
        <w:t>2 </w:t>
      </w:r>
      <w:r w:rsidRPr="00110D6C">
        <w:rPr>
          <w:rFonts w:cs="Times New Roman"/>
          <w:color w:val="auto"/>
          <w:szCs w:val="22"/>
          <w:lang w:val="pt-PT"/>
        </w:rPr>
        <w:t>semanas.</w:t>
      </w:r>
    </w:p>
    <w:p w14:paraId="099E3053"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Aproximadamente 50% dos doentes continuaram com doses estáveis de MTX (≤</w:t>
      </w:r>
      <w:r w:rsidR="00F5387C" w:rsidRPr="00110D6C">
        <w:rPr>
          <w:rFonts w:cs="Times New Roman"/>
          <w:color w:val="auto"/>
          <w:szCs w:val="22"/>
          <w:lang w:val="pt-PT"/>
        </w:rPr>
        <w:t> </w:t>
      </w:r>
      <w:r w:rsidRPr="00110D6C">
        <w:rPr>
          <w:rFonts w:cs="Times New Roman"/>
          <w:color w:val="auto"/>
          <w:szCs w:val="22"/>
          <w:lang w:val="pt-PT"/>
        </w:rPr>
        <w:t>2</w:t>
      </w:r>
      <w:r w:rsidR="00B910F9" w:rsidRPr="00110D6C">
        <w:rPr>
          <w:rFonts w:cs="Times New Roman"/>
          <w:color w:val="auto"/>
          <w:szCs w:val="22"/>
          <w:lang w:val="pt-PT"/>
        </w:rPr>
        <w:t>5 </w:t>
      </w:r>
      <w:r w:rsidRPr="00110D6C">
        <w:rPr>
          <w:rFonts w:cs="Times New Roman"/>
          <w:color w:val="auto"/>
          <w:szCs w:val="22"/>
          <w:lang w:val="pt-PT"/>
        </w:rPr>
        <w:t>mg/semana).</w:t>
      </w:r>
    </w:p>
    <w:p w14:paraId="14B09E33" w14:textId="77777777" w:rsidR="00776675" w:rsidRPr="00110D6C" w:rsidRDefault="00776675" w:rsidP="00A17623">
      <w:pPr>
        <w:widowControl/>
        <w:rPr>
          <w:rFonts w:cs="Times New Roman"/>
          <w:color w:val="auto"/>
          <w:szCs w:val="22"/>
          <w:lang w:val="pt-PT"/>
        </w:rPr>
      </w:pPr>
    </w:p>
    <w:p w14:paraId="56B1BDEB"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No Estudo </w:t>
      </w:r>
      <w:r w:rsidR="00B910F9" w:rsidRPr="00110D6C">
        <w:rPr>
          <w:rFonts w:cs="Times New Roman"/>
          <w:color w:val="auto"/>
          <w:szCs w:val="22"/>
          <w:lang w:val="pt-PT"/>
        </w:rPr>
        <w:t>1 </w:t>
      </w:r>
      <w:r w:rsidRPr="00110D6C">
        <w:rPr>
          <w:rFonts w:cs="Times New Roman"/>
          <w:color w:val="auto"/>
          <w:szCs w:val="22"/>
          <w:lang w:val="pt-PT"/>
        </w:rPr>
        <w:t xml:space="preserve">da AP (PSUMMIT I) e noEstudo2da AP (PSUMMIT II), 80% e 86% dos doentes, respetivamente, tinham sido previamente tratados com DMARDs. No Estudo </w:t>
      </w:r>
      <w:r w:rsidR="00B910F9" w:rsidRPr="00110D6C">
        <w:rPr>
          <w:rFonts w:cs="Times New Roman"/>
          <w:color w:val="auto"/>
          <w:szCs w:val="22"/>
          <w:lang w:val="pt-PT"/>
        </w:rPr>
        <w:t>1 </w:t>
      </w:r>
      <w:r w:rsidRPr="00110D6C">
        <w:rPr>
          <w:rFonts w:cs="Times New Roman"/>
          <w:color w:val="auto"/>
          <w:szCs w:val="22"/>
          <w:lang w:val="pt-PT"/>
        </w:rPr>
        <w:t>não foi permitido o tratamento prévio com agentes anti-fator de necrose tumoral (TNF). No Estudo 2, a maioria dos doentes (58%, n</w:t>
      </w:r>
      <w:r w:rsidR="005562CC" w:rsidRPr="00110D6C">
        <w:rPr>
          <w:rFonts w:cs="Times New Roman"/>
          <w:color w:val="auto"/>
          <w:szCs w:val="22"/>
          <w:lang w:val="pt-PT"/>
        </w:rPr>
        <w:t> </w:t>
      </w:r>
      <w:r w:rsidRPr="00110D6C">
        <w:rPr>
          <w:rFonts w:cs="Times New Roman"/>
          <w:color w:val="auto"/>
          <w:szCs w:val="22"/>
          <w:lang w:val="pt-PT"/>
        </w:rPr>
        <w:t>=</w:t>
      </w:r>
      <w:r w:rsidR="005562CC" w:rsidRPr="00110D6C">
        <w:rPr>
          <w:rFonts w:cs="Times New Roman"/>
          <w:color w:val="auto"/>
          <w:szCs w:val="22"/>
          <w:lang w:val="pt-PT"/>
        </w:rPr>
        <w:t> </w:t>
      </w:r>
      <w:r w:rsidRPr="00110D6C">
        <w:rPr>
          <w:rFonts w:cs="Times New Roman"/>
          <w:color w:val="auto"/>
          <w:szCs w:val="22"/>
          <w:lang w:val="pt-PT"/>
        </w:rPr>
        <w:t>180) foram previamente tratados com um ou mais agentes anti-TNF, dos quais mais de 70% descontinuaram o tratamento anti-TNF pela ausência de eficácia ou intolerância, em qualquer momento.</w:t>
      </w:r>
    </w:p>
    <w:p w14:paraId="7BCFC230" w14:textId="77777777" w:rsidR="00776675" w:rsidRPr="00110D6C" w:rsidRDefault="00776675" w:rsidP="00A17623">
      <w:pPr>
        <w:widowControl/>
        <w:rPr>
          <w:rFonts w:cs="Times New Roman"/>
          <w:iCs/>
          <w:color w:val="auto"/>
          <w:szCs w:val="22"/>
          <w:lang w:val="pt-PT"/>
        </w:rPr>
      </w:pPr>
    </w:p>
    <w:p w14:paraId="6C599D7A" w14:textId="77777777" w:rsidR="0077031F" w:rsidRPr="00110D6C" w:rsidRDefault="00030085" w:rsidP="00A17623">
      <w:pPr>
        <w:widowControl/>
        <w:rPr>
          <w:rFonts w:cs="Times New Roman"/>
          <w:color w:val="auto"/>
          <w:szCs w:val="22"/>
          <w:lang w:val="pt-PT"/>
        </w:rPr>
      </w:pPr>
      <w:r w:rsidRPr="00110D6C">
        <w:rPr>
          <w:rFonts w:cs="Times New Roman"/>
          <w:i/>
          <w:iCs/>
          <w:color w:val="auto"/>
          <w:szCs w:val="22"/>
          <w:lang w:val="pt-PT"/>
        </w:rPr>
        <w:t>Sinais e sintomas</w:t>
      </w:r>
    </w:p>
    <w:p w14:paraId="44FB3CD8" w14:textId="4E94C96D" w:rsidR="0077031F" w:rsidRPr="00110D6C" w:rsidRDefault="00030085" w:rsidP="00A17623">
      <w:pPr>
        <w:widowControl/>
        <w:rPr>
          <w:rFonts w:cs="Times New Roman"/>
          <w:color w:val="auto"/>
          <w:szCs w:val="22"/>
          <w:lang w:val="pt-PT"/>
        </w:rPr>
      </w:pPr>
      <w:r w:rsidRPr="00110D6C">
        <w:rPr>
          <w:rFonts w:cs="Times New Roman"/>
          <w:color w:val="auto"/>
          <w:szCs w:val="22"/>
          <w:lang w:val="pt-PT"/>
        </w:rPr>
        <w:t>O tratamento com ustecinumab resultou em melhorias significativas nas medidas de atividade da doença em comparação com placebo, na Semana</w:t>
      </w:r>
      <w:r w:rsidR="005562CC" w:rsidRPr="00110D6C">
        <w:rPr>
          <w:rFonts w:cs="Times New Roman"/>
          <w:color w:val="auto"/>
          <w:szCs w:val="22"/>
          <w:lang w:val="pt-PT"/>
        </w:rPr>
        <w:t> </w:t>
      </w:r>
      <w:r w:rsidRPr="00110D6C">
        <w:rPr>
          <w:rFonts w:cs="Times New Roman"/>
          <w:color w:val="auto"/>
          <w:szCs w:val="22"/>
          <w:lang w:val="pt-PT"/>
        </w:rPr>
        <w:t>24. O parâmetro de avaliação primário foi a percentagem de doentes que atingiram uma resposta de 2</w:t>
      </w:r>
      <w:r w:rsidR="00B910F9" w:rsidRPr="00110D6C">
        <w:rPr>
          <w:rFonts w:cs="Times New Roman"/>
          <w:color w:val="auto"/>
          <w:szCs w:val="22"/>
          <w:lang w:val="pt-PT"/>
        </w:rPr>
        <w:t>0 </w:t>
      </w:r>
      <w:r w:rsidRPr="00110D6C">
        <w:rPr>
          <w:rFonts w:cs="Times New Roman"/>
          <w:color w:val="auto"/>
          <w:szCs w:val="22"/>
          <w:lang w:val="pt-PT"/>
        </w:rPr>
        <w:t xml:space="preserve">pelo Colégio Americano de Reumatologia </w:t>
      </w:r>
      <w:r w:rsidRPr="00110D6C">
        <w:rPr>
          <w:rFonts w:cs="Times New Roman"/>
          <w:i/>
          <w:iCs/>
          <w:color w:val="auto"/>
          <w:szCs w:val="22"/>
          <w:lang w:val="pt-PT"/>
        </w:rPr>
        <w:t>(American College of Rheumatology (ACR)</w:t>
      </w:r>
      <w:r w:rsidRPr="00110D6C">
        <w:rPr>
          <w:rFonts w:cs="Times New Roman"/>
          <w:color w:val="auto"/>
          <w:szCs w:val="22"/>
          <w:lang w:val="pt-PT"/>
        </w:rPr>
        <w:t>) na Semana</w:t>
      </w:r>
      <w:r w:rsidR="005562CC" w:rsidRPr="00110D6C">
        <w:rPr>
          <w:rFonts w:cs="Times New Roman"/>
          <w:color w:val="auto"/>
          <w:szCs w:val="22"/>
          <w:lang w:val="pt-PT"/>
        </w:rPr>
        <w:t> </w:t>
      </w:r>
      <w:r w:rsidRPr="00110D6C">
        <w:rPr>
          <w:rFonts w:cs="Times New Roman"/>
          <w:color w:val="auto"/>
          <w:szCs w:val="22"/>
          <w:lang w:val="pt-PT"/>
        </w:rPr>
        <w:t>24. Os principais resultados da eficácia são apresentados abaixo, na Tabela</w:t>
      </w:r>
      <w:r w:rsidR="00982985" w:rsidRPr="00110D6C">
        <w:rPr>
          <w:rFonts w:cs="Times New Roman"/>
          <w:color w:val="auto"/>
          <w:szCs w:val="22"/>
          <w:lang w:val="pt-PT"/>
        </w:rPr>
        <w:t> </w:t>
      </w:r>
      <w:r w:rsidR="00D5307E">
        <w:rPr>
          <w:rFonts w:cs="Times New Roman"/>
          <w:color w:val="auto"/>
          <w:szCs w:val="22"/>
          <w:lang w:val="pt-PT"/>
        </w:rPr>
        <w:t>5</w:t>
      </w:r>
      <w:r w:rsidRPr="00110D6C">
        <w:rPr>
          <w:rFonts w:cs="Times New Roman"/>
          <w:color w:val="auto"/>
          <w:szCs w:val="22"/>
          <w:lang w:val="pt-PT"/>
        </w:rPr>
        <w:t>.</w:t>
      </w:r>
    </w:p>
    <w:p w14:paraId="7559F71E" w14:textId="77777777" w:rsidR="00776675" w:rsidRPr="00110D6C" w:rsidRDefault="00776675" w:rsidP="00A17623">
      <w:pPr>
        <w:widowControl/>
        <w:rPr>
          <w:rFonts w:cs="Times New Roman"/>
          <w:iCs/>
          <w:color w:val="auto"/>
          <w:szCs w:val="22"/>
          <w:lang w:val="pt-PT"/>
        </w:rPr>
      </w:pPr>
    </w:p>
    <w:p w14:paraId="176A3323" w14:textId="3D002CA5" w:rsidR="0077031F" w:rsidRPr="00110D6C" w:rsidRDefault="00030085" w:rsidP="00776675">
      <w:pPr>
        <w:widowControl/>
        <w:ind w:left="1134" w:hanging="1134"/>
        <w:rPr>
          <w:rFonts w:cs="Times New Roman"/>
          <w:color w:val="auto"/>
          <w:szCs w:val="22"/>
          <w:lang w:val="pt-PT"/>
        </w:rPr>
      </w:pPr>
      <w:r w:rsidRPr="00110D6C">
        <w:rPr>
          <w:rFonts w:cs="Times New Roman"/>
          <w:i/>
          <w:iCs/>
          <w:color w:val="auto"/>
          <w:szCs w:val="22"/>
          <w:lang w:val="pt-PT"/>
        </w:rPr>
        <w:t>Tabela</w:t>
      </w:r>
      <w:r w:rsidR="00982985" w:rsidRPr="00110D6C">
        <w:rPr>
          <w:rFonts w:cs="Times New Roman"/>
          <w:i/>
          <w:iCs/>
          <w:color w:val="auto"/>
          <w:szCs w:val="22"/>
          <w:lang w:val="pt-PT"/>
        </w:rPr>
        <w:t> </w:t>
      </w:r>
      <w:r w:rsidR="00D5307E">
        <w:rPr>
          <w:rFonts w:cs="Times New Roman"/>
          <w:i/>
          <w:iCs/>
          <w:color w:val="auto"/>
          <w:szCs w:val="22"/>
          <w:lang w:val="pt-PT"/>
        </w:rPr>
        <w:t>5</w:t>
      </w:r>
      <w:r w:rsidR="00776675" w:rsidRPr="00110D6C">
        <w:rPr>
          <w:rFonts w:cs="Times New Roman"/>
          <w:i/>
          <w:iCs/>
          <w:color w:val="auto"/>
          <w:szCs w:val="22"/>
          <w:lang w:val="pt-PT"/>
        </w:rPr>
        <w:tab/>
      </w:r>
      <w:r w:rsidRPr="00110D6C">
        <w:rPr>
          <w:rFonts w:cs="Times New Roman"/>
          <w:i/>
          <w:iCs/>
          <w:color w:val="auto"/>
          <w:szCs w:val="22"/>
          <w:lang w:val="pt-PT"/>
        </w:rPr>
        <w:t xml:space="preserve">Número de doentes que alcançaram resposta clínica nos Estudos </w:t>
      </w:r>
      <w:r w:rsidR="00B910F9" w:rsidRPr="00110D6C">
        <w:rPr>
          <w:rFonts w:cs="Times New Roman"/>
          <w:i/>
          <w:iCs/>
          <w:color w:val="auto"/>
          <w:szCs w:val="22"/>
          <w:lang w:val="pt-PT"/>
        </w:rPr>
        <w:t>1 </w:t>
      </w:r>
      <w:r w:rsidRPr="00110D6C">
        <w:rPr>
          <w:rFonts w:cs="Times New Roman"/>
          <w:i/>
          <w:iCs/>
          <w:color w:val="auto"/>
          <w:szCs w:val="22"/>
          <w:lang w:val="pt-PT"/>
        </w:rPr>
        <w:t xml:space="preserve">da Artrite psoriática (PSUMMIT I) e no Estudo </w:t>
      </w:r>
      <w:r w:rsidR="00B910F9" w:rsidRPr="00110D6C">
        <w:rPr>
          <w:rFonts w:cs="Times New Roman"/>
          <w:i/>
          <w:iCs/>
          <w:color w:val="auto"/>
          <w:szCs w:val="22"/>
          <w:lang w:val="pt-PT"/>
        </w:rPr>
        <w:t>2 </w:t>
      </w:r>
      <w:r w:rsidRPr="00110D6C">
        <w:rPr>
          <w:rFonts w:cs="Times New Roman"/>
          <w:i/>
          <w:iCs/>
          <w:color w:val="auto"/>
          <w:szCs w:val="22"/>
          <w:lang w:val="pt-PT"/>
        </w:rPr>
        <w:t>(PSUMMIT II), na Semana</w:t>
      </w:r>
      <w:r w:rsidR="005562CC" w:rsidRPr="00110D6C">
        <w:rPr>
          <w:rFonts w:cs="Times New Roman"/>
          <w:i/>
          <w:iCs/>
          <w:color w:val="auto"/>
          <w:szCs w:val="22"/>
          <w:lang w:val="pt-PT"/>
        </w:rPr>
        <w:t> </w:t>
      </w:r>
      <w:r w:rsidRPr="00110D6C">
        <w:rPr>
          <w:rFonts w:cs="Times New Roman"/>
          <w:i/>
          <w:iCs/>
          <w:color w:val="auto"/>
          <w:szCs w:val="22"/>
          <w:lang w:val="pt-PT"/>
        </w:rPr>
        <w:t>24</w:t>
      </w:r>
    </w:p>
    <w:tbl>
      <w:tblPr>
        <w:tblOverlap w:val="never"/>
        <w:tblW w:w="0" w:type="auto"/>
        <w:tblLayout w:type="fixed"/>
        <w:tblLook w:val="04A0" w:firstRow="1" w:lastRow="0" w:firstColumn="1" w:lastColumn="0" w:noHBand="0" w:noVBand="1"/>
      </w:tblPr>
      <w:tblGrid>
        <w:gridCol w:w="2446"/>
        <w:gridCol w:w="1105"/>
        <w:gridCol w:w="1105"/>
        <w:gridCol w:w="1105"/>
        <w:gridCol w:w="1105"/>
        <w:gridCol w:w="1105"/>
        <w:gridCol w:w="1106"/>
      </w:tblGrid>
      <w:tr w:rsidR="0077031F" w:rsidRPr="00110D6C" w14:paraId="59D89716" w14:textId="77777777" w:rsidTr="00E77794">
        <w:tc>
          <w:tcPr>
            <w:tcW w:w="2446" w:type="dxa"/>
            <w:tcBorders>
              <w:top w:val="single" w:sz="4" w:space="0" w:color="auto"/>
              <w:left w:val="single" w:sz="4" w:space="0" w:color="auto"/>
            </w:tcBorders>
            <w:shd w:val="clear" w:color="auto" w:fill="auto"/>
          </w:tcPr>
          <w:p w14:paraId="6038754B" w14:textId="77777777" w:rsidR="0077031F" w:rsidRPr="00110D6C" w:rsidRDefault="0077031F" w:rsidP="00E77794">
            <w:pPr>
              <w:widowControl/>
              <w:rPr>
                <w:rFonts w:cs="Times New Roman"/>
                <w:color w:val="auto"/>
                <w:szCs w:val="22"/>
                <w:lang w:val="pt-PT"/>
              </w:rPr>
            </w:pPr>
          </w:p>
        </w:tc>
        <w:tc>
          <w:tcPr>
            <w:tcW w:w="3315" w:type="dxa"/>
            <w:gridSpan w:val="3"/>
            <w:tcBorders>
              <w:top w:val="single" w:sz="4" w:space="0" w:color="auto"/>
              <w:left w:val="single" w:sz="4" w:space="0" w:color="auto"/>
            </w:tcBorders>
            <w:shd w:val="clear" w:color="auto" w:fill="auto"/>
          </w:tcPr>
          <w:p w14:paraId="70F8A532" w14:textId="77777777" w:rsidR="0077031F" w:rsidRPr="00110D6C" w:rsidRDefault="00030085" w:rsidP="00E77794">
            <w:pPr>
              <w:widowControl/>
              <w:ind w:left="85" w:right="85"/>
              <w:jc w:val="center"/>
              <w:rPr>
                <w:rFonts w:cs="Times New Roman"/>
                <w:color w:val="auto"/>
                <w:szCs w:val="22"/>
                <w:lang w:val="pt-PT"/>
              </w:rPr>
            </w:pPr>
            <w:r w:rsidRPr="00110D6C">
              <w:rPr>
                <w:rFonts w:cs="Times New Roman"/>
                <w:b/>
                <w:bCs/>
                <w:color w:val="auto"/>
                <w:szCs w:val="22"/>
                <w:lang w:val="pt-PT"/>
              </w:rPr>
              <w:t xml:space="preserve">Estudo </w:t>
            </w:r>
            <w:r w:rsidR="00B910F9" w:rsidRPr="00110D6C">
              <w:rPr>
                <w:rFonts w:cs="Times New Roman"/>
                <w:b/>
                <w:bCs/>
                <w:color w:val="auto"/>
                <w:szCs w:val="22"/>
                <w:lang w:val="pt-PT"/>
              </w:rPr>
              <w:t>1 </w:t>
            </w:r>
            <w:r w:rsidRPr="00110D6C">
              <w:rPr>
                <w:rFonts w:cs="Times New Roman"/>
                <w:b/>
                <w:bCs/>
                <w:color w:val="auto"/>
                <w:szCs w:val="22"/>
                <w:lang w:val="pt-PT"/>
              </w:rPr>
              <w:t>da Artrite psoriática</w:t>
            </w:r>
          </w:p>
        </w:tc>
        <w:tc>
          <w:tcPr>
            <w:tcW w:w="3316" w:type="dxa"/>
            <w:gridSpan w:val="3"/>
            <w:tcBorders>
              <w:top w:val="single" w:sz="4" w:space="0" w:color="auto"/>
              <w:left w:val="single" w:sz="4" w:space="0" w:color="auto"/>
              <w:right w:val="single" w:sz="4" w:space="0" w:color="auto"/>
            </w:tcBorders>
            <w:shd w:val="clear" w:color="auto" w:fill="auto"/>
          </w:tcPr>
          <w:p w14:paraId="0DE65F09" w14:textId="77777777" w:rsidR="0077031F" w:rsidRPr="00110D6C" w:rsidRDefault="00030085" w:rsidP="00E77794">
            <w:pPr>
              <w:widowControl/>
              <w:ind w:left="85" w:right="85"/>
              <w:jc w:val="center"/>
              <w:rPr>
                <w:rFonts w:cs="Times New Roman"/>
                <w:color w:val="auto"/>
                <w:szCs w:val="22"/>
                <w:lang w:val="pt-PT"/>
              </w:rPr>
            </w:pPr>
            <w:r w:rsidRPr="00110D6C">
              <w:rPr>
                <w:rFonts w:cs="Times New Roman"/>
                <w:b/>
                <w:bCs/>
                <w:color w:val="auto"/>
                <w:szCs w:val="22"/>
                <w:lang w:val="pt-PT"/>
              </w:rPr>
              <w:t xml:space="preserve">Estudo </w:t>
            </w:r>
            <w:r w:rsidR="00B910F9" w:rsidRPr="00110D6C">
              <w:rPr>
                <w:rFonts w:cs="Times New Roman"/>
                <w:b/>
                <w:bCs/>
                <w:color w:val="auto"/>
                <w:szCs w:val="22"/>
                <w:lang w:val="pt-PT"/>
              </w:rPr>
              <w:t>2 </w:t>
            </w:r>
            <w:r w:rsidRPr="00110D6C">
              <w:rPr>
                <w:rFonts w:cs="Times New Roman"/>
                <w:b/>
                <w:bCs/>
                <w:color w:val="auto"/>
                <w:szCs w:val="22"/>
                <w:lang w:val="pt-PT"/>
              </w:rPr>
              <w:t>da Artrite psoriática</w:t>
            </w:r>
          </w:p>
        </w:tc>
      </w:tr>
      <w:tr w:rsidR="0077031F" w:rsidRPr="00110D6C" w14:paraId="27110A6B" w14:textId="77777777" w:rsidTr="00E77794">
        <w:tc>
          <w:tcPr>
            <w:tcW w:w="2446" w:type="dxa"/>
            <w:tcBorders>
              <w:top w:val="single" w:sz="4" w:space="0" w:color="auto"/>
              <w:left w:val="single" w:sz="4" w:space="0" w:color="auto"/>
            </w:tcBorders>
            <w:shd w:val="clear" w:color="auto" w:fill="auto"/>
          </w:tcPr>
          <w:p w14:paraId="65291762" w14:textId="77777777" w:rsidR="0077031F" w:rsidRPr="00110D6C" w:rsidRDefault="0077031F" w:rsidP="00E77794">
            <w:pPr>
              <w:widowControl/>
              <w:rPr>
                <w:rFonts w:cs="Times New Roman"/>
                <w:color w:val="auto"/>
                <w:szCs w:val="22"/>
                <w:lang w:val="pt-PT"/>
              </w:rPr>
            </w:pPr>
          </w:p>
        </w:tc>
        <w:tc>
          <w:tcPr>
            <w:tcW w:w="1105" w:type="dxa"/>
            <w:tcBorders>
              <w:top w:val="single" w:sz="4" w:space="0" w:color="auto"/>
              <w:left w:val="single" w:sz="4" w:space="0" w:color="auto"/>
            </w:tcBorders>
            <w:shd w:val="clear" w:color="auto" w:fill="auto"/>
          </w:tcPr>
          <w:p w14:paraId="7472F61F" w14:textId="77777777" w:rsidR="0077031F" w:rsidRPr="00110D6C" w:rsidRDefault="00030085" w:rsidP="00E77794">
            <w:pPr>
              <w:widowControl/>
              <w:jc w:val="center"/>
              <w:rPr>
                <w:rFonts w:cs="Times New Roman"/>
                <w:color w:val="auto"/>
                <w:szCs w:val="22"/>
                <w:lang w:val="pt-PT"/>
              </w:rPr>
            </w:pPr>
            <w:r w:rsidRPr="00110D6C">
              <w:rPr>
                <w:rFonts w:cs="Times New Roman"/>
                <w:b/>
                <w:bCs/>
                <w:color w:val="auto"/>
                <w:szCs w:val="22"/>
                <w:lang w:val="pt-PT"/>
              </w:rPr>
              <w:t>PBO</w:t>
            </w:r>
          </w:p>
        </w:tc>
        <w:tc>
          <w:tcPr>
            <w:tcW w:w="1105" w:type="dxa"/>
            <w:tcBorders>
              <w:top w:val="single" w:sz="4" w:space="0" w:color="auto"/>
              <w:left w:val="single" w:sz="4" w:space="0" w:color="auto"/>
            </w:tcBorders>
            <w:shd w:val="clear" w:color="auto" w:fill="auto"/>
          </w:tcPr>
          <w:p w14:paraId="7958F633" w14:textId="77777777" w:rsidR="0077031F" w:rsidRPr="00110D6C" w:rsidRDefault="00030085" w:rsidP="00E77794">
            <w:pPr>
              <w:widowControl/>
              <w:jc w:val="center"/>
              <w:rPr>
                <w:rFonts w:cs="Times New Roman"/>
                <w:color w:val="auto"/>
                <w:szCs w:val="22"/>
                <w:lang w:val="pt-PT"/>
              </w:rPr>
            </w:pPr>
            <w:r w:rsidRPr="00110D6C">
              <w:rPr>
                <w:rFonts w:cs="Times New Roman"/>
                <w:b/>
                <w:bCs/>
                <w:color w:val="auto"/>
                <w:szCs w:val="22"/>
                <w:lang w:val="pt-PT"/>
              </w:rPr>
              <w:t>4</w:t>
            </w:r>
            <w:r w:rsidR="00B910F9" w:rsidRPr="00110D6C">
              <w:rPr>
                <w:rFonts w:cs="Times New Roman"/>
                <w:b/>
                <w:bCs/>
                <w:color w:val="auto"/>
                <w:szCs w:val="22"/>
                <w:lang w:val="pt-PT"/>
              </w:rPr>
              <w:t>5 </w:t>
            </w:r>
            <w:r w:rsidRPr="00110D6C">
              <w:rPr>
                <w:rFonts w:cs="Times New Roman"/>
                <w:b/>
                <w:bCs/>
                <w:color w:val="auto"/>
                <w:szCs w:val="22"/>
                <w:lang w:val="pt-PT"/>
              </w:rPr>
              <w:t>mg</w:t>
            </w:r>
          </w:p>
        </w:tc>
        <w:tc>
          <w:tcPr>
            <w:tcW w:w="1105" w:type="dxa"/>
            <w:tcBorders>
              <w:top w:val="single" w:sz="4" w:space="0" w:color="auto"/>
              <w:left w:val="single" w:sz="4" w:space="0" w:color="auto"/>
            </w:tcBorders>
            <w:shd w:val="clear" w:color="auto" w:fill="auto"/>
          </w:tcPr>
          <w:p w14:paraId="64E9F4F1" w14:textId="77777777" w:rsidR="0077031F" w:rsidRPr="00110D6C" w:rsidRDefault="00030085" w:rsidP="00E77794">
            <w:pPr>
              <w:widowControl/>
              <w:jc w:val="center"/>
              <w:rPr>
                <w:rFonts w:cs="Times New Roman"/>
                <w:color w:val="auto"/>
                <w:szCs w:val="22"/>
                <w:lang w:val="pt-PT"/>
              </w:rPr>
            </w:pPr>
            <w:r w:rsidRPr="00110D6C">
              <w:rPr>
                <w:rFonts w:cs="Times New Roman"/>
                <w:b/>
                <w:bCs/>
                <w:color w:val="auto"/>
                <w:szCs w:val="22"/>
                <w:lang w:val="pt-PT"/>
              </w:rPr>
              <w:t>9</w:t>
            </w:r>
            <w:r w:rsidR="00B910F9" w:rsidRPr="00110D6C">
              <w:rPr>
                <w:rFonts w:cs="Times New Roman"/>
                <w:b/>
                <w:bCs/>
                <w:color w:val="auto"/>
                <w:szCs w:val="22"/>
                <w:lang w:val="pt-PT"/>
              </w:rPr>
              <w:t>0 </w:t>
            </w:r>
            <w:r w:rsidRPr="00110D6C">
              <w:rPr>
                <w:rFonts w:cs="Times New Roman"/>
                <w:b/>
                <w:bCs/>
                <w:color w:val="auto"/>
                <w:szCs w:val="22"/>
                <w:lang w:val="pt-PT"/>
              </w:rPr>
              <w:t>mg</w:t>
            </w:r>
          </w:p>
        </w:tc>
        <w:tc>
          <w:tcPr>
            <w:tcW w:w="1105" w:type="dxa"/>
            <w:tcBorders>
              <w:top w:val="single" w:sz="4" w:space="0" w:color="auto"/>
              <w:left w:val="single" w:sz="4" w:space="0" w:color="auto"/>
            </w:tcBorders>
            <w:shd w:val="clear" w:color="auto" w:fill="auto"/>
          </w:tcPr>
          <w:p w14:paraId="7E66A979" w14:textId="77777777" w:rsidR="0077031F" w:rsidRPr="00110D6C" w:rsidRDefault="00030085" w:rsidP="00E77794">
            <w:pPr>
              <w:widowControl/>
              <w:jc w:val="center"/>
              <w:rPr>
                <w:rFonts w:cs="Times New Roman"/>
                <w:color w:val="auto"/>
                <w:szCs w:val="22"/>
                <w:lang w:val="pt-PT"/>
              </w:rPr>
            </w:pPr>
            <w:r w:rsidRPr="00110D6C">
              <w:rPr>
                <w:rFonts w:cs="Times New Roman"/>
                <w:b/>
                <w:bCs/>
                <w:color w:val="auto"/>
                <w:szCs w:val="22"/>
                <w:lang w:val="pt-PT"/>
              </w:rPr>
              <w:t>PBO</w:t>
            </w:r>
          </w:p>
        </w:tc>
        <w:tc>
          <w:tcPr>
            <w:tcW w:w="1105" w:type="dxa"/>
            <w:tcBorders>
              <w:top w:val="single" w:sz="4" w:space="0" w:color="auto"/>
              <w:left w:val="single" w:sz="4" w:space="0" w:color="auto"/>
            </w:tcBorders>
            <w:shd w:val="clear" w:color="auto" w:fill="auto"/>
          </w:tcPr>
          <w:p w14:paraId="438084B0" w14:textId="77777777" w:rsidR="0077031F" w:rsidRPr="00110D6C" w:rsidRDefault="00030085" w:rsidP="00E77794">
            <w:pPr>
              <w:widowControl/>
              <w:jc w:val="center"/>
              <w:rPr>
                <w:rFonts w:cs="Times New Roman"/>
                <w:color w:val="auto"/>
                <w:szCs w:val="22"/>
                <w:lang w:val="pt-PT"/>
              </w:rPr>
            </w:pPr>
            <w:r w:rsidRPr="00110D6C">
              <w:rPr>
                <w:rFonts w:cs="Times New Roman"/>
                <w:b/>
                <w:bCs/>
                <w:color w:val="auto"/>
                <w:szCs w:val="22"/>
                <w:lang w:val="pt-PT"/>
              </w:rPr>
              <w:t>4</w:t>
            </w:r>
            <w:r w:rsidR="00B910F9" w:rsidRPr="00110D6C">
              <w:rPr>
                <w:rFonts w:cs="Times New Roman"/>
                <w:b/>
                <w:bCs/>
                <w:color w:val="auto"/>
                <w:szCs w:val="22"/>
                <w:lang w:val="pt-PT"/>
              </w:rPr>
              <w:t>5 </w:t>
            </w:r>
            <w:r w:rsidRPr="00110D6C">
              <w:rPr>
                <w:rFonts w:cs="Times New Roman"/>
                <w:b/>
                <w:bCs/>
                <w:color w:val="auto"/>
                <w:szCs w:val="22"/>
                <w:lang w:val="pt-PT"/>
              </w:rPr>
              <w:t>mg</w:t>
            </w:r>
          </w:p>
        </w:tc>
        <w:tc>
          <w:tcPr>
            <w:tcW w:w="1106" w:type="dxa"/>
            <w:tcBorders>
              <w:top w:val="single" w:sz="4" w:space="0" w:color="auto"/>
              <w:left w:val="single" w:sz="4" w:space="0" w:color="auto"/>
              <w:right w:val="single" w:sz="4" w:space="0" w:color="auto"/>
            </w:tcBorders>
            <w:shd w:val="clear" w:color="auto" w:fill="auto"/>
          </w:tcPr>
          <w:p w14:paraId="346F25FC" w14:textId="77777777" w:rsidR="0077031F" w:rsidRPr="00110D6C" w:rsidRDefault="00030085" w:rsidP="00E77794">
            <w:pPr>
              <w:widowControl/>
              <w:jc w:val="center"/>
              <w:rPr>
                <w:rFonts w:cs="Times New Roman"/>
                <w:color w:val="auto"/>
                <w:szCs w:val="22"/>
                <w:lang w:val="pt-PT"/>
              </w:rPr>
            </w:pPr>
            <w:r w:rsidRPr="00110D6C">
              <w:rPr>
                <w:rFonts w:cs="Times New Roman"/>
                <w:b/>
                <w:bCs/>
                <w:color w:val="auto"/>
                <w:szCs w:val="22"/>
                <w:lang w:val="pt-PT"/>
              </w:rPr>
              <w:t>9</w:t>
            </w:r>
            <w:r w:rsidR="00B910F9" w:rsidRPr="00110D6C">
              <w:rPr>
                <w:rFonts w:cs="Times New Roman"/>
                <w:b/>
                <w:bCs/>
                <w:color w:val="auto"/>
                <w:szCs w:val="22"/>
                <w:lang w:val="pt-PT"/>
              </w:rPr>
              <w:t>0 </w:t>
            </w:r>
            <w:r w:rsidRPr="00110D6C">
              <w:rPr>
                <w:rFonts w:cs="Times New Roman"/>
                <w:b/>
                <w:bCs/>
                <w:color w:val="auto"/>
                <w:szCs w:val="22"/>
                <w:lang w:val="pt-PT"/>
              </w:rPr>
              <w:t>mg</w:t>
            </w:r>
          </w:p>
        </w:tc>
      </w:tr>
      <w:tr w:rsidR="0077031F" w:rsidRPr="00110D6C" w14:paraId="5CBB7CA4" w14:textId="77777777" w:rsidTr="00E77794">
        <w:tc>
          <w:tcPr>
            <w:tcW w:w="2446" w:type="dxa"/>
            <w:tcBorders>
              <w:top w:val="single" w:sz="4" w:space="0" w:color="auto"/>
              <w:left w:val="single" w:sz="4" w:space="0" w:color="auto"/>
            </w:tcBorders>
            <w:shd w:val="clear" w:color="auto" w:fill="auto"/>
          </w:tcPr>
          <w:p w14:paraId="53C9647D" w14:textId="77777777" w:rsidR="0077031F" w:rsidRPr="00110D6C" w:rsidRDefault="00030085" w:rsidP="00E77794">
            <w:pPr>
              <w:widowControl/>
              <w:rPr>
                <w:rFonts w:cs="Times New Roman"/>
                <w:color w:val="auto"/>
                <w:szCs w:val="22"/>
                <w:lang w:val="pt-PT"/>
              </w:rPr>
            </w:pPr>
            <w:r w:rsidRPr="00110D6C">
              <w:rPr>
                <w:rFonts w:cs="Times New Roman"/>
                <w:b/>
                <w:bCs/>
                <w:color w:val="auto"/>
                <w:szCs w:val="22"/>
                <w:lang w:val="pt-PT"/>
              </w:rPr>
              <w:t>Nº de doentes aleatorizados</w:t>
            </w:r>
          </w:p>
        </w:tc>
        <w:tc>
          <w:tcPr>
            <w:tcW w:w="1105" w:type="dxa"/>
            <w:tcBorders>
              <w:top w:val="single" w:sz="4" w:space="0" w:color="auto"/>
              <w:left w:val="single" w:sz="4" w:space="0" w:color="auto"/>
            </w:tcBorders>
            <w:shd w:val="clear" w:color="auto" w:fill="auto"/>
          </w:tcPr>
          <w:p w14:paraId="70210366" w14:textId="77777777" w:rsidR="0077031F" w:rsidRPr="00110D6C" w:rsidRDefault="00030085" w:rsidP="00E77794">
            <w:pPr>
              <w:widowControl/>
              <w:jc w:val="center"/>
              <w:rPr>
                <w:rFonts w:cs="Times New Roman"/>
                <w:color w:val="auto"/>
                <w:szCs w:val="22"/>
                <w:lang w:val="pt-PT"/>
              </w:rPr>
            </w:pPr>
            <w:r w:rsidRPr="00110D6C">
              <w:rPr>
                <w:rFonts w:cs="Times New Roman"/>
                <w:b/>
                <w:bCs/>
                <w:color w:val="auto"/>
                <w:szCs w:val="22"/>
                <w:lang w:val="pt-PT"/>
              </w:rPr>
              <w:t>206</w:t>
            </w:r>
          </w:p>
        </w:tc>
        <w:tc>
          <w:tcPr>
            <w:tcW w:w="1105" w:type="dxa"/>
            <w:tcBorders>
              <w:top w:val="single" w:sz="4" w:space="0" w:color="auto"/>
              <w:left w:val="single" w:sz="4" w:space="0" w:color="auto"/>
            </w:tcBorders>
            <w:shd w:val="clear" w:color="auto" w:fill="auto"/>
          </w:tcPr>
          <w:p w14:paraId="3D8C40CA" w14:textId="77777777" w:rsidR="0077031F" w:rsidRPr="00110D6C" w:rsidRDefault="00030085" w:rsidP="00E77794">
            <w:pPr>
              <w:widowControl/>
              <w:jc w:val="center"/>
              <w:rPr>
                <w:rFonts w:cs="Times New Roman"/>
                <w:color w:val="auto"/>
                <w:szCs w:val="22"/>
                <w:lang w:val="pt-PT"/>
              </w:rPr>
            </w:pPr>
            <w:r w:rsidRPr="00110D6C">
              <w:rPr>
                <w:rFonts w:cs="Times New Roman"/>
                <w:b/>
                <w:bCs/>
                <w:color w:val="auto"/>
                <w:szCs w:val="22"/>
                <w:lang w:val="pt-PT"/>
              </w:rPr>
              <w:t>205</w:t>
            </w:r>
          </w:p>
        </w:tc>
        <w:tc>
          <w:tcPr>
            <w:tcW w:w="1105" w:type="dxa"/>
            <w:tcBorders>
              <w:top w:val="single" w:sz="4" w:space="0" w:color="auto"/>
              <w:left w:val="single" w:sz="4" w:space="0" w:color="auto"/>
            </w:tcBorders>
            <w:shd w:val="clear" w:color="auto" w:fill="auto"/>
          </w:tcPr>
          <w:p w14:paraId="489E4C0A" w14:textId="77777777" w:rsidR="0077031F" w:rsidRPr="00110D6C" w:rsidRDefault="00030085" w:rsidP="00E77794">
            <w:pPr>
              <w:widowControl/>
              <w:jc w:val="center"/>
              <w:rPr>
                <w:rFonts w:cs="Times New Roman"/>
                <w:color w:val="auto"/>
                <w:szCs w:val="22"/>
                <w:lang w:val="pt-PT"/>
              </w:rPr>
            </w:pPr>
            <w:r w:rsidRPr="00110D6C">
              <w:rPr>
                <w:rFonts w:cs="Times New Roman"/>
                <w:b/>
                <w:bCs/>
                <w:color w:val="auto"/>
                <w:szCs w:val="22"/>
                <w:lang w:val="pt-PT"/>
              </w:rPr>
              <w:t>204</w:t>
            </w:r>
          </w:p>
        </w:tc>
        <w:tc>
          <w:tcPr>
            <w:tcW w:w="1105" w:type="dxa"/>
            <w:tcBorders>
              <w:top w:val="single" w:sz="4" w:space="0" w:color="auto"/>
              <w:left w:val="single" w:sz="4" w:space="0" w:color="auto"/>
            </w:tcBorders>
            <w:shd w:val="clear" w:color="auto" w:fill="auto"/>
          </w:tcPr>
          <w:p w14:paraId="7BD8007C" w14:textId="77777777" w:rsidR="0077031F" w:rsidRPr="00110D6C" w:rsidRDefault="00030085" w:rsidP="00E77794">
            <w:pPr>
              <w:widowControl/>
              <w:jc w:val="center"/>
              <w:rPr>
                <w:rFonts w:cs="Times New Roman"/>
                <w:color w:val="auto"/>
                <w:szCs w:val="22"/>
                <w:lang w:val="pt-PT"/>
              </w:rPr>
            </w:pPr>
            <w:r w:rsidRPr="00110D6C">
              <w:rPr>
                <w:rFonts w:cs="Times New Roman"/>
                <w:b/>
                <w:bCs/>
                <w:color w:val="auto"/>
                <w:szCs w:val="22"/>
                <w:lang w:val="pt-PT"/>
              </w:rPr>
              <w:t>104</w:t>
            </w:r>
          </w:p>
        </w:tc>
        <w:tc>
          <w:tcPr>
            <w:tcW w:w="1105" w:type="dxa"/>
            <w:tcBorders>
              <w:top w:val="single" w:sz="4" w:space="0" w:color="auto"/>
              <w:left w:val="single" w:sz="4" w:space="0" w:color="auto"/>
            </w:tcBorders>
            <w:shd w:val="clear" w:color="auto" w:fill="auto"/>
          </w:tcPr>
          <w:p w14:paraId="2897819F" w14:textId="77777777" w:rsidR="0077031F" w:rsidRPr="00110D6C" w:rsidRDefault="00030085" w:rsidP="00E77794">
            <w:pPr>
              <w:widowControl/>
              <w:jc w:val="center"/>
              <w:rPr>
                <w:rFonts w:cs="Times New Roman"/>
                <w:color w:val="auto"/>
                <w:szCs w:val="22"/>
                <w:lang w:val="pt-PT"/>
              </w:rPr>
            </w:pPr>
            <w:r w:rsidRPr="00110D6C">
              <w:rPr>
                <w:rFonts w:cs="Times New Roman"/>
                <w:b/>
                <w:bCs/>
                <w:color w:val="auto"/>
                <w:szCs w:val="22"/>
                <w:lang w:val="pt-PT"/>
              </w:rPr>
              <w:t>103</w:t>
            </w:r>
          </w:p>
        </w:tc>
        <w:tc>
          <w:tcPr>
            <w:tcW w:w="1106" w:type="dxa"/>
            <w:tcBorders>
              <w:top w:val="single" w:sz="4" w:space="0" w:color="auto"/>
              <w:left w:val="single" w:sz="4" w:space="0" w:color="auto"/>
              <w:right w:val="single" w:sz="4" w:space="0" w:color="auto"/>
            </w:tcBorders>
            <w:shd w:val="clear" w:color="auto" w:fill="auto"/>
          </w:tcPr>
          <w:p w14:paraId="57546BE1" w14:textId="77777777" w:rsidR="0077031F" w:rsidRPr="00110D6C" w:rsidRDefault="00030085" w:rsidP="00E77794">
            <w:pPr>
              <w:widowControl/>
              <w:jc w:val="center"/>
              <w:rPr>
                <w:rFonts w:cs="Times New Roman"/>
                <w:color w:val="auto"/>
                <w:szCs w:val="22"/>
                <w:lang w:val="pt-PT"/>
              </w:rPr>
            </w:pPr>
            <w:r w:rsidRPr="00110D6C">
              <w:rPr>
                <w:rFonts w:cs="Times New Roman"/>
                <w:b/>
                <w:bCs/>
                <w:color w:val="auto"/>
                <w:szCs w:val="22"/>
                <w:lang w:val="pt-PT"/>
              </w:rPr>
              <w:t>105</w:t>
            </w:r>
          </w:p>
        </w:tc>
      </w:tr>
      <w:tr w:rsidR="0077031F" w:rsidRPr="00110D6C" w14:paraId="48CFB6B2" w14:textId="77777777" w:rsidTr="00E77794">
        <w:tc>
          <w:tcPr>
            <w:tcW w:w="2446" w:type="dxa"/>
            <w:tcBorders>
              <w:top w:val="single" w:sz="4" w:space="0" w:color="auto"/>
              <w:left w:val="single" w:sz="4" w:space="0" w:color="auto"/>
            </w:tcBorders>
            <w:shd w:val="clear" w:color="auto" w:fill="auto"/>
          </w:tcPr>
          <w:p w14:paraId="1FA97A9E"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Resposta ACR 20, N (%)</w:t>
            </w:r>
          </w:p>
        </w:tc>
        <w:tc>
          <w:tcPr>
            <w:tcW w:w="1105" w:type="dxa"/>
            <w:tcBorders>
              <w:top w:val="single" w:sz="4" w:space="0" w:color="auto"/>
              <w:left w:val="single" w:sz="4" w:space="0" w:color="auto"/>
            </w:tcBorders>
            <w:shd w:val="clear" w:color="auto" w:fill="auto"/>
          </w:tcPr>
          <w:p w14:paraId="43D1CD79"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4</w:t>
            </w:r>
            <w:r w:rsidR="00B910F9" w:rsidRPr="00110D6C">
              <w:rPr>
                <w:rFonts w:cs="Times New Roman"/>
                <w:color w:val="auto"/>
                <w:szCs w:val="22"/>
                <w:lang w:val="pt-PT"/>
              </w:rPr>
              <w:t>7</w:t>
            </w:r>
            <w:r w:rsidR="00E77794" w:rsidRPr="00110D6C">
              <w:rPr>
                <w:rFonts w:cs="Times New Roman"/>
                <w:color w:val="auto"/>
                <w:szCs w:val="22"/>
                <w:lang w:val="pt-PT"/>
              </w:rPr>
              <w:t xml:space="preserve"> </w:t>
            </w:r>
            <w:r w:rsidRPr="00110D6C">
              <w:rPr>
                <w:rFonts w:cs="Times New Roman"/>
                <w:color w:val="auto"/>
                <w:szCs w:val="22"/>
                <w:lang w:val="pt-PT"/>
              </w:rPr>
              <w:t>(23%)</w:t>
            </w:r>
          </w:p>
        </w:tc>
        <w:tc>
          <w:tcPr>
            <w:tcW w:w="1105" w:type="dxa"/>
            <w:tcBorders>
              <w:top w:val="single" w:sz="4" w:space="0" w:color="auto"/>
              <w:left w:val="single" w:sz="4" w:space="0" w:color="auto"/>
            </w:tcBorders>
            <w:shd w:val="clear" w:color="auto" w:fill="auto"/>
          </w:tcPr>
          <w:p w14:paraId="62C47F22"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8</w:t>
            </w:r>
            <w:r w:rsidR="00B910F9" w:rsidRPr="00110D6C">
              <w:rPr>
                <w:rFonts w:cs="Times New Roman"/>
                <w:color w:val="auto"/>
                <w:szCs w:val="22"/>
                <w:lang w:val="pt-PT"/>
              </w:rPr>
              <w:t>7</w:t>
            </w:r>
            <w:r w:rsidR="00E77794" w:rsidRPr="00110D6C">
              <w:rPr>
                <w:rFonts w:cs="Times New Roman"/>
                <w:color w:val="auto"/>
                <w:szCs w:val="22"/>
                <w:lang w:val="pt-PT"/>
              </w:rPr>
              <w:t xml:space="preserve"> </w:t>
            </w:r>
            <w:r w:rsidRPr="00110D6C">
              <w:rPr>
                <w:rFonts w:cs="Times New Roman"/>
                <w:color w:val="auto"/>
                <w:szCs w:val="22"/>
                <w:lang w:val="pt-PT"/>
              </w:rPr>
              <w:t>(42%)</w:t>
            </w:r>
            <w:r w:rsidRPr="00110D6C">
              <w:rPr>
                <w:rFonts w:cs="Times New Roman"/>
                <w:color w:val="auto"/>
                <w:szCs w:val="22"/>
                <w:vertAlign w:val="superscript"/>
                <w:lang w:val="pt-PT"/>
              </w:rPr>
              <w:t>a</w:t>
            </w:r>
          </w:p>
        </w:tc>
        <w:tc>
          <w:tcPr>
            <w:tcW w:w="1105" w:type="dxa"/>
            <w:tcBorders>
              <w:top w:val="single" w:sz="4" w:space="0" w:color="auto"/>
              <w:left w:val="single" w:sz="4" w:space="0" w:color="auto"/>
            </w:tcBorders>
            <w:shd w:val="clear" w:color="auto" w:fill="auto"/>
          </w:tcPr>
          <w:p w14:paraId="274E35F0"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10</w:t>
            </w:r>
            <w:r w:rsidR="00B910F9" w:rsidRPr="00110D6C">
              <w:rPr>
                <w:rFonts w:cs="Times New Roman"/>
                <w:color w:val="auto"/>
                <w:szCs w:val="22"/>
                <w:lang w:val="pt-PT"/>
              </w:rPr>
              <w:t>1</w:t>
            </w:r>
            <w:r w:rsidR="00E77794" w:rsidRPr="00110D6C">
              <w:rPr>
                <w:rFonts w:cs="Times New Roman"/>
                <w:color w:val="auto"/>
                <w:szCs w:val="22"/>
                <w:lang w:val="pt-PT"/>
              </w:rPr>
              <w:t xml:space="preserve"> </w:t>
            </w:r>
            <w:r w:rsidRPr="00110D6C">
              <w:rPr>
                <w:rFonts w:cs="Times New Roman"/>
                <w:color w:val="auto"/>
                <w:szCs w:val="22"/>
                <w:lang w:val="pt-PT"/>
              </w:rPr>
              <w:t>(50%)</w:t>
            </w:r>
            <w:r w:rsidRPr="00110D6C">
              <w:rPr>
                <w:rFonts w:cs="Times New Roman"/>
                <w:color w:val="auto"/>
                <w:szCs w:val="22"/>
                <w:vertAlign w:val="superscript"/>
                <w:lang w:val="pt-PT"/>
              </w:rPr>
              <w:t>a</w:t>
            </w:r>
          </w:p>
        </w:tc>
        <w:tc>
          <w:tcPr>
            <w:tcW w:w="1105" w:type="dxa"/>
            <w:tcBorders>
              <w:top w:val="single" w:sz="4" w:space="0" w:color="auto"/>
              <w:left w:val="single" w:sz="4" w:space="0" w:color="auto"/>
            </w:tcBorders>
            <w:shd w:val="clear" w:color="auto" w:fill="auto"/>
          </w:tcPr>
          <w:p w14:paraId="7E77F1F4"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2</w:t>
            </w:r>
            <w:r w:rsidR="00B910F9" w:rsidRPr="00110D6C">
              <w:rPr>
                <w:rFonts w:cs="Times New Roman"/>
                <w:color w:val="auto"/>
                <w:szCs w:val="22"/>
                <w:lang w:val="pt-PT"/>
              </w:rPr>
              <w:t>1</w:t>
            </w:r>
            <w:r w:rsidR="00E77794" w:rsidRPr="00110D6C">
              <w:rPr>
                <w:rFonts w:cs="Times New Roman"/>
                <w:color w:val="auto"/>
                <w:szCs w:val="22"/>
                <w:lang w:val="pt-PT"/>
              </w:rPr>
              <w:t xml:space="preserve"> </w:t>
            </w:r>
            <w:r w:rsidRPr="00110D6C">
              <w:rPr>
                <w:rFonts w:cs="Times New Roman"/>
                <w:color w:val="auto"/>
                <w:szCs w:val="22"/>
                <w:lang w:val="pt-PT"/>
              </w:rPr>
              <w:t>(20%)</w:t>
            </w:r>
          </w:p>
        </w:tc>
        <w:tc>
          <w:tcPr>
            <w:tcW w:w="1105" w:type="dxa"/>
            <w:tcBorders>
              <w:top w:val="single" w:sz="4" w:space="0" w:color="auto"/>
              <w:left w:val="single" w:sz="4" w:space="0" w:color="auto"/>
            </w:tcBorders>
            <w:shd w:val="clear" w:color="auto" w:fill="auto"/>
          </w:tcPr>
          <w:p w14:paraId="5A8A1F91"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4</w:t>
            </w:r>
            <w:r w:rsidR="00B910F9" w:rsidRPr="00110D6C">
              <w:rPr>
                <w:rFonts w:cs="Times New Roman"/>
                <w:color w:val="auto"/>
                <w:szCs w:val="22"/>
                <w:lang w:val="pt-PT"/>
              </w:rPr>
              <w:t>5</w:t>
            </w:r>
            <w:r w:rsidR="00E77794" w:rsidRPr="00110D6C">
              <w:rPr>
                <w:rFonts w:cs="Times New Roman"/>
                <w:color w:val="auto"/>
                <w:szCs w:val="22"/>
                <w:lang w:val="pt-PT"/>
              </w:rPr>
              <w:t xml:space="preserve"> </w:t>
            </w:r>
            <w:r w:rsidRPr="00110D6C">
              <w:rPr>
                <w:rFonts w:cs="Times New Roman"/>
                <w:color w:val="auto"/>
                <w:szCs w:val="22"/>
                <w:lang w:val="pt-PT"/>
              </w:rPr>
              <w:t>(44%)</w:t>
            </w:r>
            <w:r w:rsidRPr="00110D6C">
              <w:rPr>
                <w:rFonts w:cs="Times New Roman"/>
                <w:color w:val="auto"/>
                <w:szCs w:val="22"/>
                <w:vertAlign w:val="superscript"/>
                <w:lang w:val="pt-PT"/>
              </w:rPr>
              <w:t>a</w:t>
            </w:r>
          </w:p>
        </w:tc>
        <w:tc>
          <w:tcPr>
            <w:tcW w:w="1106" w:type="dxa"/>
            <w:tcBorders>
              <w:top w:val="single" w:sz="4" w:space="0" w:color="auto"/>
              <w:left w:val="single" w:sz="4" w:space="0" w:color="auto"/>
              <w:right w:val="single" w:sz="4" w:space="0" w:color="auto"/>
            </w:tcBorders>
            <w:shd w:val="clear" w:color="auto" w:fill="auto"/>
          </w:tcPr>
          <w:p w14:paraId="7FE9D650"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4</w:t>
            </w:r>
            <w:r w:rsidR="00B910F9" w:rsidRPr="00110D6C">
              <w:rPr>
                <w:rFonts w:cs="Times New Roman"/>
                <w:color w:val="auto"/>
                <w:szCs w:val="22"/>
                <w:lang w:val="pt-PT"/>
              </w:rPr>
              <w:t>6</w:t>
            </w:r>
            <w:r w:rsidR="00E77794" w:rsidRPr="00110D6C">
              <w:rPr>
                <w:rFonts w:cs="Times New Roman"/>
                <w:color w:val="auto"/>
                <w:szCs w:val="22"/>
                <w:lang w:val="pt-PT"/>
              </w:rPr>
              <w:t xml:space="preserve"> </w:t>
            </w:r>
            <w:r w:rsidRPr="00110D6C">
              <w:rPr>
                <w:rFonts w:cs="Times New Roman"/>
                <w:color w:val="auto"/>
                <w:szCs w:val="22"/>
                <w:lang w:val="pt-PT"/>
              </w:rPr>
              <w:t>(44%)</w:t>
            </w:r>
            <w:r w:rsidRPr="00110D6C">
              <w:rPr>
                <w:rFonts w:cs="Times New Roman"/>
                <w:color w:val="auto"/>
                <w:szCs w:val="22"/>
                <w:vertAlign w:val="superscript"/>
                <w:lang w:val="pt-PT"/>
              </w:rPr>
              <w:t>a</w:t>
            </w:r>
          </w:p>
        </w:tc>
      </w:tr>
      <w:tr w:rsidR="0077031F" w:rsidRPr="00110D6C" w14:paraId="20C3FAAB" w14:textId="77777777" w:rsidTr="00E77794">
        <w:tc>
          <w:tcPr>
            <w:tcW w:w="2446" w:type="dxa"/>
            <w:tcBorders>
              <w:top w:val="single" w:sz="4" w:space="0" w:color="auto"/>
              <w:left w:val="single" w:sz="4" w:space="0" w:color="auto"/>
            </w:tcBorders>
            <w:shd w:val="clear" w:color="auto" w:fill="auto"/>
          </w:tcPr>
          <w:p w14:paraId="63A09969"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Resposta ACR 50, N (%)</w:t>
            </w:r>
          </w:p>
        </w:tc>
        <w:tc>
          <w:tcPr>
            <w:tcW w:w="1105" w:type="dxa"/>
            <w:tcBorders>
              <w:top w:val="single" w:sz="4" w:space="0" w:color="auto"/>
              <w:left w:val="single" w:sz="4" w:space="0" w:color="auto"/>
            </w:tcBorders>
            <w:shd w:val="clear" w:color="auto" w:fill="auto"/>
          </w:tcPr>
          <w:p w14:paraId="232A4DAD"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1</w:t>
            </w:r>
            <w:r w:rsidR="00B910F9" w:rsidRPr="00110D6C">
              <w:rPr>
                <w:rFonts w:cs="Times New Roman"/>
                <w:color w:val="auto"/>
                <w:szCs w:val="22"/>
                <w:lang w:val="pt-PT"/>
              </w:rPr>
              <w:t>8</w:t>
            </w:r>
            <w:r w:rsidR="00E77794" w:rsidRPr="00110D6C">
              <w:rPr>
                <w:rFonts w:cs="Times New Roman"/>
                <w:color w:val="auto"/>
                <w:szCs w:val="22"/>
                <w:lang w:val="pt-PT"/>
              </w:rPr>
              <w:t xml:space="preserve"> </w:t>
            </w:r>
            <w:r w:rsidRPr="00110D6C">
              <w:rPr>
                <w:rFonts w:cs="Times New Roman"/>
                <w:color w:val="auto"/>
                <w:szCs w:val="22"/>
                <w:lang w:val="pt-PT"/>
              </w:rPr>
              <w:t>(9%)</w:t>
            </w:r>
          </w:p>
        </w:tc>
        <w:tc>
          <w:tcPr>
            <w:tcW w:w="1105" w:type="dxa"/>
            <w:tcBorders>
              <w:top w:val="single" w:sz="4" w:space="0" w:color="auto"/>
              <w:left w:val="single" w:sz="4" w:space="0" w:color="auto"/>
            </w:tcBorders>
            <w:shd w:val="clear" w:color="auto" w:fill="auto"/>
          </w:tcPr>
          <w:p w14:paraId="28F2BB58"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5</w:t>
            </w:r>
            <w:r w:rsidR="00B910F9" w:rsidRPr="00110D6C">
              <w:rPr>
                <w:rFonts w:cs="Times New Roman"/>
                <w:color w:val="auto"/>
                <w:szCs w:val="22"/>
                <w:lang w:val="pt-PT"/>
              </w:rPr>
              <w:t>1</w:t>
            </w:r>
            <w:r w:rsidR="00E77794" w:rsidRPr="00110D6C">
              <w:rPr>
                <w:rFonts w:cs="Times New Roman"/>
                <w:color w:val="auto"/>
                <w:szCs w:val="22"/>
                <w:lang w:val="pt-PT"/>
              </w:rPr>
              <w:t xml:space="preserve"> </w:t>
            </w:r>
            <w:r w:rsidRPr="00110D6C">
              <w:rPr>
                <w:rFonts w:cs="Times New Roman"/>
                <w:color w:val="auto"/>
                <w:szCs w:val="22"/>
                <w:lang w:val="pt-PT"/>
              </w:rPr>
              <w:t>(25%)</w:t>
            </w:r>
            <w:r w:rsidRPr="00110D6C">
              <w:rPr>
                <w:rFonts w:cs="Times New Roman"/>
                <w:color w:val="auto"/>
                <w:szCs w:val="22"/>
                <w:vertAlign w:val="superscript"/>
                <w:lang w:val="pt-PT"/>
              </w:rPr>
              <w:t>a</w:t>
            </w:r>
          </w:p>
        </w:tc>
        <w:tc>
          <w:tcPr>
            <w:tcW w:w="1105" w:type="dxa"/>
            <w:tcBorders>
              <w:top w:val="single" w:sz="4" w:space="0" w:color="auto"/>
              <w:left w:val="single" w:sz="4" w:space="0" w:color="auto"/>
            </w:tcBorders>
            <w:shd w:val="clear" w:color="auto" w:fill="auto"/>
          </w:tcPr>
          <w:p w14:paraId="0309DC1D"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5</w:t>
            </w:r>
            <w:r w:rsidR="00B910F9" w:rsidRPr="00110D6C">
              <w:rPr>
                <w:rFonts w:cs="Times New Roman"/>
                <w:color w:val="auto"/>
                <w:szCs w:val="22"/>
                <w:lang w:val="pt-PT"/>
              </w:rPr>
              <w:t>7</w:t>
            </w:r>
            <w:r w:rsidR="00E77794" w:rsidRPr="00110D6C">
              <w:rPr>
                <w:rFonts w:cs="Times New Roman"/>
                <w:color w:val="auto"/>
                <w:szCs w:val="22"/>
                <w:lang w:val="pt-PT"/>
              </w:rPr>
              <w:t xml:space="preserve"> </w:t>
            </w:r>
            <w:r w:rsidRPr="00110D6C">
              <w:rPr>
                <w:rFonts w:cs="Times New Roman"/>
                <w:color w:val="auto"/>
                <w:szCs w:val="22"/>
                <w:lang w:val="pt-PT"/>
              </w:rPr>
              <w:t>(28%)</w:t>
            </w:r>
            <w:r w:rsidRPr="00110D6C">
              <w:rPr>
                <w:rFonts w:cs="Times New Roman"/>
                <w:color w:val="auto"/>
                <w:szCs w:val="22"/>
                <w:vertAlign w:val="superscript"/>
                <w:lang w:val="pt-PT"/>
              </w:rPr>
              <w:t>a</w:t>
            </w:r>
          </w:p>
        </w:tc>
        <w:tc>
          <w:tcPr>
            <w:tcW w:w="1105" w:type="dxa"/>
            <w:tcBorders>
              <w:top w:val="single" w:sz="4" w:space="0" w:color="auto"/>
              <w:left w:val="single" w:sz="4" w:space="0" w:color="auto"/>
            </w:tcBorders>
            <w:shd w:val="clear" w:color="auto" w:fill="auto"/>
          </w:tcPr>
          <w:p w14:paraId="2C4E0068" w14:textId="77777777" w:rsidR="0077031F" w:rsidRPr="00110D6C" w:rsidRDefault="00B910F9" w:rsidP="00E77794">
            <w:pPr>
              <w:widowControl/>
              <w:jc w:val="center"/>
              <w:rPr>
                <w:rFonts w:cs="Times New Roman"/>
                <w:color w:val="auto"/>
                <w:szCs w:val="22"/>
                <w:lang w:val="pt-PT"/>
              </w:rPr>
            </w:pPr>
            <w:r w:rsidRPr="00110D6C">
              <w:rPr>
                <w:rFonts w:cs="Times New Roman"/>
                <w:color w:val="auto"/>
                <w:szCs w:val="22"/>
                <w:lang w:val="pt-PT"/>
              </w:rPr>
              <w:t>7</w:t>
            </w:r>
            <w:r w:rsidR="00E77794" w:rsidRPr="00110D6C">
              <w:rPr>
                <w:rFonts w:cs="Times New Roman"/>
                <w:color w:val="auto"/>
                <w:szCs w:val="22"/>
                <w:lang w:val="pt-PT"/>
              </w:rPr>
              <w:t xml:space="preserve"> </w:t>
            </w:r>
            <w:r w:rsidR="00030085" w:rsidRPr="00110D6C">
              <w:rPr>
                <w:rFonts w:cs="Times New Roman"/>
                <w:color w:val="auto"/>
                <w:szCs w:val="22"/>
                <w:lang w:val="pt-PT"/>
              </w:rPr>
              <w:t>(7%)</w:t>
            </w:r>
          </w:p>
        </w:tc>
        <w:tc>
          <w:tcPr>
            <w:tcW w:w="1105" w:type="dxa"/>
            <w:tcBorders>
              <w:top w:val="single" w:sz="4" w:space="0" w:color="auto"/>
              <w:left w:val="single" w:sz="4" w:space="0" w:color="auto"/>
            </w:tcBorders>
            <w:shd w:val="clear" w:color="auto" w:fill="auto"/>
          </w:tcPr>
          <w:p w14:paraId="47724E48"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1</w:t>
            </w:r>
            <w:r w:rsidR="00B910F9" w:rsidRPr="00110D6C">
              <w:rPr>
                <w:rFonts w:cs="Times New Roman"/>
                <w:color w:val="auto"/>
                <w:szCs w:val="22"/>
                <w:lang w:val="pt-PT"/>
              </w:rPr>
              <w:t>8</w:t>
            </w:r>
            <w:r w:rsidR="00E77794" w:rsidRPr="00110D6C">
              <w:rPr>
                <w:rFonts w:cs="Times New Roman"/>
                <w:color w:val="auto"/>
                <w:szCs w:val="22"/>
                <w:lang w:val="pt-PT"/>
              </w:rPr>
              <w:t xml:space="preserve"> </w:t>
            </w:r>
            <w:r w:rsidRPr="00110D6C">
              <w:rPr>
                <w:rFonts w:cs="Times New Roman"/>
                <w:color w:val="auto"/>
                <w:szCs w:val="22"/>
                <w:lang w:val="pt-PT"/>
              </w:rPr>
              <w:t>(17%)</w:t>
            </w:r>
            <w:r w:rsidRPr="00110D6C">
              <w:rPr>
                <w:rFonts w:cs="Times New Roman"/>
                <w:color w:val="auto"/>
                <w:szCs w:val="22"/>
                <w:vertAlign w:val="superscript"/>
                <w:lang w:val="pt-PT"/>
              </w:rPr>
              <w:t>b</w:t>
            </w:r>
          </w:p>
        </w:tc>
        <w:tc>
          <w:tcPr>
            <w:tcW w:w="1106" w:type="dxa"/>
            <w:tcBorders>
              <w:top w:val="single" w:sz="4" w:space="0" w:color="auto"/>
              <w:left w:val="single" w:sz="4" w:space="0" w:color="auto"/>
              <w:right w:val="single" w:sz="4" w:space="0" w:color="auto"/>
            </w:tcBorders>
            <w:shd w:val="clear" w:color="auto" w:fill="auto"/>
          </w:tcPr>
          <w:p w14:paraId="0731E8FE"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2</w:t>
            </w:r>
            <w:r w:rsidR="00B910F9" w:rsidRPr="00110D6C">
              <w:rPr>
                <w:rFonts w:cs="Times New Roman"/>
                <w:color w:val="auto"/>
                <w:szCs w:val="22"/>
                <w:lang w:val="pt-PT"/>
              </w:rPr>
              <w:t>4</w:t>
            </w:r>
            <w:r w:rsidR="00E77794" w:rsidRPr="00110D6C">
              <w:rPr>
                <w:rFonts w:cs="Times New Roman"/>
                <w:color w:val="auto"/>
                <w:szCs w:val="22"/>
                <w:lang w:val="pt-PT"/>
              </w:rPr>
              <w:t xml:space="preserve"> </w:t>
            </w:r>
            <w:r w:rsidRPr="00110D6C">
              <w:rPr>
                <w:rFonts w:cs="Times New Roman"/>
                <w:color w:val="auto"/>
                <w:szCs w:val="22"/>
                <w:lang w:val="pt-PT"/>
              </w:rPr>
              <w:t>(23%)</w:t>
            </w:r>
            <w:r w:rsidRPr="00110D6C">
              <w:rPr>
                <w:rFonts w:cs="Times New Roman"/>
                <w:color w:val="auto"/>
                <w:szCs w:val="22"/>
                <w:vertAlign w:val="superscript"/>
                <w:lang w:val="pt-PT"/>
              </w:rPr>
              <w:t>a</w:t>
            </w:r>
          </w:p>
        </w:tc>
      </w:tr>
      <w:tr w:rsidR="0077031F" w:rsidRPr="00110D6C" w14:paraId="16465E25" w14:textId="77777777" w:rsidTr="00E77794">
        <w:tc>
          <w:tcPr>
            <w:tcW w:w="2446" w:type="dxa"/>
            <w:tcBorders>
              <w:top w:val="single" w:sz="4" w:space="0" w:color="auto"/>
              <w:left w:val="single" w:sz="4" w:space="0" w:color="auto"/>
            </w:tcBorders>
            <w:shd w:val="clear" w:color="auto" w:fill="auto"/>
          </w:tcPr>
          <w:p w14:paraId="197433E9"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Resposta ACR 70, N (%)</w:t>
            </w:r>
          </w:p>
        </w:tc>
        <w:tc>
          <w:tcPr>
            <w:tcW w:w="1105" w:type="dxa"/>
            <w:tcBorders>
              <w:top w:val="single" w:sz="4" w:space="0" w:color="auto"/>
              <w:left w:val="single" w:sz="4" w:space="0" w:color="auto"/>
            </w:tcBorders>
            <w:shd w:val="clear" w:color="auto" w:fill="auto"/>
          </w:tcPr>
          <w:p w14:paraId="19F8378E" w14:textId="77777777" w:rsidR="0077031F" w:rsidRPr="00110D6C" w:rsidRDefault="00B910F9" w:rsidP="00E77794">
            <w:pPr>
              <w:widowControl/>
              <w:jc w:val="center"/>
              <w:rPr>
                <w:rFonts w:cs="Times New Roman"/>
                <w:color w:val="auto"/>
                <w:szCs w:val="22"/>
                <w:lang w:val="pt-PT"/>
              </w:rPr>
            </w:pPr>
            <w:r w:rsidRPr="00110D6C">
              <w:rPr>
                <w:rFonts w:cs="Times New Roman"/>
                <w:color w:val="auto"/>
                <w:szCs w:val="22"/>
                <w:lang w:val="pt-PT"/>
              </w:rPr>
              <w:t>5</w:t>
            </w:r>
            <w:r w:rsidR="00E77794" w:rsidRPr="00110D6C">
              <w:rPr>
                <w:rFonts w:cs="Times New Roman"/>
                <w:color w:val="auto"/>
                <w:szCs w:val="22"/>
                <w:lang w:val="pt-PT"/>
              </w:rPr>
              <w:t xml:space="preserve"> </w:t>
            </w:r>
            <w:r w:rsidR="00030085" w:rsidRPr="00110D6C">
              <w:rPr>
                <w:rFonts w:cs="Times New Roman"/>
                <w:color w:val="auto"/>
                <w:szCs w:val="22"/>
                <w:lang w:val="pt-PT"/>
              </w:rPr>
              <w:t>(2%)</w:t>
            </w:r>
          </w:p>
        </w:tc>
        <w:tc>
          <w:tcPr>
            <w:tcW w:w="1105" w:type="dxa"/>
            <w:tcBorders>
              <w:top w:val="single" w:sz="4" w:space="0" w:color="auto"/>
              <w:left w:val="single" w:sz="4" w:space="0" w:color="auto"/>
            </w:tcBorders>
            <w:shd w:val="clear" w:color="auto" w:fill="auto"/>
          </w:tcPr>
          <w:p w14:paraId="6278081E"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2</w:t>
            </w:r>
            <w:r w:rsidR="00B910F9" w:rsidRPr="00110D6C">
              <w:rPr>
                <w:rFonts w:cs="Times New Roman"/>
                <w:color w:val="auto"/>
                <w:szCs w:val="22"/>
                <w:lang w:val="pt-PT"/>
              </w:rPr>
              <w:t>5</w:t>
            </w:r>
            <w:r w:rsidR="00E77794" w:rsidRPr="00110D6C">
              <w:rPr>
                <w:rFonts w:cs="Times New Roman"/>
                <w:color w:val="auto"/>
                <w:szCs w:val="22"/>
                <w:lang w:val="pt-PT"/>
              </w:rPr>
              <w:t xml:space="preserve"> </w:t>
            </w:r>
            <w:r w:rsidRPr="00110D6C">
              <w:rPr>
                <w:rFonts w:cs="Times New Roman"/>
                <w:color w:val="auto"/>
                <w:szCs w:val="22"/>
                <w:lang w:val="pt-PT"/>
              </w:rPr>
              <w:t>(12%)</w:t>
            </w:r>
            <w:r w:rsidRPr="00110D6C">
              <w:rPr>
                <w:rFonts w:cs="Times New Roman"/>
                <w:color w:val="auto"/>
                <w:szCs w:val="22"/>
                <w:vertAlign w:val="superscript"/>
                <w:lang w:val="pt-PT"/>
              </w:rPr>
              <w:t>a</w:t>
            </w:r>
          </w:p>
        </w:tc>
        <w:tc>
          <w:tcPr>
            <w:tcW w:w="1105" w:type="dxa"/>
            <w:tcBorders>
              <w:top w:val="single" w:sz="4" w:space="0" w:color="auto"/>
              <w:left w:val="single" w:sz="4" w:space="0" w:color="auto"/>
            </w:tcBorders>
            <w:shd w:val="clear" w:color="auto" w:fill="auto"/>
          </w:tcPr>
          <w:p w14:paraId="31DC5651"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2</w:t>
            </w:r>
            <w:r w:rsidR="00B910F9" w:rsidRPr="00110D6C">
              <w:rPr>
                <w:rFonts w:cs="Times New Roman"/>
                <w:color w:val="auto"/>
                <w:szCs w:val="22"/>
                <w:lang w:val="pt-PT"/>
              </w:rPr>
              <w:t>9</w:t>
            </w:r>
            <w:r w:rsidR="00E77794" w:rsidRPr="00110D6C">
              <w:rPr>
                <w:rFonts w:cs="Times New Roman"/>
                <w:color w:val="auto"/>
                <w:szCs w:val="22"/>
                <w:lang w:val="pt-PT"/>
              </w:rPr>
              <w:t xml:space="preserve"> </w:t>
            </w:r>
            <w:r w:rsidRPr="00110D6C">
              <w:rPr>
                <w:rFonts w:cs="Times New Roman"/>
                <w:color w:val="auto"/>
                <w:szCs w:val="22"/>
                <w:lang w:val="pt-PT"/>
              </w:rPr>
              <w:t>(14%)</w:t>
            </w:r>
            <w:r w:rsidRPr="00110D6C">
              <w:rPr>
                <w:rFonts w:cs="Times New Roman"/>
                <w:color w:val="auto"/>
                <w:szCs w:val="22"/>
                <w:vertAlign w:val="superscript"/>
                <w:lang w:val="pt-PT"/>
              </w:rPr>
              <w:t>a</w:t>
            </w:r>
          </w:p>
        </w:tc>
        <w:tc>
          <w:tcPr>
            <w:tcW w:w="1105" w:type="dxa"/>
            <w:tcBorders>
              <w:top w:val="single" w:sz="4" w:space="0" w:color="auto"/>
              <w:left w:val="single" w:sz="4" w:space="0" w:color="auto"/>
            </w:tcBorders>
            <w:shd w:val="clear" w:color="auto" w:fill="auto"/>
          </w:tcPr>
          <w:p w14:paraId="6CE83F15" w14:textId="77777777" w:rsidR="0077031F" w:rsidRPr="00110D6C" w:rsidRDefault="00B910F9" w:rsidP="00E77794">
            <w:pPr>
              <w:widowControl/>
              <w:jc w:val="center"/>
              <w:rPr>
                <w:rFonts w:cs="Times New Roman"/>
                <w:color w:val="auto"/>
                <w:szCs w:val="22"/>
                <w:lang w:val="pt-PT"/>
              </w:rPr>
            </w:pPr>
            <w:r w:rsidRPr="00110D6C">
              <w:rPr>
                <w:rFonts w:cs="Times New Roman"/>
                <w:color w:val="auto"/>
                <w:szCs w:val="22"/>
                <w:lang w:val="pt-PT"/>
              </w:rPr>
              <w:t>3</w:t>
            </w:r>
            <w:r w:rsidR="00E77794" w:rsidRPr="00110D6C">
              <w:rPr>
                <w:rFonts w:cs="Times New Roman"/>
                <w:color w:val="auto"/>
                <w:szCs w:val="22"/>
                <w:lang w:val="pt-PT"/>
              </w:rPr>
              <w:t xml:space="preserve"> </w:t>
            </w:r>
            <w:r w:rsidR="00030085" w:rsidRPr="00110D6C">
              <w:rPr>
                <w:rFonts w:cs="Times New Roman"/>
                <w:color w:val="auto"/>
                <w:szCs w:val="22"/>
                <w:lang w:val="pt-PT"/>
              </w:rPr>
              <w:t>(3%)</w:t>
            </w:r>
          </w:p>
        </w:tc>
        <w:tc>
          <w:tcPr>
            <w:tcW w:w="1105" w:type="dxa"/>
            <w:tcBorders>
              <w:top w:val="single" w:sz="4" w:space="0" w:color="auto"/>
              <w:left w:val="single" w:sz="4" w:space="0" w:color="auto"/>
            </w:tcBorders>
            <w:shd w:val="clear" w:color="auto" w:fill="auto"/>
          </w:tcPr>
          <w:p w14:paraId="24C90AC8" w14:textId="77777777" w:rsidR="0077031F" w:rsidRPr="00110D6C" w:rsidRDefault="00B910F9" w:rsidP="00E77794">
            <w:pPr>
              <w:widowControl/>
              <w:jc w:val="center"/>
              <w:rPr>
                <w:rFonts w:cs="Times New Roman"/>
                <w:color w:val="auto"/>
                <w:szCs w:val="22"/>
                <w:lang w:val="pt-PT"/>
              </w:rPr>
            </w:pPr>
            <w:r w:rsidRPr="00110D6C">
              <w:rPr>
                <w:rFonts w:cs="Times New Roman"/>
                <w:color w:val="auto"/>
                <w:szCs w:val="22"/>
                <w:lang w:val="pt-PT"/>
              </w:rPr>
              <w:t>7</w:t>
            </w:r>
            <w:r w:rsidR="00E77794" w:rsidRPr="00110D6C">
              <w:rPr>
                <w:rFonts w:cs="Times New Roman"/>
                <w:color w:val="auto"/>
                <w:szCs w:val="22"/>
                <w:lang w:val="pt-PT"/>
              </w:rPr>
              <w:t xml:space="preserve"> </w:t>
            </w:r>
            <w:r w:rsidR="00030085" w:rsidRPr="00110D6C">
              <w:rPr>
                <w:rFonts w:cs="Times New Roman"/>
                <w:color w:val="auto"/>
                <w:szCs w:val="22"/>
                <w:lang w:val="pt-PT"/>
              </w:rPr>
              <w:t>(7%)</w:t>
            </w:r>
            <w:r w:rsidR="00030085" w:rsidRPr="00110D6C">
              <w:rPr>
                <w:rFonts w:cs="Times New Roman"/>
                <w:color w:val="auto"/>
                <w:szCs w:val="22"/>
                <w:vertAlign w:val="superscript"/>
                <w:lang w:val="pt-PT"/>
              </w:rPr>
              <w:t>c</w:t>
            </w:r>
          </w:p>
        </w:tc>
        <w:tc>
          <w:tcPr>
            <w:tcW w:w="1106" w:type="dxa"/>
            <w:tcBorders>
              <w:top w:val="single" w:sz="4" w:space="0" w:color="auto"/>
              <w:left w:val="single" w:sz="4" w:space="0" w:color="auto"/>
              <w:right w:val="single" w:sz="4" w:space="0" w:color="auto"/>
            </w:tcBorders>
            <w:shd w:val="clear" w:color="auto" w:fill="auto"/>
          </w:tcPr>
          <w:p w14:paraId="4FAF61C3" w14:textId="77777777" w:rsidR="0077031F" w:rsidRPr="00110D6C" w:rsidRDefault="00B910F9" w:rsidP="00E77794">
            <w:pPr>
              <w:widowControl/>
              <w:jc w:val="center"/>
              <w:rPr>
                <w:rFonts w:cs="Times New Roman"/>
                <w:color w:val="auto"/>
                <w:szCs w:val="22"/>
                <w:lang w:val="pt-PT"/>
              </w:rPr>
            </w:pPr>
            <w:r w:rsidRPr="00110D6C">
              <w:rPr>
                <w:rFonts w:cs="Times New Roman"/>
                <w:color w:val="auto"/>
                <w:szCs w:val="22"/>
                <w:lang w:val="pt-PT"/>
              </w:rPr>
              <w:t>9</w:t>
            </w:r>
            <w:r w:rsidR="00E77794" w:rsidRPr="00110D6C">
              <w:rPr>
                <w:rFonts w:cs="Times New Roman"/>
                <w:color w:val="auto"/>
                <w:szCs w:val="22"/>
                <w:lang w:val="pt-PT"/>
              </w:rPr>
              <w:t xml:space="preserve"> </w:t>
            </w:r>
            <w:r w:rsidR="00030085" w:rsidRPr="00110D6C">
              <w:rPr>
                <w:rFonts w:cs="Times New Roman"/>
                <w:color w:val="auto"/>
                <w:szCs w:val="22"/>
                <w:lang w:val="pt-PT"/>
              </w:rPr>
              <w:t>(9%)</w:t>
            </w:r>
            <w:r w:rsidR="00030085" w:rsidRPr="00110D6C">
              <w:rPr>
                <w:rFonts w:cs="Times New Roman"/>
                <w:color w:val="auto"/>
                <w:szCs w:val="22"/>
                <w:vertAlign w:val="superscript"/>
                <w:lang w:val="pt-PT"/>
              </w:rPr>
              <w:t>c</w:t>
            </w:r>
          </w:p>
        </w:tc>
      </w:tr>
      <w:tr w:rsidR="0077031F" w:rsidRPr="00110D6C" w14:paraId="6704EFD5" w14:textId="77777777" w:rsidTr="00E77794">
        <w:tc>
          <w:tcPr>
            <w:tcW w:w="2446" w:type="dxa"/>
            <w:tcBorders>
              <w:top w:val="single" w:sz="4" w:space="0" w:color="auto"/>
              <w:left w:val="single" w:sz="4" w:space="0" w:color="auto"/>
            </w:tcBorders>
            <w:shd w:val="clear" w:color="auto" w:fill="auto"/>
          </w:tcPr>
          <w:p w14:paraId="24965EED" w14:textId="77777777" w:rsidR="0077031F" w:rsidRPr="00110D6C" w:rsidRDefault="00030085" w:rsidP="00E77794">
            <w:pPr>
              <w:widowControl/>
              <w:rPr>
                <w:rFonts w:cs="Times New Roman"/>
                <w:color w:val="auto"/>
                <w:szCs w:val="22"/>
                <w:lang w:val="pt-PT"/>
              </w:rPr>
            </w:pPr>
            <w:r w:rsidRPr="00110D6C">
              <w:rPr>
                <w:rFonts w:cs="Times New Roman"/>
                <w:i/>
                <w:iCs/>
                <w:color w:val="auto"/>
                <w:szCs w:val="22"/>
                <w:lang w:val="pt-PT"/>
              </w:rPr>
              <w:t>Nº de doentes com BSA ≥</w:t>
            </w:r>
            <w:r w:rsidR="00F5387C" w:rsidRPr="00110D6C">
              <w:rPr>
                <w:rFonts w:cs="Times New Roman"/>
                <w:i/>
                <w:iCs/>
                <w:color w:val="auto"/>
                <w:szCs w:val="22"/>
                <w:lang w:val="pt-PT"/>
              </w:rPr>
              <w:t> </w:t>
            </w:r>
            <w:r w:rsidRPr="00110D6C">
              <w:rPr>
                <w:rFonts w:cs="Times New Roman"/>
                <w:i/>
                <w:iCs/>
                <w:color w:val="auto"/>
                <w:szCs w:val="22"/>
                <w:lang w:val="pt-PT"/>
              </w:rPr>
              <w:t xml:space="preserve">3% </w:t>
            </w:r>
            <w:r w:rsidRPr="00110D6C">
              <w:rPr>
                <w:rFonts w:cs="Times New Roman"/>
                <w:i/>
                <w:iCs/>
                <w:color w:val="auto"/>
                <w:szCs w:val="22"/>
                <w:vertAlign w:val="superscript"/>
                <w:lang w:val="pt-PT"/>
              </w:rPr>
              <w:t>d</w:t>
            </w:r>
          </w:p>
        </w:tc>
        <w:tc>
          <w:tcPr>
            <w:tcW w:w="1105" w:type="dxa"/>
            <w:tcBorders>
              <w:top w:val="single" w:sz="4" w:space="0" w:color="auto"/>
              <w:left w:val="single" w:sz="4" w:space="0" w:color="auto"/>
            </w:tcBorders>
            <w:shd w:val="clear" w:color="auto" w:fill="auto"/>
          </w:tcPr>
          <w:p w14:paraId="37C46764"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146</w:t>
            </w:r>
          </w:p>
        </w:tc>
        <w:tc>
          <w:tcPr>
            <w:tcW w:w="1105" w:type="dxa"/>
            <w:tcBorders>
              <w:top w:val="single" w:sz="4" w:space="0" w:color="auto"/>
              <w:left w:val="single" w:sz="4" w:space="0" w:color="auto"/>
            </w:tcBorders>
            <w:shd w:val="clear" w:color="auto" w:fill="auto"/>
          </w:tcPr>
          <w:p w14:paraId="04BF3123"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145</w:t>
            </w:r>
          </w:p>
        </w:tc>
        <w:tc>
          <w:tcPr>
            <w:tcW w:w="1105" w:type="dxa"/>
            <w:tcBorders>
              <w:top w:val="single" w:sz="4" w:space="0" w:color="auto"/>
              <w:left w:val="single" w:sz="4" w:space="0" w:color="auto"/>
            </w:tcBorders>
            <w:shd w:val="clear" w:color="auto" w:fill="auto"/>
          </w:tcPr>
          <w:p w14:paraId="35CCBBF8"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149</w:t>
            </w:r>
          </w:p>
        </w:tc>
        <w:tc>
          <w:tcPr>
            <w:tcW w:w="1105" w:type="dxa"/>
            <w:tcBorders>
              <w:top w:val="single" w:sz="4" w:space="0" w:color="auto"/>
              <w:left w:val="single" w:sz="4" w:space="0" w:color="auto"/>
            </w:tcBorders>
            <w:shd w:val="clear" w:color="auto" w:fill="auto"/>
          </w:tcPr>
          <w:p w14:paraId="0A53F20A"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80</w:t>
            </w:r>
          </w:p>
        </w:tc>
        <w:tc>
          <w:tcPr>
            <w:tcW w:w="1105" w:type="dxa"/>
            <w:tcBorders>
              <w:top w:val="single" w:sz="4" w:space="0" w:color="auto"/>
              <w:left w:val="single" w:sz="4" w:space="0" w:color="auto"/>
            </w:tcBorders>
            <w:shd w:val="clear" w:color="auto" w:fill="auto"/>
          </w:tcPr>
          <w:p w14:paraId="51790E0C"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80</w:t>
            </w:r>
          </w:p>
        </w:tc>
        <w:tc>
          <w:tcPr>
            <w:tcW w:w="1106" w:type="dxa"/>
            <w:tcBorders>
              <w:top w:val="single" w:sz="4" w:space="0" w:color="auto"/>
              <w:left w:val="single" w:sz="4" w:space="0" w:color="auto"/>
              <w:right w:val="single" w:sz="4" w:space="0" w:color="auto"/>
            </w:tcBorders>
            <w:shd w:val="clear" w:color="auto" w:fill="auto"/>
          </w:tcPr>
          <w:p w14:paraId="2C1CC6D7"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81</w:t>
            </w:r>
          </w:p>
        </w:tc>
      </w:tr>
      <w:tr w:rsidR="0077031F" w:rsidRPr="00110D6C" w14:paraId="49E1C475" w14:textId="77777777" w:rsidTr="00E77794">
        <w:tc>
          <w:tcPr>
            <w:tcW w:w="2446" w:type="dxa"/>
            <w:tcBorders>
              <w:top w:val="single" w:sz="4" w:space="0" w:color="auto"/>
              <w:left w:val="single" w:sz="4" w:space="0" w:color="auto"/>
            </w:tcBorders>
            <w:shd w:val="clear" w:color="auto" w:fill="auto"/>
          </w:tcPr>
          <w:p w14:paraId="4371B464"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Resposta PASI 75, N (%)</w:t>
            </w:r>
          </w:p>
        </w:tc>
        <w:tc>
          <w:tcPr>
            <w:tcW w:w="1105" w:type="dxa"/>
            <w:tcBorders>
              <w:top w:val="single" w:sz="4" w:space="0" w:color="auto"/>
              <w:left w:val="single" w:sz="4" w:space="0" w:color="auto"/>
            </w:tcBorders>
            <w:shd w:val="clear" w:color="auto" w:fill="auto"/>
          </w:tcPr>
          <w:p w14:paraId="7C223D63"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1</w:t>
            </w:r>
            <w:r w:rsidR="00B910F9" w:rsidRPr="00110D6C">
              <w:rPr>
                <w:rFonts w:cs="Times New Roman"/>
                <w:color w:val="auto"/>
                <w:szCs w:val="22"/>
                <w:lang w:val="pt-PT"/>
              </w:rPr>
              <w:t>6</w:t>
            </w:r>
            <w:r w:rsidR="00E77794" w:rsidRPr="00110D6C">
              <w:rPr>
                <w:rFonts w:cs="Times New Roman"/>
                <w:color w:val="auto"/>
                <w:szCs w:val="22"/>
                <w:lang w:val="pt-PT"/>
              </w:rPr>
              <w:t xml:space="preserve"> </w:t>
            </w:r>
            <w:r w:rsidRPr="00110D6C">
              <w:rPr>
                <w:rFonts w:cs="Times New Roman"/>
                <w:color w:val="auto"/>
                <w:szCs w:val="22"/>
                <w:lang w:val="pt-PT"/>
              </w:rPr>
              <w:t>(11%)</w:t>
            </w:r>
          </w:p>
        </w:tc>
        <w:tc>
          <w:tcPr>
            <w:tcW w:w="1105" w:type="dxa"/>
            <w:tcBorders>
              <w:top w:val="single" w:sz="4" w:space="0" w:color="auto"/>
              <w:left w:val="single" w:sz="4" w:space="0" w:color="auto"/>
            </w:tcBorders>
            <w:shd w:val="clear" w:color="auto" w:fill="auto"/>
          </w:tcPr>
          <w:p w14:paraId="4899EFBB"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8</w:t>
            </w:r>
            <w:r w:rsidR="00B910F9" w:rsidRPr="00110D6C">
              <w:rPr>
                <w:rFonts w:cs="Times New Roman"/>
                <w:color w:val="auto"/>
                <w:szCs w:val="22"/>
                <w:lang w:val="pt-PT"/>
              </w:rPr>
              <w:t>3</w:t>
            </w:r>
            <w:r w:rsidR="00E77794" w:rsidRPr="00110D6C">
              <w:rPr>
                <w:rFonts w:cs="Times New Roman"/>
                <w:color w:val="auto"/>
                <w:szCs w:val="22"/>
                <w:lang w:val="pt-PT"/>
              </w:rPr>
              <w:t xml:space="preserve"> </w:t>
            </w:r>
            <w:r w:rsidRPr="00110D6C">
              <w:rPr>
                <w:rFonts w:cs="Times New Roman"/>
                <w:color w:val="auto"/>
                <w:szCs w:val="22"/>
                <w:lang w:val="pt-PT"/>
              </w:rPr>
              <w:t>(57%)</w:t>
            </w:r>
            <w:r w:rsidRPr="00110D6C">
              <w:rPr>
                <w:rFonts w:cs="Times New Roman"/>
                <w:color w:val="auto"/>
                <w:szCs w:val="22"/>
                <w:vertAlign w:val="superscript"/>
                <w:lang w:val="pt-PT"/>
              </w:rPr>
              <w:t>a</w:t>
            </w:r>
          </w:p>
        </w:tc>
        <w:tc>
          <w:tcPr>
            <w:tcW w:w="1105" w:type="dxa"/>
            <w:tcBorders>
              <w:top w:val="single" w:sz="4" w:space="0" w:color="auto"/>
              <w:left w:val="single" w:sz="4" w:space="0" w:color="auto"/>
            </w:tcBorders>
            <w:shd w:val="clear" w:color="auto" w:fill="auto"/>
          </w:tcPr>
          <w:p w14:paraId="548EC102"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9</w:t>
            </w:r>
            <w:r w:rsidR="00B910F9" w:rsidRPr="00110D6C">
              <w:rPr>
                <w:rFonts w:cs="Times New Roman"/>
                <w:color w:val="auto"/>
                <w:szCs w:val="22"/>
                <w:lang w:val="pt-PT"/>
              </w:rPr>
              <w:t>3</w:t>
            </w:r>
            <w:r w:rsidR="00E77794" w:rsidRPr="00110D6C">
              <w:rPr>
                <w:rFonts w:cs="Times New Roman"/>
                <w:color w:val="auto"/>
                <w:szCs w:val="22"/>
                <w:lang w:val="pt-PT"/>
              </w:rPr>
              <w:t xml:space="preserve"> </w:t>
            </w:r>
            <w:r w:rsidRPr="00110D6C">
              <w:rPr>
                <w:rFonts w:cs="Times New Roman"/>
                <w:color w:val="auto"/>
                <w:szCs w:val="22"/>
                <w:lang w:val="pt-PT"/>
              </w:rPr>
              <w:t>(62%)</w:t>
            </w:r>
            <w:r w:rsidRPr="00110D6C">
              <w:rPr>
                <w:rFonts w:cs="Times New Roman"/>
                <w:color w:val="auto"/>
                <w:szCs w:val="22"/>
                <w:vertAlign w:val="superscript"/>
                <w:lang w:val="pt-PT"/>
              </w:rPr>
              <w:t>a</w:t>
            </w:r>
          </w:p>
        </w:tc>
        <w:tc>
          <w:tcPr>
            <w:tcW w:w="1105" w:type="dxa"/>
            <w:tcBorders>
              <w:top w:val="single" w:sz="4" w:space="0" w:color="auto"/>
              <w:left w:val="single" w:sz="4" w:space="0" w:color="auto"/>
            </w:tcBorders>
            <w:shd w:val="clear" w:color="auto" w:fill="auto"/>
          </w:tcPr>
          <w:p w14:paraId="038F4F09" w14:textId="77777777" w:rsidR="0077031F" w:rsidRPr="00110D6C" w:rsidRDefault="00B910F9" w:rsidP="00E77794">
            <w:pPr>
              <w:widowControl/>
              <w:jc w:val="center"/>
              <w:rPr>
                <w:rFonts w:cs="Times New Roman"/>
                <w:color w:val="auto"/>
                <w:szCs w:val="22"/>
                <w:lang w:val="pt-PT"/>
              </w:rPr>
            </w:pPr>
            <w:r w:rsidRPr="00110D6C">
              <w:rPr>
                <w:rFonts w:cs="Times New Roman"/>
                <w:color w:val="auto"/>
                <w:szCs w:val="22"/>
                <w:lang w:val="pt-PT"/>
              </w:rPr>
              <w:t>4</w:t>
            </w:r>
            <w:r w:rsidR="00E77794" w:rsidRPr="00110D6C">
              <w:rPr>
                <w:rFonts w:cs="Times New Roman"/>
                <w:color w:val="auto"/>
                <w:szCs w:val="22"/>
                <w:lang w:val="pt-PT"/>
              </w:rPr>
              <w:t xml:space="preserve"> </w:t>
            </w:r>
            <w:r w:rsidR="00030085" w:rsidRPr="00110D6C">
              <w:rPr>
                <w:rFonts w:cs="Times New Roman"/>
                <w:color w:val="auto"/>
                <w:szCs w:val="22"/>
                <w:lang w:val="pt-PT"/>
              </w:rPr>
              <w:t>(5%)</w:t>
            </w:r>
          </w:p>
        </w:tc>
        <w:tc>
          <w:tcPr>
            <w:tcW w:w="1105" w:type="dxa"/>
            <w:tcBorders>
              <w:top w:val="single" w:sz="4" w:space="0" w:color="auto"/>
              <w:left w:val="single" w:sz="4" w:space="0" w:color="auto"/>
            </w:tcBorders>
            <w:shd w:val="clear" w:color="auto" w:fill="auto"/>
          </w:tcPr>
          <w:p w14:paraId="2BD7AF90"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4</w:t>
            </w:r>
            <w:r w:rsidR="00B910F9" w:rsidRPr="00110D6C">
              <w:rPr>
                <w:rFonts w:cs="Times New Roman"/>
                <w:color w:val="auto"/>
                <w:szCs w:val="22"/>
                <w:lang w:val="pt-PT"/>
              </w:rPr>
              <w:t>1</w:t>
            </w:r>
            <w:r w:rsidR="00E77794" w:rsidRPr="00110D6C">
              <w:rPr>
                <w:rFonts w:cs="Times New Roman"/>
                <w:color w:val="auto"/>
                <w:szCs w:val="22"/>
                <w:lang w:val="pt-PT"/>
              </w:rPr>
              <w:t xml:space="preserve"> </w:t>
            </w:r>
            <w:r w:rsidRPr="00110D6C">
              <w:rPr>
                <w:rFonts w:cs="Times New Roman"/>
                <w:color w:val="auto"/>
                <w:szCs w:val="22"/>
                <w:lang w:val="pt-PT"/>
              </w:rPr>
              <w:t>(51%)</w:t>
            </w:r>
            <w:r w:rsidRPr="00110D6C">
              <w:rPr>
                <w:rFonts w:cs="Times New Roman"/>
                <w:color w:val="auto"/>
                <w:szCs w:val="22"/>
                <w:vertAlign w:val="superscript"/>
                <w:lang w:val="pt-PT"/>
              </w:rPr>
              <w:t>a</w:t>
            </w:r>
          </w:p>
        </w:tc>
        <w:tc>
          <w:tcPr>
            <w:tcW w:w="1106" w:type="dxa"/>
            <w:tcBorders>
              <w:top w:val="single" w:sz="4" w:space="0" w:color="auto"/>
              <w:left w:val="single" w:sz="4" w:space="0" w:color="auto"/>
              <w:right w:val="single" w:sz="4" w:space="0" w:color="auto"/>
            </w:tcBorders>
            <w:shd w:val="clear" w:color="auto" w:fill="auto"/>
          </w:tcPr>
          <w:p w14:paraId="0C76EFFF"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4</w:t>
            </w:r>
            <w:r w:rsidR="00B910F9" w:rsidRPr="00110D6C">
              <w:rPr>
                <w:rFonts w:cs="Times New Roman"/>
                <w:color w:val="auto"/>
                <w:szCs w:val="22"/>
                <w:lang w:val="pt-PT"/>
              </w:rPr>
              <w:t>5</w:t>
            </w:r>
            <w:r w:rsidR="00E77794" w:rsidRPr="00110D6C">
              <w:rPr>
                <w:rFonts w:cs="Times New Roman"/>
                <w:color w:val="auto"/>
                <w:szCs w:val="22"/>
                <w:lang w:val="pt-PT"/>
              </w:rPr>
              <w:t xml:space="preserve"> </w:t>
            </w:r>
            <w:r w:rsidRPr="00110D6C">
              <w:rPr>
                <w:rFonts w:cs="Times New Roman"/>
                <w:color w:val="auto"/>
                <w:szCs w:val="22"/>
                <w:lang w:val="pt-PT"/>
              </w:rPr>
              <w:t>(56%)</w:t>
            </w:r>
            <w:r w:rsidRPr="00110D6C">
              <w:rPr>
                <w:rFonts w:cs="Times New Roman"/>
                <w:color w:val="auto"/>
                <w:szCs w:val="22"/>
                <w:vertAlign w:val="superscript"/>
                <w:lang w:val="pt-PT"/>
              </w:rPr>
              <w:t>a</w:t>
            </w:r>
          </w:p>
        </w:tc>
      </w:tr>
      <w:tr w:rsidR="0077031F" w:rsidRPr="00110D6C" w14:paraId="3A9E66C2" w14:textId="77777777" w:rsidTr="00E77794">
        <w:tc>
          <w:tcPr>
            <w:tcW w:w="2446" w:type="dxa"/>
            <w:tcBorders>
              <w:top w:val="single" w:sz="4" w:space="0" w:color="auto"/>
              <w:left w:val="single" w:sz="4" w:space="0" w:color="auto"/>
            </w:tcBorders>
            <w:shd w:val="clear" w:color="auto" w:fill="auto"/>
          </w:tcPr>
          <w:p w14:paraId="753A8688"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Resposta PASI 90, N (%)</w:t>
            </w:r>
          </w:p>
        </w:tc>
        <w:tc>
          <w:tcPr>
            <w:tcW w:w="1105" w:type="dxa"/>
            <w:tcBorders>
              <w:top w:val="single" w:sz="4" w:space="0" w:color="auto"/>
              <w:left w:val="single" w:sz="4" w:space="0" w:color="auto"/>
            </w:tcBorders>
            <w:shd w:val="clear" w:color="auto" w:fill="auto"/>
          </w:tcPr>
          <w:p w14:paraId="6147FAED" w14:textId="77777777" w:rsidR="0077031F" w:rsidRPr="00110D6C" w:rsidRDefault="00B910F9" w:rsidP="00E77794">
            <w:pPr>
              <w:widowControl/>
              <w:jc w:val="center"/>
              <w:rPr>
                <w:rFonts w:cs="Times New Roman"/>
                <w:color w:val="auto"/>
                <w:szCs w:val="22"/>
                <w:lang w:val="pt-PT"/>
              </w:rPr>
            </w:pPr>
            <w:r w:rsidRPr="00110D6C">
              <w:rPr>
                <w:rFonts w:cs="Times New Roman"/>
                <w:color w:val="auto"/>
                <w:szCs w:val="22"/>
                <w:lang w:val="pt-PT"/>
              </w:rPr>
              <w:t>4</w:t>
            </w:r>
            <w:r w:rsidR="00E77794" w:rsidRPr="00110D6C">
              <w:rPr>
                <w:rFonts w:cs="Times New Roman"/>
                <w:color w:val="auto"/>
                <w:szCs w:val="22"/>
                <w:lang w:val="pt-PT"/>
              </w:rPr>
              <w:t xml:space="preserve"> </w:t>
            </w:r>
            <w:r w:rsidR="00030085" w:rsidRPr="00110D6C">
              <w:rPr>
                <w:rFonts w:cs="Times New Roman"/>
                <w:color w:val="auto"/>
                <w:szCs w:val="22"/>
                <w:lang w:val="pt-PT"/>
              </w:rPr>
              <w:t>(3%)</w:t>
            </w:r>
          </w:p>
        </w:tc>
        <w:tc>
          <w:tcPr>
            <w:tcW w:w="1105" w:type="dxa"/>
            <w:tcBorders>
              <w:top w:val="single" w:sz="4" w:space="0" w:color="auto"/>
              <w:left w:val="single" w:sz="4" w:space="0" w:color="auto"/>
            </w:tcBorders>
            <w:shd w:val="clear" w:color="auto" w:fill="auto"/>
          </w:tcPr>
          <w:p w14:paraId="2172491D"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6</w:t>
            </w:r>
            <w:r w:rsidR="00B910F9" w:rsidRPr="00110D6C">
              <w:rPr>
                <w:rFonts w:cs="Times New Roman"/>
                <w:color w:val="auto"/>
                <w:szCs w:val="22"/>
                <w:lang w:val="pt-PT"/>
              </w:rPr>
              <w:t>0</w:t>
            </w:r>
            <w:r w:rsidR="00E77794" w:rsidRPr="00110D6C">
              <w:rPr>
                <w:rFonts w:cs="Times New Roman"/>
                <w:color w:val="auto"/>
                <w:szCs w:val="22"/>
                <w:lang w:val="pt-PT"/>
              </w:rPr>
              <w:t xml:space="preserve"> </w:t>
            </w:r>
            <w:r w:rsidRPr="00110D6C">
              <w:rPr>
                <w:rFonts w:cs="Times New Roman"/>
                <w:color w:val="auto"/>
                <w:szCs w:val="22"/>
                <w:lang w:val="pt-PT"/>
              </w:rPr>
              <w:t>(41%)</w:t>
            </w:r>
            <w:r w:rsidRPr="00110D6C">
              <w:rPr>
                <w:rFonts w:cs="Times New Roman"/>
                <w:color w:val="auto"/>
                <w:szCs w:val="22"/>
                <w:vertAlign w:val="superscript"/>
                <w:lang w:val="pt-PT"/>
              </w:rPr>
              <w:t>a</w:t>
            </w:r>
          </w:p>
        </w:tc>
        <w:tc>
          <w:tcPr>
            <w:tcW w:w="1105" w:type="dxa"/>
            <w:tcBorders>
              <w:top w:val="single" w:sz="4" w:space="0" w:color="auto"/>
              <w:left w:val="single" w:sz="4" w:space="0" w:color="auto"/>
            </w:tcBorders>
            <w:shd w:val="clear" w:color="auto" w:fill="auto"/>
          </w:tcPr>
          <w:p w14:paraId="386BB068"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6</w:t>
            </w:r>
            <w:r w:rsidR="00B910F9" w:rsidRPr="00110D6C">
              <w:rPr>
                <w:rFonts w:cs="Times New Roman"/>
                <w:color w:val="auto"/>
                <w:szCs w:val="22"/>
                <w:lang w:val="pt-PT"/>
              </w:rPr>
              <w:t>5</w:t>
            </w:r>
            <w:r w:rsidR="00E77794" w:rsidRPr="00110D6C">
              <w:rPr>
                <w:rFonts w:cs="Times New Roman"/>
                <w:color w:val="auto"/>
                <w:szCs w:val="22"/>
                <w:lang w:val="pt-PT"/>
              </w:rPr>
              <w:t xml:space="preserve"> </w:t>
            </w:r>
            <w:r w:rsidRPr="00110D6C">
              <w:rPr>
                <w:rFonts w:cs="Times New Roman"/>
                <w:color w:val="auto"/>
                <w:szCs w:val="22"/>
                <w:lang w:val="pt-PT"/>
              </w:rPr>
              <w:t>(44%)</w:t>
            </w:r>
            <w:r w:rsidRPr="00110D6C">
              <w:rPr>
                <w:rFonts w:cs="Times New Roman"/>
                <w:color w:val="auto"/>
                <w:szCs w:val="22"/>
                <w:vertAlign w:val="superscript"/>
                <w:lang w:val="pt-PT"/>
              </w:rPr>
              <w:t>a</w:t>
            </w:r>
          </w:p>
        </w:tc>
        <w:tc>
          <w:tcPr>
            <w:tcW w:w="1105" w:type="dxa"/>
            <w:tcBorders>
              <w:top w:val="single" w:sz="4" w:space="0" w:color="auto"/>
              <w:left w:val="single" w:sz="4" w:space="0" w:color="auto"/>
            </w:tcBorders>
            <w:shd w:val="clear" w:color="auto" w:fill="auto"/>
          </w:tcPr>
          <w:p w14:paraId="165B5B94" w14:textId="77777777" w:rsidR="0077031F" w:rsidRPr="00110D6C" w:rsidRDefault="00B910F9" w:rsidP="00E77794">
            <w:pPr>
              <w:widowControl/>
              <w:jc w:val="center"/>
              <w:rPr>
                <w:rFonts w:cs="Times New Roman"/>
                <w:color w:val="auto"/>
                <w:szCs w:val="22"/>
                <w:lang w:val="pt-PT"/>
              </w:rPr>
            </w:pPr>
            <w:r w:rsidRPr="00110D6C">
              <w:rPr>
                <w:rFonts w:cs="Times New Roman"/>
                <w:color w:val="auto"/>
                <w:szCs w:val="22"/>
                <w:lang w:val="pt-PT"/>
              </w:rPr>
              <w:t>3</w:t>
            </w:r>
            <w:r w:rsidR="00E77794" w:rsidRPr="00110D6C">
              <w:rPr>
                <w:rFonts w:cs="Times New Roman"/>
                <w:color w:val="auto"/>
                <w:szCs w:val="22"/>
                <w:lang w:val="pt-PT"/>
              </w:rPr>
              <w:t xml:space="preserve"> </w:t>
            </w:r>
            <w:r w:rsidR="00030085" w:rsidRPr="00110D6C">
              <w:rPr>
                <w:rFonts w:cs="Times New Roman"/>
                <w:color w:val="auto"/>
                <w:szCs w:val="22"/>
                <w:lang w:val="pt-PT"/>
              </w:rPr>
              <w:t>(4%)</w:t>
            </w:r>
          </w:p>
        </w:tc>
        <w:tc>
          <w:tcPr>
            <w:tcW w:w="1105" w:type="dxa"/>
            <w:tcBorders>
              <w:top w:val="single" w:sz="4" w:space="0" w:color="auto"/>
              <w:left w:val="single" w:sz="4" w:space="0" w:color="auto"/>
            </w:tcBorders>
            <w:shd w:val="clear" w:color="auto" w:fill="auto"/>
          </w:tcPr>
          <w:p w14:paraId="49D4EF6B"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2</w:t>
            </w:r>
            <w:r w:rsidR="00B910F9" w:rsidRPr="00110D6C">
              <w:rPr>
                <w:rFonts w:cs="Times New Roman"/>
                <w:color w:val="auto"/>
                <w:szCs w:val="22"/>
                <w:lang w:val="pt-PT"/>
              </w:rPr>
              <w:t>4</w:t>
            </w:r>
            <w:r w:rsidR="00E77794" w:rsidRPr="00110D6C">
              <w:rPr>
                <w:rFonts w:cs="Times New Roman"/>
                <w:color w:val="auto"/>
                <w:szCs w:val="22"/>
                <w:lang w:val="pt-PT"/>
              </w:rPr>
              <w:t xml:space="preserve"> </w:t>
            </w:r>
            <w:r w:rsidRPr="00110D6C">
              <w:rPr>
                <w:rFonts w:cs="Times New Roman"/>
                <w:color w:val="auto"/>
                <w:szCs w:val="22"/>
                <w:lang w:val="pt-PT"/>
              </w:rPr>
              <w:t>(30%)</w:t>
            </w:r>
            <w:r w:rsidRPr="00110D6C">
              <w:rPr>
                <w:rFonts w:cs="Times New Roman"/>
                <w:color w:val="auto"/>
                <w:szCs w:val="22"/>
                <w:vertAlign w:val="superscript"/>
                <w:lang w:val="pt-PT"/>
              </w:rPr>
              <w:t>a</w:t>
            </w:r>
          </w:p>
        </w:tc>
        <w:tc>
          <w:tcPr>
            <w:tcW w:w="1106" w:type="dxa"/>
            <w:tcBorders>
              <w:top w:val="single" w:sz="4" w:space="0" w:color="auto"/>
              <w:left w:val="single" w:sz="4" w:space="0" w:color="auto"/>
              <w:right w:val="single" w:sz="4" w:space="0" w:color="auto"/>
            </w:tcBorders>
            <w:shd w:val="clear" w:color="auto" w:fill="auto"/>
          </w:tcPr>
          <w:p w14:paraId="08F1AD9F"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3</w:t>
            </w:r>
            <w:r w:rsidR="00B910F9" w:rsidRPr="00110D6C">
              <w:rPr>
                <w:rFonts w:cs="Times New Roman"/>
                <w:color w:val="auto"/>
                <w:szCs w:val="22"/>
                <w:lang w:val="pt-PT"/>
              </w:rPr>
              <w:t>6</w:t>
            </w:r>
            <w:r w:rsidR="00E77794" w:rsidRPr="00110D6C">
              <w:rPr>
                <w:rFonts w:cs="Times New Roman"/>
                <w:color w:val="auto"/>
                <w:szCs w:val="22"/>
                <w:lang w:val="pt-PT"/>
              </w:rPr>
              <w:t xml:space="preserve"> </w:t>
            </w:r>
            <w:r w:rsidRPr="00110D6C">
              <w:rPr>
                <w:rFonts w:cs="Times New Roman"/>
                <w:color w:val="auto"/>
                <w:szCs w:val="22"/>
                <w:lang w:val="pt-PT"/>
              </w:rPr>
              <w:t>(44%)</w:t>
            </w:r>
            <w:r w:rsidRPr="00110D6C">
              <w:rPr>
                <w:rFonts w:cs="Times New Roman"/>
                <w:color w:val="auto"/>
                <w:szCs w:val="22"/>
                <w:vertAlign w:val="superscript"/>
                <w:lang w:val="pt-PT"/>
              </w:rPr>
              <w:t>a</w:t>
            </w:r>
          </w:p>
        </w:tc>
      </w:tr>
      <w:tr w:rsidR="0077031F" w:rsidRPr="00110D6C" w14:paraId="0C9FDB34" w14:textId="77777777" w:rsidTr="00E77794">
        <w:tc>
          <w:tcPr>
            <w:tcW w:w="2446" w:type="dxa"/>
            <w:tcBorders>
              <w:top w:val="single" w:sz="4" w:space="0" w:color="auto"/>
              <w:left w:val="single" w:sz="4" w:space="0" w:color="auto"/>
            </w:tcBorders>
            <w:shd w:val="clear" w:color="auto" w:fill="auto"/>
          </w:tcPr>
          <w:p w14:paraId="69D8EA94"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lastRenderedPageBreak/>
              <w:t>Respostas combinadas PASI 7</w:t>
            </w:r>
            <w:r w:rsidR="00B910F9" w:rsidRPr="00110D6C">
              <w:rPr>
                <w:rFonts w:cs="Times New Roman"/>
                <w:color w:val="auto"/>
                <w:szCs w:val="22"/>
                <w:lang w:val="pt-PT"/>
              </w:rPr>
              <w:t>5 </w:t>
            </w:r>
            <w:r w:rsidRPr="00110D6C">
              <w:rPr>
                <w:rFonts w:cs="Times New Roman"/>
                <w:color w:val="auto"/>
                <w:szCs w:val="22"/>
                <w:lang w:val="pt-PT"/>
              </w:rPr>
              <w:t>e ACR20, N</w:t>
            </w:r>
            <w:r w:rsidR="00E77794" w:rsidRPr="00110D6C">
              <w:rPr>
                <w:rFonts w:cs="Times New Roman"/>
                <w:color w:val="auto"/>
                <w:szCs w:val="22"/>
                <w:lang w:val="pt-PT"/>
              </w:rPr>
              <w:t> </w:t>
            </w:r>
            <w:r w:rsidRPr="00110D6C">
              <w:rPr>
                <w:rFonts w:cs="Times New Roman"/>
                <w:color w:val="auto"/>
                <w:szCs w:val="22"/>
                <w:lang w:val="pt-PT"/>
              </w:rPr>
              <w:t>(%)</w:t>
            </w:r>
          </w:p>
        </w:tc>
        <w:tc>
          <w:tcPr>
            <w:tcW w:w="1105" w:type="dxa"/>
            <w:tcBorders>
              <w:top w:val="single" w:sz="4" w:space="0" w:color="auto"/>
              <w:left w:val="single" w:sz="4" w:space="0" w:color="auto"/>
            </w:tcBorders>
            <w:shd w:val="clear" w:color="auto" w:fill="auto"/>
          </w:tcPr>
          <w:p w14:paraId="41AC2242" w14:textId="77777777" w:rsidR="0077031F" w:rsidRPr="00110D6C" w:rsidRDefault="00B910F9" w:rsidP="00E77794">
            <w:pPr>
              <w:widowControl/>
              <w:jc w:val="center"/>
              <w:rPr>
                <w:rFonts w:cs="Times New Roman"/>
                <w:color w:val="auto"/>
                <w:szCs w:val="22"/>
                <w:lang w:val="pt-PT"/>
              </w:rPr>
            </w:pPr>
            <w:r w:rsidRPr="00110D6C">
              <w:rPr>
                <w:rFonts w:cs="Times New Roman"/>
                <w:color w:val="auto"/>
                <w:szCs w:val="22"/>
                <w:lang w:val="pt-PT"/>
              </w:rPr>
              <w:t>8</w:t>
            </w:r>
            <w:r w:rsidR="00E77794" w:rsidRPr="00110D6C">
              <w:rPr>
                <w:rFonts w:cs="Times New Roman"/>
                <w:color w:val="auto"/>
                <w:szCs w:val="22"/>
                <w:lang w:val="pt-PT"/>
              </w:rPr>
              <w:t xml:space="preserve"> </w:t>
            </w:r>
            <w:r w:rsidR="00030085" w:rsidRPr="00110D6C">
              <w:rPr>
                <w:rFonts w:cs="Times New Roman"/>
                <w:color w:val="auto"/>
                <w:szCs w:val="22"/>
                <w:lang w:val="pt-PT"/>
              </w:rPr>
              <w:t>(5%)</w:t>
            </w:r>
          </w:p>
        </w:tc>
        <w:tc>
          <w:tcPr>
            <w:tcW w:w="1105" w:type="dxa"/>
            <w:tcBorders>
              <w:top w:val="single" w:sz="4" w:space="0" w:color="auto"/>
              <w:left w:val="single" w:sz="4" w:space="0" w:color="auto"/>
            </w:tcBorders>
            <w:shd w:val="clear" w:color="auto" w:fill="auto"/>
          </w:tcPr>
          <w:p w14:paraId="03AB0670"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4</w:t>
            </w:r>
            <w:r w:rsidR="00B910F9" w:rsidRPr="00110D6C">
              <w:rPr>
                <w:rFonts w:cs="Times New Roman"/>
                <w:color w:val="auto"/>
                <w:szCs w:val="22"/>
                <w:lang w:val="pt-PT"/>
              </w:rPr>
              <w:t>0</w:t>
            </w:r>
            <w:r w:rsidR="00E77794" w:rsidRPr="00110D6C">
              <w:rPr>
                <w:rFonts w:cs="Times New Roman"/>
                <w:color w:val="auto"/>
                <w:szCs w:val="22"/>
                <w:lang w:val="pt-PT"/>
              </w:rPr>
              <w:t xml:space="preserve"> </w:t>
            </w:r>
            <w:r w:rsidRPr="00110D6C">
              <w:rPr>
                <w:rFonts w:cs="Times New Roman"/>
                <w:color w:val="auto"/>
                <w:szCs w:val="22"/>
                <w:lang w:val="pt-PT"/>
              </w:rPr>
              <w:t>(28%)</w:t>
            </w:r>
            <w:r w:rsidRPr="00110D6C">
              <w:rPr>
                <w:rFonts w:cs="Times New Roman"/>
                <w:color w:val="auto"/>
                <w:szCs w:val="22"/>
                <w:vertAlign w:val="superscript"/>
                <w:lang w:val="pt-PT"/>
              </w:rPr>
              <w:t>a</w:t>
            </w:r>
          </w:p>
        </w:tc>
        <w:tc>
          <w:tcPr>
            <w:tcW w:w="1105" w:type="dxa"/>
            <w:tcBorders>
              <w:top w:val="single" w:sz="4" w:space="0" w:color="auto"/>
              <w:left w:val="single" w:sz="4" w:space="0" w:color="auto"/>
            </w:tcBorders>
            <w:shd w:val="clear" w:color="auto" w:fill="auto"/>
          </w:tcPr>
          <w:p w14:paraId="53229C9A"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6</w:t>
            </w:r>
            <w:r w:rsidR="00B910F9" w:rsidRPr="00110D6C">
              <w:rPr>
                <w:rFonts w:cs="Times New Roman"/>
                <w:color w:val="auto"/>
                <w:szCs w:val="22"/>
                <w:lang w:val="pt-PT"/>
              </w:rPr>
              <w:t>2</w:t>
            </w:r>
            <w:r w:rsidR="00E77794" w:rsidRPr="00110D6C">
              <w:rPr>
                <w:rFonts w:cs="Times New Roman"/>
                <w:color w:val="auto"/>
                <w:szCs w:val="22"/>
                <w:lang w:val="pt-PT"/>
              </w:rPr>
              <w:t xml:space="preserve"> </w:t>
            </w:r>
            <w:r w:rsidRPr="00110D6C">
              <w:rPr>
                <w:rFonts w:cs="Times New Roman"/>
                <w:color w:val="auto"/>
                <w:szCs w:val="22"/>
                <w:lang w:val="pt-PT"/>
              </w:rPr>
              <w:t>(42%)</w:t>
            </w:r>
            <w:r w:rsidRPr="00110D6C">
              <w:rPr>
                <w:rFonts w:cs="Times New Roman"/>
                <w:color w:val="auto"/>
                <w:szCs w:val="22"/>
                <w:vertAlign w:val="superscript"/>
                <w:lang w:val="pt-PT"/>
              </w:rPr>
              <w:t>a</w:t>
            </w:r>
          </w:p>
        </w:tc>
        <w:tc>
          <w:tcPr>
            <w:tcW w:w="1105" w:type="dxa"/>
            <w:tcBorders>
              <w:top w:val="single" w:sz="4" w:space="0" w:color="auto"/>
              <w:left w:val="single" w:sz="4" w:space="0" w:color="auto"/>
            </w:tcBorders>
            <w:shd w:val="clear" w:color="auto" w:fill="auto"/>
          </w:tcPr>
          <w:p w14:paraId="71DE9656" w14:textId="77777777" w:rsidR="0077031F" w:rsidRPr="00110D6C" w:rsidRDefault="00B910F9" w:rsidP="00E77794">
            <w:pPr>
              <w:widowControl/>
              <w:jc w:val="center"/>
              <w:rPr>
                <w:rFonts w:cs="Times New Roman"/>
                <w:color w:val="auto"/>
                <w:szCs w:val="22"/>
                <w:lang w:val="pt-PT"/>
              </w:rPr>
            </w:pPr>
            <w:r w:rsidRPr="00110D6C">
              <w:rPr>
                <w:rFonts w:cs="Times New Roman"/>
                <w:color w:val="auto"/>
                <w:szCs w:val="22"/>
                <w:lang w:val="pt-PT"/>
              </w:rPr>
              <w:t>2</w:t>
            </w:r>
            <w:r w:rsidR="00E77794" w:rsidRPr="00110D6C">
              <w:rPr>
                <w:rFonts w:cs="Times New Roman"/>
                <w:color w:val="auto"/>
                <w:szCs w:val="22"/>
                <w:lang w:val="pt-PT"/>
              </w:rPr>
              <w:t xml:space="preserve"> </w:t>
            </w:r>
            <w:r w:rsidR="00030085" w:rsidRPr="00110D6C">
              <w:rPr>
                <w:rFonts w:cs="Times New Roman"/>
                <w:color w:val="auto"/>
                <w:szCs w:val="22"/>
                <w:lang w:val="pt-PT"/>
              </w:rPr>
              <w:t>(3%)</w:t>
            </w:r>
          </w:p>
        </w:tc>
        <w:tc>
          <w:tcPr>
            <w:tcW w:w="1105" w:type="dxa"/>
            <w:tcBorders>
              <w:top w:val="single" w:sz="4" w:space="0" w:color="auto"/>
              <w:left w:val="single" w:sz="4" w:space="0" w:color="auto"/>
            </w:tcBorders>
            <w:shd w:val="clear" w:color="auto" w:fill="auto"/>
          </w:tcPr>
          <w:p w14:paraId="033A4BA5"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2</w:t>
            </w:r>
            <w:r w:rsidR="00B910F9" w:rsidRPr="00110D6C">
              <w:rPr>
                <w:rFonts w:cs="Times New Roman"/>
                <w:color w:val="auto"/>
                <w:szCs w:val="22"/>
                <w:lang w:val="pt-PT"/>
              </w:rPr>
              <w:t>4</w:t>
            </w:r>
            <w:r w:rsidR="00E77794" w:rsidRPr="00110D6C">
              <w:rPr>
                <w:rFonts w:cs="Times New Roman"/>
                <w:color w:val="auto"/>
                <w:szCs w:val="22"/>
                <w:lang w:val="pt-PT"/>
              </w:rPr>
              <w:t xml:space="preserve"> </w:t>
            </w:r>
            <w:r w:rsidRPr="00110D6C">
              <w:rPr>
                <w:rFonts w:cs="Times New Roman"/>
                <w:color w:val="auto"/>
                <w:szCs w:val="22"/>
                <w:lang w:val="pt-PT"/>
              </w:rPr>
              <w:t>(30%)</w:t>
            </w:r>
            <w:r w:rsidRPr="00110D6C">
              <w:rPr>
                <w:rFonts w:cs="Times New Roman"/>
                <w:color w:val="auto"/>
                <w:szCs w:val="22"/>
                <w:vertAlign w:val="superscript"/>
                <w:lang w:val="pt-PT"/>
              </w:rPr>
              <w:t>a</w:t>
            </w:r>
          </w:p>
        </w:tc>
        <w:tc>
          <w:tcPr>
            <w:tcW w:w="1106" w:type="dxa"/>
            <w:tcBorders>
              <w:top w:val="single" w:sz="4" w:space="0" w:color="auto"/>
              <w:left w:val="single" w:sz="4" w:space="0" w:color="auto"/>
              <w:right w:val="single" w:sz="4" w:space="0" w:color="auto"/>
            </w:tcBorders>
            <w:shd w:val="clear" w:color="auto" w:fill="auto"/>
          </w:tcPr>
          <w:p w14:paraId="6E74A9B8"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3</w:t>
            </w:r>
            <w:r w:rsidR="00B910F9" w:rsidRPr="00110D6C">
              <w:rPr>
                <w:rFonts w:cs="Times New Roman"/>
                <w:color w:val="auto"/>
                <w:szCs w:val="22"/>
                <w:lang w:val="pt-PT"/>
              </w:rPr>
              <w:t>1</w:t>
            </w:r>
            <w:r w:rsidR="00E77794" w:rsidRPr="00110D6C">
              <w:rPr>
                <w:rFonts w:cs="Times New Roman"/>
                <w:color w:val="auto"/>
                <w:szCs w:val="22"/>
                <w:lang w:val="pt-PT"/>
              </w:rPr>
              <w:t xml:space="preserve"> </w:t>
            </w:r>
            <w:r w:rsidRPr="00110D6C">
              <w:rPr>
                <w:rFonts w:cs="Times New Roman"/>
                <w:color w:val="auto"/>
                <w:szCs w:val="22"/>
                <w:lang w:val="pt-PT"/>
              </w:rPr>
              <w:t>(38%)</w:t>
            </w:r>
            <w:r w:rsidRPr="00110D6C">
              <w:rPr>
                <w:rFonts w:cs="Times New Roman"/>
                <w:color w:val="auto"/>
                <w:szCs w:val="22"/>
                <w:vertAlign w:val="superscript"/>
                <w:lang w:val="pt-PT"/>
              </w:rPr>
              <w:t>a</w:t>
            </w:r>
          </w:p>
        </w:tc>
      </w:tr>
      <w:tr w:rsidR="0077031F" w:rsidRPr="00110D6C" w14:paraId="2188C204" w14:textId="77777777" w:rsidTr="00E77794">
        <w:tc>
          <w:tcPr>
            <w:tcW w:w="2446" w:type="dxa"/>
            <w:tcBorders>
              <w:top w:val="single" w:sz="4" w:space="0" w:color="auto"/>
              <w:left w:val="single" w:sz="4" w:space="0" w:color="auto"/>
            </w:tcBorders>
            <w:shd w:val="clear" w:color="auto" w:fill="auto"/>
          </w:tcPr>
          <w:p w14:paraId="6BA91EE6" w14:textId="77777777" w:rsidR="0077031F" w:rsidRPr="00110D6C" w:rsidRDefault="0077031F" w:rsidP="00E77794">
            <w:pPr>
              <w:widowControl/>
              <w:rPr>
                <w:rFonts w:cs="Times New Roman"/>
                <w:color w:val="auto"/>
                <w:szCs w:val="22"/>
                <w:lang w:val="pt-PT"/>
              </w:rPr>
            </w:pPr>
          </w:p>
        </w:tc>
        <w:tc>
          <w:tcPr>
            <w:tcW w:w="1105" w:type="dxa"/>
            <w:tcBorders>
              <w:top w:val="single" w:sz="4" w:space="0" w:color="auto"/>
              <w:left w:val="single" w:sz="4" w:space="0" w:color="auto"/>
            </w:tcBorders>
            <w:shd w:val="clear" w:color="auto" w:fill="auto"/>
          </w:tcPr>
          <w:p w14:paraId="5213428F" w14:textId="77777777" w:rsidR="0077031F" w:rsidRPr="00110D6C" w:rsidRDefault="0077031F" w:rsidP="00E77794">
            <w:pPr>
              <w:widowControl/>
              <w:jc w:val="center"/>
              <w:rPr>
                <w:rFonts w:cs="Times New Roman"/>
                <w:color w:val="auto"/>
                <w:szCs w:val="22"/>
                <w:lang w:val="pt-PT"/>
              </w:rPr>
            </w:pPr>
          </w:p>
        </w:tc>
        <w:tc>
          <w:tcPr>
            <w:tcW w:w="1105" w:type="dxa"/>
            <w:tcBorders>
              <w:top w:val="single" w:sz="4" w:space="0" w:color="auto"/>
              <w:left w:val="single" w:sz="4" w:space="0" w:color="auto"/>
            </w:tcBorders>
            <w:shd w:val="clear" w:color="auto" w:fill="auto"/>
          </w:tcPr>
          <w:p w14:paraId="47ED3C18" w14:textId="77777777" w:rsidR="0077031F" w:rsidRPr="00110D6C" w:rsidRDefault="0077031F" w:rsidP="00E77794">
            <w:pPr>
              <w:widowControl/>
              <w:jc w:val="center"/>
              <w:rPr>
                <w:rFonts w:cs="Times New Roman"/>
                <w:color w:val="auto"/>
                <w:szCs w:val="22"/>
                <w:lang w:val="pt-PT"/>
              </w:rPr>
            </w:pPr>
          </w:p>
        </w:tc>
        <w:tc>
          <w:tcPr>
            <w:tcW w:w="1105" w:type="dxa"/>
            <w:tcBorders>
              <w:top w:val="single" w:sz="4" w:space="0" w:color="auto"/>
              <w:left w:val="single" w:sz="4" w:space="0" w:color="auto"/>
            </w:tcBorders>
            <w:shd w:val="clear" w:color="auto" w:fill="auto"/>
          </w:tcPr>
          <w:p w14:paraId="73273DE1" w14:textId="77777777" w:rsidR="0077031F" w:rsidRPr="00110D6C" w:rsidRDefault="0077031F" w:rsidP="00E77794">
            <w:pPr>
              <w:widowControl/>
              <w:jc w:val="center"/>
              <w:rPr>
                <w:rFonts w:cs="Times New Roman"/>
                <w:color w:val="auto"/>
                <w:szCs w:val="22"/>
                <w:lang w:val="pt-PT"/>
              </w:rPr>
            </w:pPr>
          </w:p>
        </w:tc>
        <w:tc>
          <w:tcPr>
            <w:tcW w:w="1105" w:type="dxa"/>
            <w:tcBorders>
              <w:top w:val="single" w:sz="4" w:space="0" w:color="auto"/>
              <w:left w:val="single" w:sz="4" w:space="0" w:color="auto"/>
            </w:tcBorders>
            <w:shd w:val="clear" w:color="auto" w:fill="auto"/>
          </w:tcPr>
          <w:p w14:paraId="437DE6C9" w14:textId="77777777" w:rsidR="0077031F" w:rsidRPr="00110D6C" w:rsidRDefault="0077031F" w:rsidP="00E77794">
            <w:pPr>
              <w:widowControl/>
              <w:jc w:val="center"/>
              <w:rPr>
                <w:rFonts w:cs="Times New Roman"/>
                <w:color w:val="auto"/>
                <w:szCs w:val="22"/>
                <w:lang w:val="pt-PT"/>
              </w:rPr>
            </w:pPr>
          </w:p>
        </w:tc>
        <w:tc>
          <w:tcPr>
            <w:tcW w:w="1105" w:type="dxa"/>
            <w:tcBorders>
              <w:top w:val="single" w:sz="4" w:space="0" w:color="auto"/>
              <w:left w:val="single" w:sz="4" w:space="0" w:color="auto"/>
            </w:tcBorders>
            <w:shd w:val="clear" w:color="auto" w:fill="auto"/>
          </w:tcPr>
          <w:p w14:paraId="500B8536" w14:textId="77777777" w:rsidR="0077031F" w:rsidRPr="00110D6C" w:rsidRDefault="0077031F" w:rsidP="00E77794">
            <w:pPr>
              <w:widowControl/>
              <w:jc w:val="center"/>
              <w:rPr>
                <w:rFonts w:cs="Times New Roman"/>
                <w:color w:val="auto"/>
                <w:szCs w:val="22"/>
                <w:lang w:val="pt-PT"/>
              </w:rPr>
            </w:pPr>
          </w:p>
        </w:tc>
        <w:tc>
          <w:tcPr>
            <w:tcW w:w="1106" w:type="dxa"/>
            <w:tcBorders>
              <w:top w:val="single" w:sz="4" w:space="0" w:color="auto"/>
              <w:left w:val="single" w:sz="4" w:space="0" w:color="auto"/>
              <w:right w:val="single" w:sz="4" w:space="0" w:color="auto"/>
            </w:tcBorders>
            <w:shd w:val="clear" w:color="auto" w:fill="auto"/>
          </w:tcPr>
          <w:p w14:paraId="65023A70" w14:textId="77777777" w:rsidR="0077031F" w:rsidRPr="00110D6C" w:rsidRDefault="0077031F" w:rsidP="00E77794">
            <w:pPr>
              <w:widowControl/>
              <w:jc w:val="center"/>
              <w:rPr>
                <w:rFonts w:cs="Times New Roman"/>
                <w:color w:val="auto"/>
                <w:szCs w:val="22"/>
                <w:lang w:val="pt-PT"/>
              </w:rPr>
            </w:pPr>
          </w:p>
        </w:tc>
      </w:tr>
      <w:tr w:rsidR="0077031F" w:rsidRPr="00110D6C" w14:paraId="1A96C8F0" w14:textId="77777777" w:rsidTr="00E77794">
        <w:tc>
          <w:tcPr>
            <w:tcW w:w="2446" w:type="dxa"/>
            <w:tcBorders>
              <w:top w:val="single" w:sz="4" w:space="0" w:color="auto"/>
              <w:left w:val="single" w:sz="4" w:space="0" w:color="auto"/>
            </w:tcBorders>
            <w:shd w:val="clear" w:color="auto" w:fill="auto"/>
          </w:tcPr>
          <w:p w14:paraId="1687D970" w14:textId="77777777" w:rsidR="0077031F" w:rsidRPr="00110D6C" w:rsidRDefault="00030085" w:rsidP="00F5387C">
            <w:pPr>
              <w:widowControl/>
              <w:rPr>
                <w:rFonts w:cs="Times New Roman"/>
                <w:color w:val="auto"/>
                <w:szCs w:val="22"/>
                <w:lang w:val="pt-PT"/>
              </w:rPr>
            </w:pPr>
            <w:r w:rsidRPr="00110D6C">
              <w:rPr>
                <w:rFonts w:cs="Times New Roman"/>
                <w:b/>
                <w:bCs/>
                <w:color w:val="auto"/>
                <w:szCs w:val="22"/>
                <w:lang w:val="pt-PT"/>
              </w:rPr>
              <w:t>Nº de doentes com ≤</w:t>
            </w:r>
            <w:r w:rsidR="00F5387C" w:rsidRPr="00110D6C">
              <w:rPr>
                <w:rFonts w:cs="Times New Roman"/>
                <w:b/>
                <w:bCs/>
                <w:color w:val="auto"/>
                <w:szCs w:val="22"/>
                <w:lang w:val="pt-PT"/>
              </w:rPr>
              <w:t> </w:t>
            </w:r>
            <w:r w:rsidRPr="00110D6C">
              <w:rPr>
                <w:rFonts w:cs="Times New Roman"/>
                <w:b/>
                <w:bCs/>
                <w:color w:val="auto"/>
                <w:szCs w:val="22"/>
                <w:lang w:val="pt-PT"/>
              </w:rPr>
              <w:t>10</w:t>
            </w:r>
            <w:r w:rsidR="00B910F9" w:rsidRPr="00110D6C">
              <w:rPr>
                <w:rFonts w:cs="Times New Roman"/>
                <w:b/>
                <w:bCs/>
                <w:color w:val="auto"/>
                <w:szCs w:val="22"/>
                <w:lang w:val="pt-PT"/>
              </w:rPr>
              <w:t>0 </w:t>
            </w:r>
            <w:r w:rsidRPr="00110D6C">
              <w:rPr>
                <w:rFonts w:cs="Times New Roman"/>
                <w:b/>
                <w:bCs/>
                <w:color w:val="auto"/>
                <w:szCs w:val="22"/>
                <w:lang w:val="pt-PT"/>
              </w:rPr>
              <w:t>kg</w:t>
            </w:r>
          </w:p>
        </w:tc>
        <w:tc>
          <w:tcPr>
            <w:tcW w:w="1105" w:type="dxa"/>
            <w:tcBorders>
              <w:top w:val="single" w:sz="4" w:space="0" w:color="auto"/>
              <w:left w:val="single" w:sz="4" w:space="0" w:color="auto"/>
            </w:tcBorders>
            <w:shd w:val="clear" w:color="auto" w:fill="auto"/>
          </w:tcPr>
          <w:p w14:paraId="74AD6A30"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154</w:t>
            </w:r>
          </w:p>
        </w:tc>
        <w:tc>
          <w:tcPr>
            <w:tcW w:w="1105" w:type="dxa"/>
            <w:tcBorders>
              <w:top w:val="single" w:sz="4" w:space="0" w:color="auto"/>
              <w:left w:val="single" w:sz="4" w:space="0" w:color="auto"/>
            </w:tcBorders>
            <w:shd w:val="clear" w:color="auto" w:fill="auto"/>
          </w:tcPr>
          <w:p w14:paraId="3BCF9EBC"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153</w:t>
            </w:r>
          </w:p>
        </w:tc>
        <w:tc>
          <w:tcPr>
            <w:tcW w:w="1105" w:type="dxa"/>
            <w:tcBorders>
              <w:top w:val="single" w:sz="4" w:space="0" w:color="auto"/>
              <w:left w:val="single" w:sz="4" w:space="0" w:color="auto"/>
            </w:tcBorders>
            <w:shd w:val="clear" w:color="auto" w:fill="auto"/>
          </w:tcPr>
          <w:p w14:paraId="27097055"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154</w:t>
            </w:r>
          </w:p>
        </w:tc>
        <w:tc>
          <w:tcPr>
            <w:tcW w:w="1105" w:type="dxa"/>
            <w:tcBorders>
              <w:top w:val="single" w:sz="4" w:space="0" w:color="auto"/>
              <w:left w:val="single" w:sz="4" w:space="0" w:color="auto"/>
            </w:tcBorders>
            <w:shd w:val="clear" w:color="auto" w:fill="auto"/>
          </w:tcPr>
          <w:p w14:paraId="30274525"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74</w:t>
            </w:r>
          </w:p>
        </w:tc>
        <w:tc>
          <w:tcPr>
            <w:tcW w:w="1105" w:type="dxa"/>
            <w:tcBorders>
              <w:top w:val="single" w:sz="4" w:space="0" w:color="auto"/>
              <w:left w:val="single" w:sz="4" w:space="0" w:color="auto"/>
            </w:tcBorders>
            <w:shd w:val="clear" w:color="auto" w:fill="auto"/>
          </w:tcPr>
          <w:p w14:paraId="6D94753B"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74</w:t>
            </w:r>
          </w:p>
        </w:tc>
        <w:tc>
          <w:tcPr>
            <w:tcW w:w="1106" w:type="dxa"/>
            <w:tcBorders>
              <w:top w:val="single" w:sz="4" w:space="0" w:color="auto"/>
              <w:left w:val="single" w:sz="4" w:space="0" w:color="auto"/>
              <w:right w:val="single" w:sz="4" w:space="0" w:color="auto"/>
            </w:tcBorders>
            <w:shd w:val="clear" w:color="auto" w:fill="auto"/>
          </w:tcPr>
          <w:p w14:paraId="73623BA3"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73</w:t>
            </w:r>
          </w:p>
        </w:tc>
      </w:tr>
      <w:tr w:rsidR="0077031F" w:rsidRPr="00110D6C" w14:paraId="13CEF535" w14:textId="77777777" w:rsidTr="00E77794">
        <w:tc>
          <w:tcPr>
            <w:tcW w:w="2446" w:type="dxa"/>
            <w:tcBorders>
              <w:top w:val="single" w:sz="4" w:space="0" w:color="auto"/>
              <w:left w:val="single" w:sz="4" w:space="0" w:color="auto"/>
            </w:tcBorders>
            <w:shd w:val="clear" w:color="auto" w:fill="auto"/>
          </w:tcPr>
          <w:p w14:paraId="25A7683F"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Resposta ACR 20, N (%)</w:t>
            </w:r>
          </w:p>
        </w:tc>
        <w:tc>
          <w:tcPr>
            <w:tcW w:w="1105" w:type="dxa"/>
            <w:tcBorders>
              <w:top w:val="single" w:sz="4" w:space="0" w:color="auto"/>
              <w:left w:val="single" w:sz="4" w:space="0" w:color="auto"/>
            </w:tcBorders>
            <w:shd w:val="clear" w:color="auto" w:fill="auto"/>
          </w:tcPr>
          <w:p w14:paraId="2256F030"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3</w:t>
            </w:r>
            <w:r w:rsidR="00B910F9" w:rsidRPr="00110D6C">
              <w:rPr>
                <w:rFonts w:cs="Times New Roman"/>
                <w:color w:val="auto"/>
                <w:szCs w:val="22"/>
                <w:lang w:val="pt-PT"/>
              </w:rPr>
              <w:t>9</w:t>
            </w:r>
            <w:r w:rsidR="00E77794" w:rsidRPr="00110D6C">
              <w:rPr>
                <w:rFonts w:cs="Times New Roman"/>
                <w:color w:val="auto"/>
                <w:szCs w:val="22"/>
                <w:lang w:val="pt-PT"/>
              </w:rPr>
              <w:t xml:space="preserve"> </w:t>
            </w:r>
            <w:r w:rsidRPr="00110D6C">
              <w:rPr>
                <w:rFonts w:cs="Times New Roman"/>
                <w:color w:val="auto"/>
                <w:szCs w:val="22"/>
                <w:lang w:val="pt-PT"/>
              </w:rPr>
              <w:t>(25%)</w:t>
            </w:r>
          </w:p>
        </w:tc>
        <w:tc>
          <w:tcPr>
            <w:tcW w:w="1105" w:type="dxa"/>
            <w:tcBorders>
              <w:top w:val="single" w:sz="4" w:space="0" w:color="auto"/>
              <w:left w:val="single" w:sz="4" w:space="0" w:color="auto"/>
            </w:tcBorders>
            <w:shd w:val="clear" w:color="auto" w:fill="auto"/>
          </w:tcPr>
          <w:p w14:paraId="7C4916DC"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6</w:t>
            </w:r>
            <w:r w:rsidR="00B910F9" w:rsidRPr="00110D6C">
              <w:rPr>
                <w:rFonts w:cs="Times New Roman"/>
                <w:color w:val="auto"/>
                <w:szCs w:val="22"/>
                <w:lang w:val="pt-PT"/>
              </w:rPr>
              <w:t>7</w:t>
            </w:r>
            <w:r w:rsidR="00E77794" w:rsidRPr="00110D6C">
              <w:rPr>
                <w:rFonts w:cs="Times New Roman"/>
                <w:color w:val="auto"/>
                <w:szCs w:val="22"/>
                <w:lang w:val="pt-PT"/>
              </w:rPr>
              <w:t xml:space="preserve"> </w:t>
            </w:r>
            <w:r w:rsidRPr="00110D6C">
              <w:rPr>
                <w:rFonts w:cs="Times New Roman"/>
                <w:color w:val="auto"/>
                <w:szCs w:val="22"/>
                <w:lang w:val="pt-PT"/>
              </w:rPr>
              <w:t>(44%)</w:t>
            </w:r>
          </w:p>
        </w:tc>
        <w:tc>
          <w:tcPr>
            <w:tcW w:w="1105" w:type="dxa"/>
            <w:tcBorders>
              <w:top w:val="single" w:sz="4" w:space="0" w:color="auto"/>
              <w:left w:val="single" w:sz="4" w:space="0" w:color="auto"/>
            </w:tcBorders>
            <w:shd w:val="clear" w:color="auto" w:fill="auto"/>
          </w:tcPr>
          <w:p w14:paraId="1AFEE352"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7</w:t>
            </w:r>
            <w:r w:rsidR="00B910F9" w:rsidRPr="00110D6C">
              <w:rPr>
                <w:rFonts w:cs="Times New Roman"/>
                <w:color w:val="auto"/>
                <w:szCs w:val="22"/>
                <w:lang w:val="pt-PT"/>
              </w:rPr>
              <w:t>8</w:t>
            </w:r>
            <w:r w:rsidR="00E77794" w:rsidRPr="00110D6C">
              <w:rPr>
                <w:rFonts w:cs="Times New Roman"/>
                <w:color w:val="auto"/>
                <w:szCs w:val="22"/>
                <w:lang w:val="pt-PT"/>
              </w:rPr>
              <w:t xml:space="preserve"> </w:t>
            </w:r>
            <w:r w:rsidRPr="00110D6C">
              <w:rPr>
                <w:rFonts w:cs="Times New Roman"/>
                <w:color w:val="auto"/>
                <w:szCs w:val="22"/>
                <w:lang w:val="pt-PT"/>
              </w:rPr>
              <w:t>(51%)</w:t>
            </w:r>
          </w:p>
        </w:tc>
        <w:tc>
          <w:tcPr>
            <w:tcW w:w="1105" w:type="dxa"/>
            <w:tcBorders>
              <w:top w:val="single" w:sz="4" w:space="0" w:color="auto"/>
              <w:left w:val="single" w:sz="4" w:space="0" w:color="auto"/>
            </w:tcBorders>
            <w:shd w:val="clear" w:color="auto" w:fill="auto"/>
          </w:tcPr>
          <w:p w14:paraId="3F637BC2"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1</w:t>
            </w:r>
            <w:r w:rsidR="00B910F9" w:rsidRPr="00110D6C">
              <w:rPr>
                <w:rFonts w:cs="Times New Roman"/>
                <w:color w:val="auto"/>
                <w:szCs w:val="22"/>
                <w:lang w:val="pt-PT"/>
              </w:rPr>
              <w:t>7</w:t>
            </w:r>
            <w:r w:rsidR="00E77794" w:rsidRPr="00110D6C">
              <w:rPr>
                <w:rFonts w:cs="Times New Roman"/>
                <w:color w:val="auto"/>
                <w:szCs w:val="22"/>
                <w:lang w:val="pt-PT"/>
              </w:rPr>
              <w:t xml:space="preserve"> </w:t>
            </w:r>
            <w:r w:rsidRPr="00110D6C">
              <w:rPr>
                <w:rFonts w:cs="Times New Roman"/>
                <w:color w:val="auto"/>
                <w:szCs w:val="22"/>
                <w:lang w:val="pt-PT"/>
              </w:rPr>
              <w:t>(23%)</w:t>
            </w:r>
          </w:p>
        </w:tc>
        <w:tc>
          <w:tcPr>
            <w:tcW w:w="1105" w:type="dxa"/>
            <w:tcBorders>
              <w:top w:val="single" w:sz="4" w:space="0" w:color="auto"/>
              <w:left w:val="single" w:sz="4" w:space="0" w:color="auto"/>
            </w:tcBorders>
            <w:shd w:val="clear" w:color="auto" w:fill="auto"/>
          </w:tcPr>
          <w:p w14:paraId="668F9971"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3</w:t>
            </w:r>
            <w:r w:rsidR="00B910F9" w:rsidRPr="00110D6C">
              <w:rPr>
                <w:rFonts w:cs="Times New Roman"/>
                <w:color w:val="auto"/>
                <w:szCs w:val="22"/>
                <w:lang w:val="pt-PT"/>
              </w:rPr>
              <w:t>2</w:t>
            </w:r>
            <w:r w:rsidR="00E77794" w:rsidRPr="00110D6C">
              <w:rPr>
                <w:rFonts w:cs="Times New Roman"/>
                <w:color w:val="auto"/>
                <w:szCs w:val="22"/>
                <w:lang w:val="pt-PT"/>
              </w:rPr>
              <w:t xml:space="preserve"> </w:t>
            </w:r>
            <w:r w:rsidRPr="00110D6C">
              <w:rPr>
                <w:rFonts w:cs="Times New Roman"/>
                <w:color w:val="auto"/>
                <w:szCs w:val="22"/>
                <w:lang w:val="pt-PT"/>
              </w:rPr>
              <w:t>(43%)</w:t>
            </w:r>
          </w:p>
        </w:tc>
        <w:tc>
          <w:tcPr>
            <w:tcW w:w="1106" w:type="dxa"/>
            <w:tcBorders>
              <w:top w:val="single" w:sz="4" w:space="0" w:color="auto"/>
              <w:left w:val="single" w:sz="4" w:space="0" w:color="auto"/>
              <w:right w:val="single" w:sz="4" w:space="0" w:color="auto"/>
            </w:tcBorders>
            <w:shd w:val="clear" w:color="auto" w:fill="auto"/>
          </w:tcPr>
          <w:p w14:paraId="2DFE6755"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3</w:t>
            </w:r>
            <w:r w:rsidR="00B910F9" w:rsidRPr="00110D6C">
              <w:rPr>
                <w:rFonts w:cs="Times New Roman"/>
                <w:color w:val="auto"/>
                <w:szCs w:val="22"/>
                <w:lang w:val="pt-PT"/>
              </w:rPr>
              <w:t>4</w:t>
            </w:r>
            <w:r w:rsidR="00E77794" w:rsidRPr="00110D6C">
              <w:rPr>
                <w:rFonts w:cs="Times New Roman"/>
                <w:color w:val="auto"/>
                <w:szCs w:val="22"/>
                <w:lang w:val="pt-PT"/>
              </w:rPr>
              <w:t xml:space="preserve"> </w:t>
            </w:r>
            <w:r w:rsidRPr="00110D6C">
              <w:rPr>
                <w:rFonts w:cs="Times New Roman"/>
                <w:color w:val="auto"/>
                <w:szCs w:val="22"/>
                <w:lang w:val="pt-PT"/>
              </w:rPr>
              <w:t>(47%)</w:t>
            </w:r>
          </w:p>
        </w:tc>
      </w:tr>
      <w:tr w:rsidR="0077031F" w:rsidRPr="00110D6C" w14:paraId="090C30E9" w14:textId="77777777" w:rsidTr="00E77794">
        <w:tc>
          <w:tcPr>
            <w:tcW w:w="2446" w:type="dxa"/>
            <w:tcBorders>
              <w:top w:val="single" w:sz="4" w:space="0" w:color="auto"/>
              <w:left w:val="single" w:sz="4" w:space="0" w:color="auto"/>
            </w:tcBorders>
            <w:shd w:val="clear" w:color="auto" w:fill="auto"/>
          </w:tcPr>
          <w:p w14:paraId="05A1B71E" w14:textId="77777777" w:rsidR="0077031F" w:rsidRPr="00110D6C" w:rsidRDefault="00030085" w:rsidP="00E77794">
            <w:pPr>
              <w:widowControl/>
              <w:rPr>
                <w:rFonts w:cs="Times New Roman"/>
                <w:color w:val="auto"/>
                <w:szCs w:val="22"/>
                <w:lang w:val="pt-PT"/>
              </w:rPr>
            </w:pPr>
            <w:r w:rsidRPr="00110D6C">
              <w:rPr>
                <w:rFonts w:cs="Times New Roman"/>
                <w:i/>
                <w:iCs/>
                <w:color w:val="auto"/>
                <w:szCs w:val="22"/>
                <w:lang w:val="pt-PT"/>
              </w:rPr>
              <w:t>Nº de doentes com BSA ≥</w:t>
            </w:r>
            <w:r w:rsidR="00982985" w:rsidRPr="00110D6C">
              <w:rPr>
                <w:rFonts w:cs="Times New Roman"/>
                <w:i/>
                <w:iCs/>
                <w:color w:val="auto"/>
                <w:szCs w:val="22"/>
                <w:lang w:val="pt-PT"/>
              </w:rPr>
              <w:t> </w:t>
            </w:r>
            <w:r w:rsidRPr="00110D6C">
              <w:rPr>
                <w:rFonts w:cs="Times New Roman"/>
                <w:i/>
                <w:iCs/>
                <w:color w:val="auto"/>
                <w:szCs w:val="22"/>
                <w:lang w:val="pt-PT"/>
              </w:rPr>
              <w:t xml:space="preserve">3% </w:t>
            </w:r>
            <w:r w:rsidRPr="00110D6C">
              <w:rPr>
                <w:rFonts w:cs="Times New Roman"/>
                <w:i/>
                <w:iCs/>
                <w:color w:val="auto"/>
                <w:szCs w:val="22"/>
                <w:vertAlign w:val="superscript"/>
                <w:lang w:val="pt-PT"/>
              </w:rPr>
              <w:t>d</w:t>
            </w:r>
          </w:p>
        </w:tc>
        <w:tc>
          <w:tcPr>
            <w:tcW w:w="1105" w:type="dxa"/>
            <w:tcBorders>
              <w:top w:val="single" w:sz="4" w:space="0" w:color="auto"/>
              <w:left w:val="single" w:sz="4" w:space="0" w:color="auto"/>
            </w:tcBorders>
            <w:shd w:val="clear" w:color="auto" w:fill="auto"/>
          </w:tcPr>
          <w:p w14:paraId="27FAAA9B"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105</w:t>
            </w:r>
          </w:p>
        </w:tc>
        <w:tc>
          <w:tcPr>
            <w:tcW w:w="1105" w:type="dxa"/>
            <w:tcBorders>
              <w:top w:val="single" w:sz="4" w:space="0" w:color="auto"/>
              <w:left w:val="single" w:sz="4" w:space="0" w:color="auto"/>
            </w:tcBorders>
            <w:shd w:val="clear" w:color="auto" w:fill="auto"/>
          </w:tcPr>
          <w:p w14:paraId="566FB255"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105</w:t>
            </w:r>
          </w:p>
        </w:tc>
        <w:tc>
          <w:tcPr>
            <w:tcW w:w="1105" w:type="dxa"/>
            <w:tcBorders>
              <w:top w:val="single" w:sz="4" w:space="0" w:color="auto"/>
              <w:left w:val="single" w:sz="4" w:space="0" w:color="auto"/>
            </w:tcBorders>
            <w:shd w:val="clear" w:color="auto" w:fill="auto"/>
          </w:tcPr>
          <w:p w14:paraId="16193F4C"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111</w:t>
            </w:r>
          </w:p>
        </w:tc>
        <w:tc>
          <w:tcPr>
            <w:tcW w:w="1105" w:type="dxa"/>
            <w:tcBorders>
              <w:top w:val="single" w:sz="4" w:space="0" w:color="auto"/>
              <w:left w:val="single" w:sz="4" w:space="0" w:color="auto"/>
            </w:tcBorders>
            <w:shd w:val="clear" w:color="auto" w:fill="auto"/>
          </w:tcPr>
          <w:p w14:paraId="619E06F9"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54</w:t>
            </w:r>
          </w:p>
        </w:tc>
        <w:tc>
          <w:tcPr>
            <w:tcW w:w="1105" w:type="dxa"/>
            <w:tcBorders>
              <w:top w:val="single" w:sz="4" w:space="0" w:color="auto"/>
              <w:left w:val="single" w:sz="4" w:space="0" w:color="auto"/>
            </w:tcBorders>
            <w:shd w:val="clear" w:color="auto" w:fill="auto"/>
          </w:tcPr>
          <w:p w14:paraId="067E596C"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58</w:t>
            </w:r>
          </w:p>
        </w:tc>
        <w:tc>
          <w:tcPr>
            <w:tcW w:w="1106" w:type="dxa"/>
            <w:tcBorders>
              <w:top w:val="single" w:sz="4" w:space="0" w:color="auto"/>
              <w:left w:val="single" w:sz="4" w:space="0" w:color="auto"/>
              <w:right w:val="single" w:sz="4" w:space="0" w:color="auto"/>
            </w:tcBorders>
            <w:shd w:val="clear" w:color="auto" w:fill="auto"/>
          </w:tcPr>
          <w:p w14:paraId="38394B58"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57</w:t>
            </w:r>
          </w:p>
        </w:tc>
      </w:tr>
      <w:tr w:rsidR="0077031F" w:rsidRPr="00110D6C" w14:paraId="0808B479" w14:textId="77777777" w:rsidTr="00E77794">
        <w:tc>
          <w:tcPr>
            <w:tcW w:w="2446" w:type="dxa"/>
            <w:tcBorders>
              <w:top w:val="single" w:sz="4" w:space="0" w:color="auto"/>
              <w:left w:val="single" w:sz="4" w:space="0" w:color="auto"/>
            </w:tcBorders>
            <w:shd w:val="clear" w:color="auto" w:fill="auto"/>
          </w:tcPr>
          <w:p w14:paraId="33BD0821"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PASI 7</w:t>
            </w:r>
            <w:r w:rsidR="00B910F9" w:rsidRPr="00110D6C">
              <w:rPr>
                <w:rFonts w:cs="Times New Roman"/>
                <w:color w:val="auto"/>
                <w:szCs w:val="22"/>
                <w:lang w:val="pt-PT"/>
              </w:rPr>
              <w:t>5 </w:t>
            </w:r>
            <w:r w:rsidRPr="00110D6C">
              <w:rPr>
                <w:rFonts w:cs="Times New Roman"/>
                <w:color w:val="auto"/>
                <w:szCs w:val="22"/>
                <w:lang w:val="pt-PT"/>
              </w:rPr>
              <w:t>response, N (%)</w:t>
            </w:r>
          </w:p>
        </w:tc>
        <w:tc>
          <w:tcPr>
            <w:tcW w:w="1105" w:type="dxa"/>
            <w:tcBorders>
              <w:top w:val="single" w:sz="4" w:space="0" w:color="auto"/>
              <w:left w:val="single" w:sz="4" w:space="0" w:color="auto"/>
            </w:tcBorders>
            <w:shd w:val="clear" w:color="auto" w:fill="auto"/>
          </w:tcPr>
          <w:p w14:paraId="75ED9747"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1</w:t>
            </w:r>
            <w:r w:rsidR="00B910F9" w:rsidRPr="00110D6C">
              <w:rPr>
                <w:rFonts w:cs="Times New Roman"/>
                <w:color w:val="auto"/>
                <w:szCs w:val="22"/>
                <w:lang w:val="pt-PT"/>
              </w:rPr>
              <w:t>4</w:t>
            </w:r>
            <w:r w:rsidR="00E77794" w:rsidRPr="00110D6C">
              <w:rPr>
                <w:rFonts w:cs="Times New Roman"/>
                <w:color w:val="auto"/>
                <w:szCs w:val="22"/>
                <w:lang w:val="pt-PT"/>
              </w:rPr>
              <w:t xml:space="preserve"> </w:t>
            </w:r>
            <w:r w:rsidRPr="00110D6C">
              <w:rPr>
                <w:rFonts w:cs="Times New Roman"/>
                <w:color w:val="auto"/>
                <w:szCs w:val="22"/>
                <w:lang w:val="pt-PT"/>
              </w:rPr>
              <w:t>(13%)</w:t>
            </w:r>
          </w:p>
        </w:tc>
        <w:tc>
          <w:tcPr>
            <w:tcW w:w="1105" w:type="dxa"/>
            <w:tcBorders>
              <w:top w:val="single" w:sz="4" w:space="0" w:color="auto"/>
              <w:left w:val="single" w:sz="4" w:space="0" w:color="auto"/>
            </w:tcBorders>
            <w:shd w:val="clear" w:color="auto" w:fill="auto"/>
          </w:tcPr>
          <w:p w14:paraId="36D16EF6"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6</w:t>
            </w:r>
            <w:r w:rsidR="00B910F9" w:rsidRPr="00110D6C">
              <w:rPr>
                <w:rFonts w:cs="Times New Roman"/>
                <w:color w:val="auto"/>
                <w:szCs w:val="22"/>
                <w:lang w:val="pt-PT"/>
              </w:rPr>
              <w:t>4</w:t>
            </w:r>
            <w:r w:rsidR="00E77794" w:rsidRPr="00110D6C">
              <w:rPr>
                <w:rFonts w:cs="Times New Roman"/>
                <w:color w:val="auto"/>
                <w:szCs w:val="22"/>
                <w:lang w:val="pt-PT"/>
              </w:rPr>
              <w:t xml:space="preserve"> </w:t>
            </w:r>
            <w:r w:rsidRPr="00110D6C">
              <w:rPr>
                <w:rFonts w:cs="Times New Roman"/>
                <w:color w:val="auto"/>
                <w:szCs w:val="22"/>
                <w:lang w:val="pt-PT"/>
              </w:rPr>
              <w:t>(61%)</w:t>
            </w:r>
          </w:p>
        </w:tc>
        <w:tc>
          <w:tcPr>
            <w:tcW w:w="1105" w:type="dxa"/>
            <w:tcBorders>
              <w:top w:val="single" w:sz="4" w:space="0" w:color="auto"/>
              <w:left w:val="single" w:sz="4" w:space="0" w:color="auto"/>
            </w:tcBorders>
            <w:shd w:val="clear" w:color="auto" w:fill="auto"/>
          </w:tcPr>
          <w:p w14:paraId="1B9AAA10"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7</w:t>
            </w:r>
            <w:r w:rsidR="00B910F9" w:rsidRPr="00110D6C">
              <w:rPr>
                <w:rFonts w:cs="Times New Roman"/>
                <w:color w:val="auto"/>
                <w:szCs w:val="22"/>
                <w:lang w:val="pt-PT"/>
              </w:rPr>
              <w:t>3</w:t>
            </w:r>
            <w:r w:rsidR="00E77794" w:rsidRPr="00110D6C">
              <w:rPr>
                <w:rFonts w:cs="Times New Roman"/>
                <w:color w:val="auto"/>
                <w:szCs w:val="22"/>
                <w:lang w:val="pt-PT"/>
              </w:rPr>
              <w:t xml:space="preserve"> </w:t>
            </w:r>
            <w:r w:rsidRPr="00110D6C">
              <w:rPr>
                <w:rFonts w:cs="Times New Roman"/>
                <w:color w:val="auto"/>
                <w:szCs w:val="22"/>
                <w:lang w:val="pt-PT"/>
              </w:rPr>
              <w:t>(66%)</w:t>
            </w:r>
          </w:p>
        </w:tc>
        <w:tc>
          <w:tcPr>
            <w:tcW w:w="1105" w:type="dxa"/>
            <w:tcBorders>
              <w:top w:val="single" w:sz="4" w:space="0" w:color="auto"/>
              <w:left w:val="single" w:sz="4" w:space="0" w:color="auto"/>
            </w:tcBorders>
            <w:shd w:val="clear" w:color="auto" w:fill="auto"/>
          </w:tcPr>
          <w:p w14:paraId="177AE15C" w14:textId="77777777" w:rsidR="0077031F" w:rsidRPr="00110D6C" w:rsidRDefault="00B910F9" w:rsidP="00E77794">
            <w:pPr>
              <w:widowControl/>
              <w:jc w:val="center"/>
              <w:rPr>
                <w:rFonts w:cs="Times New Roman"/>
                <w:color w:val="auto"/>
                <w:szCs w:val="22"/>
                <w:lang w:val="pt-PT"/>
              </w:rPr>
            </w:pPr>
            <w:r w:rsidRPr="00110D6C">
              <w:rPr>
                <w:rFonts w:cs="Times New Roman"/>
                <w:color w:val="auto"/>
                <w:szCs w:val="22"/>
                <w:lang w:val="pt-PT"/>
              </w:rPr>
              <w:t>4</w:t>
            </w:r>
            <w:r w:rsidR="00E77794" w:rsidRPr="00110D6C">
              <w:rPr>
                <w:rFonts w:cs="Times New Roman"/>
                <w:color w:val="auto"/>
                <w:szCs w:val="22"/>
                <w:lang w:val="pt-PT"/>
              </w:rPr>
              <w:t xml:space="preserve"> </w:t>
            </w:r>
            <w:r w:rsidR="00030085" w:rsidRPr="00110D6C">
              <w:rPr>
                <w:rFonts w:cs="Times New Roman"/>
                <w:color w:val="auto"/>
                <w:szCs w:val="22"/>
                <w:lang w:val="pt-PT"/>
              </w:rPr>
              <w:t>(7%)</w:t>
            </w:r>
          </w:p>
        </w:tc>
        <w:tc>
          <w:tcPr>
            <w:tcW w:w="1105" w:type="dxa"/>
            <w:tcBorders>
              <w:top w:val="single" w:sz="4" w:space="0" w:color="auto"/>
              <w:left w:val="single" w:sz="4" w:space="0" w:color="auto"/>
            </w:tcBorders>
            <w:shd w:val="clear" w:color="auto" w:fill="auto"/>
          </w:tcPr>
          <w:p w14:paraId="60244D14"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3</w:t>
            </w:r>
            <w:r w:rsidR="00B910F9" w:rsidRPr="00110D6C">
              <w:rPr>
                <w:rFonts w:cs="Times New Roman"/>
                <w:color w:val="auto"/>
                <w:szCs w:val="22"/>
                <w:lang w:val="pt-PT"/>
              </w:rPr>
              <w:t>1</w:t>
            </w:r>
            <w:r w:rsidR="00E77794" w:rsidRPr="00110D6C">
              <w:rPr>
                <w:rFonts w:cs="Times New Roman"/>
                <w:color w:val="auto"/>
                <w:szCs w:val="22"/>
                <w:lang w:val="pt-PT"/>
              </w:rPr>
              <w:t xml:space="preserve"> </w:t>
            </w:r>
            <w:r w:rsidRPr="00110D6C">
              <w:rPr>
                <w:rFonts w:cs="Times New Roman"/>
                <w:color w:val="auto"/>
                <w:szCs w:val="22"/>
                <w:lang w:val="pt-PT"/>
              </w:rPr>
              <w:t>(53%)</w:t>
            </w:r>
          </w:p>
        </w:tc>
        <w:tc>
          <w:tcPr>
            <w:tcW w:w="1106" w:type="dxa"/>
            <w:tcBorders>
              <w:top w:val="single" w:sz="4" w:space="0" w:color="auto"/>
              <w:left w:val="single" w:sz="4" w:space="0" w:color="auto"/>
              <w:right w:val="single" w:sz="4" w:space="0" w:color="auto"/>
            </w:tcBorders>
            <w:shd w:val="clear" w:color="auto" w:fill="auto"/>
          </w:tcPr>
          <w:p w14:paraId="6BADDD1E"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3</w:t>
            </w:r>
            <w:r w:rsidR="00B910F9" w:rsidRPr="00110D6C">
              <w:rPr>
                <w:rFonts w:cs="Times New Roman"/>
                <w:color w:val="auto"/>
                <w:szCs w:val="22"/>
                <w:lang w:val="pt-PT"/>
              </w:rPr>
              <w:t>2</w:t>
            </w:r>
            <w:r w:rsidR="00E77794" w:rsidRPr="00110D6C">
              <w:rPr>
                <w:rFonts w:cs="Times New Roman"/>
                <w:color w:val="auto"/>
                <w:szCs w:val="22"/>
                <w:lang w:val="pt-PT"/>
              </w:rPr>
              <w:t xml:space="preserve"> </w:t>
            </w:r>
            <w:r w:rsidRPr="00110D6C">
              <w:rPr>
                <w:rFonts w:cs="Times New Roman"/>
                <w:color w:val="auto"/>
                <w:szCs w:val="22"/>
                <w:lang w:val="pt-PT"/>
              </w:rPr>
              <w:t>(56%)</w:t>
            </w:r>
          </w:p>
        </w:tc>
      </w:tr>
      <w:tr w:rsidR="0077031F" w:rsidRPr="00110D6C" w14:paraId="65B3748E" w14:textId="77777777" w:rsidTr="00E77794">
        <w:tc>
          <w:tcPr>
            <w:tcW w:w="2446" w:type="dxa"/>
            <w:tcBorders>
              <w:top w:val="single" w:sz="4" w:space="0" w:color="auto"/>
              <w:left w:val="single" w:sz="4" w:space="0" w:color="auto"/>
            </w:tcBorders>
            <w:shd w:val="clear" w:color="auto" w:fill="auto"/>
          </w:tcPr>
          <w:p w14:paraId="51004113" w14:textId="77777777" w:rsidR="0077031F" w:rsidRPr="00110D6C" w:rsidRDefault="00030085" w:rsidP="00F5387C">
            <w:pPr>
              <w:widowControl/>
              <w:rPr>
                <w:rFonts w:cs="Times New Roman"/>
                <w:color w:val="auto"/>
                <w:szCs w:val="22"/>
                <w:lang w:val="pt-PT"/>
              </w:rPr>
            </w:pPr>
            <w:r w:rsidRPr="00110D6C">
              <w:rPr>
                <w:rFonts w:cs="Times New Roman"/>
                <w:b/>
                <w:bCs/>
                <w:color w:val="auto"/>
                <w:szCs w:val="22"/>
                <w:lang w:val="pt-PT"/>
              </w:rPr>
              <w:t>Nº de doentes com &gt;</w:t>
            </w:r>
            <w:r w:rsidR="00F5387C" w:rsidRPr="00110D6C">
              <w:rPr>
                <w:rFonts w:cs="Times New Roman"/>
                <w:b/>
                <w:bCs/>
                <w:color w:val="auto"/>
                <w:szCs w:val="22"/>
                <w:lang w:val="pt-PT"/>
              </w:rPr>
              <w:t> </w:t>
            </w:r>
            <w:r w:rsidRPr="00110D6C">
              <w:rPr>
                <w:rFonts w:cs="Times New Roman"/>
                <w:b/>
                <w:bCs/>
                <w:color w:val="auto"/>
                <w:szCs w:val="22"/>
                <w:lang w:val="pt-PT"/>
              </w:rPr>
              <w:t>10</w:t>
            </w:r>
            <w:r w:rsidR="00B910F9" w:rsidRPr="00110D6C">
              <w:rPr>
                <w:rFonts w:cs="Times New Roman"/>
                <w:b/>
                <w:bCs/>
                <w:color w:val="auto"/>
                <w:szCs w:val="22"/>
                <w:lang w:val="pt-PT"/>
              </w:rPr>
              <w:t>0 </w:t>
            </w:r>
            <w:r w:rsidRPr="00110D6C">
              <w:rPr>
                <w:rFonts w:cs="Times New Roman"/>
                <w:b/>
                <w:bCs/>
                <w:color w:val="auto"/>
                <w:szCs w:val="22"/>
                <w:lang w:val="pt-PT"/>
              </w:rPr>
              <w:t>kg</w:t>
            </w:r>
          </w:p>
        </w:tc>
        <w:tc>
          <w:tcPr>
            <w:tcW w:w="1105" w:type="dxa"/>
            <w:tcBorders>
              <w:top w:val="single" w:sz="4" w:space="0" w:color="auto"/>
              <w:left w:val="single" w:sz="4" w:space="0" w:color="auto"/>
            </w:tcBorders>
            <w:shd w:val="clear" w:color="auto" w:fill="auto"/>
          </w:tcPr>
          <w:p w14:paraId="11CD5BCF"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52</w:t>
            </w:r>
          </w:p>
        </w:tc>
        <w:tc>
          <w:tcPr>
            <w:tcW w:w="1105" w:type="dxa"/>
            <w:tcBorders>
              <w:top w:val="single" w:sz="4" w:space="0" w:color="auto"/>
              <w:left w:val="single" w:sz="4" w:space="0" w:color="auto"/>
            </w:tcBorders>
            <w:shd w:val="clear" w:color="auto" w:fill="auto"/>
          </w:tcPr>
          <w:p w14:paraId="0E47C8E1"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52</w:t>
            </w:r>
          </w:p>
        </w:tc>
        <w:tc>
          <w:tcPr>
            <w:tcW w:w="1105" w:type="dxa"/>
            <w:tcBorders>
              <w:top w:val="single" w:sz="4" w:space="0" w:color="auto"/>
              <w:left w:val="single" w:sz="4" w:space="0" w:color="auto"/>
            </w:tcBorders>
            <w:shd w:val="clear" w:color="auto" w:fill="auto"/>
          </w:tcPr>
          <w:p w14:paraId="72F20773"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50</w:t>
            </w:r>
          </w:p>
        </w:tc>
        <w:tc>
          <w:tcPr>
            <w:tcW w:w="1105" w:type="dxa"/>
            <w:tcBorders>
              <w:top w:val="single" w:sz="4" w:space="0" w:color="auto"/>
              <w:left w:val="single" w:sz="4" w:space="0" w:color="auto"/>
            </w:tcBorders>
            <w:shd w:val="clear" w:color="auto" w:fill="auto"/>
          </w:tcPr>
          <w:p w14:paraId="4A14AAF5"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30</w:t>
            </w:r>
          </w:p>
        </w:tc>
        <w:tc>
          <w:tcPr>
            <w:tcW w:w="1105" w:type="dxa"/>
            <w:tcBorders>
              <w:top w:val="single" w:sz="4" w:space="0" w:color="auto"/>
              <w:left w:val="single" w:sz="4" w:space="0" w:color="auto"/>
            </w:tcBorders>
            <w:shd w:val="clear" w:color="auto" w:fill="auto"/>
          </w:tcPr>
          <w:p w14:paraId="15EF4D4D"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29</w:t>
            </w:r>
          </w:p>
        </w:tc>
        <w:tc>
          <w:tcPr>
            <w:tcW w:w="1106" w:type="dxa"/>
            <w:tcBorders>
              <w:top w:val="single" w:sz="4" w:space="0" w:color="auto"/>
              <w:left w:val="single" w:sz="4" w:space="0" w:color="auto"/>
              <w:right w:val="single" w:sz="4" w:space="0" w:color="auto"/>
            </w:tcBorders>
            <w:shd w:val="clear" w:color="auto" w:fill="auto"/>
          </w:tcPr>
          <w:p w14:paraId="187543B7"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31</w:t>
            </w:r>
          </w:p>
        </w:tc>
      </w:tr>
      <w:tr w:rsidR="0077031F" w:rsidRPr="00110D6C" w14:paraId="4AD792FA" w14:textId="77777777" w:rsidTr="00E77794">
        <w:tc>
          <w:tcPr>
            <w:tcW w:w="2446" w:type="dxa"/>
            <w:tcBorders>
              <w:top w:val="single" w:sz="4" w:space="0" w:color="auto"/>
              <w:left w:val="single" w:sz="4" w:space="0" w:color="auto"/>
            </w:tcBorders>
            <w:shd w:val="clear" w:color="auto" w:fill="auto"/>
          </w:tcPr>
          <w:p w14:paraId="308B6AD1"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Resposta ACR 20, N (%)</w:t>
            </w:r>
          </w:p>
        </w:tc>
        <w:tc>
          <w:tcPr>
            <w:tcW w:w="1105" w:type="dxa"/>
            <w:tcBorders>
              <w:top w:val="single" w:sz="4" w:space="0" w:color="auto"/>
              <w:left w:val="single" w:sz="4" w:space="0" w:color="auto"/>
            </w:tcBorders>
            <w:shd w:val="clear" w:color="auto" w:fill="auto"/>
          </w:tcPr>
          <w:p w14:paraId="6F8D97BC" w14:textId="77777777" w:rsidR="0077031F" w:rsidRPr="00110D6C" w:rsidRDefault="00B910F9" w:rsidP="00E77794">
            <w:pPr>
              <w:widowControl/>
              <w:jc w:val="center"/>
              <w:rPr>
                <w:rFonts w:cs="Times New Roman"/>
                <w:color w:val="auto"/>
                <w:szCs w:val="22"/>
                <w:lang w:val="pt-PT"/>
              </w:rPr>
            </w:pPr>
            <w:r w:rsidRPr="00110D6C">
              <w:rPr>
                <w:rFonts w:cs="Times New Roman"/>
                <w:color w:val="auto"/>
                <w:szCs w:val="22"/>
                <w:lang w:val="pt-PT"/>
              </w:rPr>
              <w:t>8</w:t>
            </w:r>
            <w:r w:rsidR="00E77794" w:rsidRPr="00110D6C">
              <w:rPr>
                <w:rFonts w:cs="Times New Roman"/>
                <w:color w:val="auto"/>
                <w:szCs w:val="22"/>
                <w:lang w:val="pt-PT"/>
              </w:rPr>
              <w:t xml:space="preserve"> </w:t>
            </w:r>
            <w:r w:rsidR="00030085" w:rsidRPr="00110D6C">
              <w:rPr>
                <w:rFonts w:cs="Times New Roman"/>
                <w:color w:val="auto"/>
                <w:szCs w:val="22"/>
                <w:lang w:val="pt-PT"/>
              </w:rPr>
              <w:t>(15%)</w:t>
            </w:r>
          </w:p>
        </w:tc>
        <w:tc>
          <w:tcPr>
            <w:tcW w:w="1105" w:type="dxa"/>
            <w:tcBorders>
              <w:top w:val="single" w:sz="4" w:space="0" w:color="auto"/>
              <w:left w:val="single" w:sz="4" w:space="0" w:color="auto"/>
            </w:tcBorders>
            <w:shd w:val="clear" w:color="auto" w:fill="auto"/>
          </w:tcPr>
          <w:p w14:paraId="2602EFE6"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2</w:t>
            </w:r>
            <w:r w:rsidR="00B910F9" w:rsidRPr="00110D6C">
              <w:rPr>
                <w:rFonts w:cs="Times New Roman"/>
                <w:color w:val="auto"/>
                <w:szCs w:val="22"/>
                <w:lang w:val="pt-PT"/>
              </w:rPr>
              <w:t>0</w:t>
            </w:r>
            <w:r w:rsidR="00E77794" w:rsidRPr="00110D6C">
              <w:rPr>
                <w:rFonts w:cs="Times New Roman"/>
                <w:color w:val="auto"/>
                <w:szCs w:val="22"/>
                <w:lang w:val="pt-PT"/>
              </w:rPr>
              <w:t xml:space="preserve"> </w:t>
            </w:r>
            <w:r w:rsidRPr="00110D6C">
              <w:rPr>
                <w:rFonts w:cs="Times New Roman"/>
                <w:color w:val="auto"/>
                <w:szCs w:val="22"/>
                <w:lang w:val="pt-PT"/>
              </w:rPr>
              <w:t>(38%)</w:t>
            </w:r>
          </w:p>
        </w:tc>
        <w:tc>
          <w:tcPr>
            <w:tcW w:w="1105" w:type="dxa"/>
            <w:tcBorders>
              <w:top w:val="single" w:sz="4" w:space="0" w:color="auto"/>
              <w:left w:val="single" w:sz="4" w:space="0" w:color="auto"/>
            </w:tcBorders>
            <w:shd w:val="clear" w:color="auto" w:fill="auto"/>
          </w:tcPr>
          <w:p w14:paraId="59BA13E9"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2</w:t>
            </w:r>
            <w:r w:rsidR="00B910F9" w:rsidRPr="00110D6C">
              <w:rPr>
                <w:rFonts w:cs="Times New Roman"/>
                <w:color w:val="auto"/>
                <w:szCs w:val="22"/>
                <w:lang w:val="pt-PT"/>
              </w:rPr>
              <w:t>3</w:t>
            </w:r>
            <w:r w:rsidR="00E77794" w:rsidRPr="00110D6C">
              <w:rPr>
                <w:rFonts w:cs="Times New Roman"/>
                <w:color w:val="auto"/>
                <w:szCs w:val="22"/>
                <w:lang w:val="pt-PT"/>
              </w:rPr>
              <w:t xml:space="preserve"> </w:t>
            </w:r>
            <w:r w:rsidRPr="00110D6C">
              <w:rPr>
                <w:rFonts w:cs="Times New Roman"/>
                <w:color w:val="auto"/>
                <w:szCs w:val="22"/>
                <w:lang w:val="pt-PT"/>
              </w:rPr>
              <w:t>(46%)</w:t>
            </w:r>
          </w:p>
        </w:tc>
        <w:tc>
          <w:tcPr>
            <w:tcW w:w="1105" w:type="dxa"/>
            <w:tcBorders>
              <w:top w:val="single" w:sz="4" w:space="0" w:color="auto"/>
              <w:left w:val="single" w:sz="4" w:space="0" w:color="auto"/>
            </w:tcBorders>
            <w:shd w:val="clear" w:color="auto" w:fill="auto"/>
          </w:tcPr>
          <w:p w14:paraId="529AA4D0" w14:textId="77777777" w:rsidR="0077031F" w:rsidRPr="00110D6C" w:rsidRDefault="00B910F9" w:rsidP="00E77794">
            <w:pPr>
              <w:widowControl/>
              <w:jc w:val="center"/>
              <w:rPr>
                <w:rFonts w:cs="Times New Roman"/>
                <w:color w:val="auto"/>
                <w:szCs w:val="22"/>
                <w:lang w:val="pt-PT"/>
              </w:rPr>
            </w:pPr>
            <w:r w:rsidRPr="00110D6C">
              <w:rPr>
                <w:rFonts w:cs="Times New Roman"/>
                <w:color w:val="auto"/>
                <w:szCs w:val="22"/>
                <w:lang w:val="pt-PT"/>
              </w:rPr>
              <w:t>4</w:t>
            </w:r>
            <w:r w:rsidR="00E77794" w:rsidRPr="00110D6C">
              <w:rPr>
                <w:rFonts w:cs="Times New Roman"/>
                <w:color w:val="auto"/>
                <w:szCs w:val="22"/>
                <w:lang w:val="pt-PT"/>
              </w:rPr>
              <w:t xml:space="preserve"> </w:t>
            </w:r>
            <w:r w:rsidR="00030085" w:rsidRPr="00110D6C">
              <w:rPr>
                <w:rFonts w:cs="Times New Roman"/>
                <w:color w:val="auto"/>
                <w:szCs w:val="22"/>
                <w:lang w:val="pt-PT"/>
              </w:rPr>
              <w:t>(13%)</w:t>
            </w:r>
          </w:p>
        </w:tc>
        <w:tc>
          <w:tcPr>
            <w:tcW w:w="1105" w:type="dxa"/>
            <w:tcBorders>
              <w:top w:val="single" w:sz="4" w:space="0" w:color="auto"/>
              <w:left w:val="single" w:sz="4" w:space="0" w:color="auto"/>
            </w:tcBorders>
            <w:shd w:val="clear" w:color="auto" w:fill="auto"/>
          </w:tcPr>
          <w:p w14:paraId="11B1B13B"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1</w:t>
            </w:r>
            <w:r w:rsidR="00B910F9" w:rsidRPr="00110D6C">
              <w:rPr>
                <w:rFonts w:cs="Times New Roman"/>
                <w:color w:val="auto"/>
                <w:szCs w:val="22"/>
                <w:lang w:val="pt-PT"/>
              </w:rPr>
              <w:t>3</w:t>
            </w:r>
            <w:r w:rsidR="00E77794" w:rsidRPr="00110D6C">
              <w:rPr>
                <w:rFonts w:cs="Times New Roman"/>
                <w:color w:val="auto"/>
                <w:szCs w:val="22"/>
                <w:lang w:val="pt-PT"/>
              </w:rPr>
              <w:t xml:space="preserve"> </w:t>
            </w:r>
            <w:r w:rsidRPr="00110D6C">
              <w:rPr>
                <w:rFonts w:cs="Times New Roman"/>
                <w:color w:val="auto"/>
                <w:szCs w:val="22"/>
                <w:lang w:val="pt-PT"/>
              </w:rPr>
              <w:t>(45%)</w:t>
            </w:r>
          </w:p>
        </w:tc>
        <w:tc>
          <w:tcPr>
            <w:tcW w:w="1106" w:type="dxa"/>
            <w:tcBorders>
              <w:top w:val="single" w:sz="4" w:space="0" w:color="auto"/>
              <w:left w:val="single" w:sz="4" w:space="0" w:color="auto"/>
              <w:right w:val="single" w:sz="4" w:space="0" w:color="auto"/>
            </w:tcBorders>
            <w:shd w:val="clear" w:color="auto" w:fill="auto"/>
          </w:tcPr>
          <w:p w14:paraId="68E8ECF6"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1</w:t>
            </w:r>
            <w:r w:rsidR="00B910F9" w:rsidRPr="00110D6C">
              <w:rPr>
                <w:rFonts w:cs="Times New Roman"/>
                <w:color w:val="auto"/>
                <w:szCs w:val="22"/>
                <w:lang w:val="pt-PT"/>
              </w:rPr>
              <w:t>2</w:t>
            </w:r>
            <w:r w:rsidR="00E77794" w:rsidRPr="00110D6C">
              <w:rPr>
                <w:rFonts w:cs="Times New Roman"/>
                <w:color w:val="auto"/>
                <w:szCs w:val="22"/>
                <w:lang w:val="pt-PT"/>
              </w:rPr>
              <w:t xml:space="preserve"> </w:t>
            </w:r>
            <w:r w:rsidRPr="00110D6C">
              <w:rPr>
                <w:rFonts w:cs="Times New Roman"/>
                <w:color w:val="auto"/>
                <w:szCs w:val="22"/>
                <w:lang w:val="pt-PT"/>
              </w:rPr>
              <w:t>(39%)</w:t>
            </w:r>
          </w:p>
        </w:tc>
      </w:tr>
      <w:tr w:rsidR="0077031F" w:rsidRPr="00110D6C" w14:paraId="1B088B0A" w14:textId="77777777" w:rsidTr="00E77794">
        <w:tc>
          <w:tcPr>
            <w:tcW w:w="2446" w:type="dxa"/>
            <w:tcBorders>
              <w:top w:val="single" w:sz="4" w:space="0" w:color="auto"/>
              <w:left w:val="single" w:sz="4" w:space="0" w:color="auto"/>
            </w:tcBorders>
            <w:shd w:val="clear" w:color="auto" w:fill="auto"/>
          </w:tcPr>
          <w:p w14:paraId="4B2E5317" w14:textId="77777777" w:rsidR="0077031F" w:rsidRPr="00110D6C" w:rsidRDefault="00030085" w:rsidP="00E77794">
            <w:pPr>
              <w:widowControl/>
              <w:rPr>
                <w:rFonts w:cs="Times New Roman"/>
                <w:color w:val="auto"/>
                <w:szCs w:val="22"/>
                <w:lang w:val="pt-PT"/>
              </w:rPr>
            </w:pPr>
            <w:r w:rsidRPr="00110D6C">
              <w:rPr>
                <w:rFonts w:cs="Times New Roman"/>
                <w:i/>
                <w:iCs/>
                <w:color w:val="auto"/>
                <w:szCs w:val="22"/>
                <w:lang w:val="pt-PT"/>
              </w:rPr>
              <w:t>Nº de doentes com BSA ≥</w:t>
            </w:r>
            <w:r w:rsidR="00982985" w:rsidRPr="00110D6C">
              <w:rPr>
                <w:rFonts w:cs="Times New Roman"/>
                <w:i/>
                <w:iCs/>
                <w:color w:val="auto"/>
                <w:szCs w:val="22"/>
                <w:lang w:val="pt-PT"/>
              </w:rPr>
              <w:t> </w:t>
            </w:r>
            <w:r w:rsidRPr="00110D6C">
              <w:rPr>
                <w:rFonts w:cs="Times New Roman"/>
                <w:i/>
                <w:iCs/>
                <w:color w:val="auto"/>
                <w:szCs w:val="22"/>
                <w:lang w:val="pt-PT"/>
              </w:rPr>
              <w:t xml:space="preserve">3% </w:t>
            </w:r>
            <w:r w:rsidRPr="00110D6C">
              <w:rPr>
                <w:rFonts w:cs="Times New Roman"/>
                <w:i/>
                <w:iCs/>
                <w:color w:val="auto"/>
                <w:szCs w:val="22"/>
                <w:vertAlign w:val="superscript"/>
                <w:lang w:val="pt-PT"/>
              </w:rPr>
              <w:t>d</w:t>
            </w:r>
          </w:p>
        </w:tc>
        <w:tc>
          <w:tcPr>
            <w:tcW w:w="1105" w:type="dxa"/>
            <w:tcBorders>
              <w:top w:val="single" w:sz="4" w:space="0" w:color="auto"/>
              <w:left w:val="single" w:sz="4" w:space="0" w:color="auto"/>
            </w:tcBorders>
            <w:shd w:val="clear" w:color="auto" w:fill="auto"/>
          </w:tcPr>
          <w:p w14:paraId="4B368421"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41</w:t>
            </w:r>
          </w:p>
        </w:tc>
        <w:tc>
          <w:tcPr>
            <w:tcW w:w="1105" w:type="dxa"/>
            <w:tcBorders>
              <w:top w:val="single" w:sz="4" w:space="0" w:color="auto"/>
              <w:left w:val="single" w:sz="4" w:space="0" w:color="auto"/>
            </w:tcBorders>
            <w:shd w:val="clear" w:color="auto" w:fill="auto"/>
          </w:tcPr>
          <w:p w14:paraId="0577B99D"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40</w:t>
            </w:r>
          </w:p>
        </w:tc>
        <w:tc>
          <w:tcPr>
            <w:tcW w:w="1105" w:type="dxa"/>
            <w:tcBorders>
              <w:top w:val="single" w:sz="4" w:space="0" w:color="auto"/>
              <w:left w:val="single" w:sz="4" w:space="0" w:color="auto"/>
            </w:tcBorders>
            <w:shd w:val="clear" w:color="auto" w:fill="auto"/>
          </w:tcPr>
          <w:p w14:paraId="5D18646C"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38</w:t>
            </w:r>
          </w:p>
        </w:tc>
        <w:tc>
          <w:tcPr>
            <w:tcW w:w="1105" w:type="dxa"/>
            <w:tcBorders>
              <w:top w:val="single" w:sz="4" w:space="0" w:color="auto"/>
              <w:left w:val="single" w:sz="4" w:space="0" w:color="auto"/>
            </w:tcBorders>
            <w:shd w:val="clear" w:color="auto" w:fill="auto"/>
          </w:tcPr>
          <w:p w14:paraId="0BD15968"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26</w:t>
            </w:r>
          </w:p>
        </w:tc>
        <w:tc>
          <w:tcPr>
            <w:tcW w:w="1105" w:type="dxa"/>
            <w:tcBorders>
              <w:top w:val="single" w:sz="4" w:space="0" w:color="auto"/>
              <w:left w:val="single" w:sz="4" w:space="0" w:color="auto"/>
            </w:tcBorders>
            <w:shd w:val="clear" w:color="auto" w:fill="auto"/>
          </w:tcPr>
          <w:p w14:paraId="795F99E8"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22</w:t>
            </w:r>
          </w:p>
        </w:tc>
        <w:tc>
          <w:tcPr>
            <w:tcW w:w="1106" w:type="dxa"/>
            <w:tcBorders>
              <w:top w:val="single" w:sz="4" w:space="0" w:color="auto"/>
              <w:left w:val="single" w:sz="4" w:space="0" w:color="auto"/>
              <w:right w:val="single" w:sz="4" w:space="0" w:color="auto"/>
            </w:tcBorders>
            <w:shd w:val="clear" w:color="auto" w:fill="auto"/>
          </w:tcPr>
          <w:p w14:paraId="63A06326"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24</w:t>
            </w:r>
          </w:p>
        </w:tc>
      </w:tr>
      <w:tr w:rsidR="0077031F" w:rsidRPr="00110D6C" w14:paraId="2BA1C6A1" w14:textId="77777777" w:rsidTr="00E77794">
        <w:tc>
          <w:tcPr>
            <w:tcW w:w="2446" w:type="dxa"/>
            <w:tcBorders>
              <w:top w:val="single" w:sz="4" w:space="0" w:color="auto"/>
              <w:left w:val="single" w:sz="4" w:space="0" w:color="auto"/>
              <w:bottom w:val="single" w:sz="4" w:space="0" w:color="auto"/>
            </w:tcBorders>
            <w:shd w:val="clear" w:color="auto" w:fill="auto"/>
          </w:tcPr>
          <w:p w14:paraId="31CAB721"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Resposta PASI 75, N (%)</w:t>
            </w:r>
          </w:p>
        </w:tc>
        <w:tc>
          <w:tcPr>
            <w:tcW w:w="1105" w:type="dxa"/>
            <w:tcBorders>
              <w:top w:val="single" w:sz="4" w:space="0" w:color="auto"/>
              <w:left w:val="single" w:sz="4" w:space="0" w:color="auto"/>
              <w:bottom w:val="single" w:sz="4" w:space="0" w:color="auto"/>
            </w:tcBorders>
            <w:shd w:val="clear" w:color="auto" w:fill="auto"/>
          </w:tcPr>
          <w:p w14:paraId="48E0452E" w14:textId="77777777" w:rsidR="0077031F" w:rsidRPr="00110D6C" w:rsidRDefault="00B910F9" w:rsidP="00E77794">
            <w:pPr>
              <w:widowControl/>
              <w:jc w:val="center"/>
              <w:rPr>
                <w:rFonts w:cs="Times New Roman"/>
                <w:color w:val="auto"/>
                <w:szCs w:val="22"/>
                <w:lang w:val="pt-PT"/>
              </w:rPr>
            </w:pPr>
            <w:r w:rsidRPr="00110D6C">
              <w:rPr>
                <w:rFonts w:cs="Times New Roman"/>
                <w:color w:val="auto"/>
                <w:szCs w:val="22"/>
                <w:lang w:val="pt-PT"/>
              </w:rPr>
              <w:t>2</w:t>
            </w:r>
            <w:r w:rsidR="00E77794" w:rsidRPr="00110D6C">
              <w:rPr>
                <w:rFonts w:cs="Times New Roman"/>
                <w:color w:val="auto"/>
                <w:szCs w:val="22"/>
                <w:lang w:val="pt-PT"/>
              </w:rPr>
              <w:t xml:space="preserve"> </w:t>
            </w:r>
            <w:r w:rsidR="00030085" w:rsidRPr="00110D6C">
              <w:rPr>
                <w:rFonts w:cs="Times New Roman"/>
                <w:color w:val="auto"/>
                <w:szCs w:val="22"/>
                <w:lang w:val="pt-PT"/>
              </w:rPr>
              <w:t>(5%)</w:t>
            </w:r>
          </w:p>
        </w:tc>
        <w:tc>
          <w:tcPr>
            <w:tcW w:w="1105" w:type="dxa"/>
            <w:tcBorders>
              <w:top w:val="single" w:sz="4" w:space="0" w:color="auto"/>
              <w:left w:val="single" w:sz="4" w:space="0" w:color="auto"/>
              <w:bottom w:val="single" w:sz="4" w:space="0" w:color="auto"/>
            </w:tcBorders>
            <w:shd w:val="clear" w:color="auto" w:fill="auto"/>
          </w:tcPr>
          <w:p w14:paraId="5ECAC788"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1</w:t>
            </w:r>
            <w:r w:rsidR="00B910F9" w:rsidRPr="00110D6C">
              <w:rPr>
                <w:rFonts w:cs="Times New Roman"/>
                <w:color w:val="auto"/>
                <w:szCs w:val="22"/>
                <w:lang w:val="pt-PT"/>
              </w:rPr>
              <w:t>9</w:t>
            </w:r>
            <w:r w:rsidR="00E77794" w:rsidRPr="00110D6C">
              <w:rPr>
                <w:rFonts w:cs="Times New Roman"/>
                <w:color w:val="auto"/>
                <w:szCs w:val="22"/>
                <w:lang w:val="pt-PT"/>
              </w:rPr>
              <w:t xml:space="preserve"> </w:t>
            </w:r>
            <w:r w:rsidRPr="00110D6C">
              <w:rPr>
                <w:rFonts w:cs="Times New Roman"/>
                <w:color w:val="auto"/>
                <w:szCs w:val="22"/>
                <w:lang w:val="pt-PT"/>
              </w:rPr>
              <w:t>(48%)</w:t>
            </w:r>
          </w:p>
        </w:tc>
        <w:tc>
          <w:tcPr>
            <w:tcW w:w="1105" w:type="dxa"/>
            <w:tcBorders>
              <w:top w:val="single" w:sz="4" w:space="0" w:color="auto"/>
              <w:left w:val="single" w:sz="4" w:space="0" w:color="auto"/>
              <w:bottom w:val="single" w:sz="4" w:space="0" w:color="auto"/>
            </w:tcBorders>
            <w:shd w:val="clear" w:color="auto" w:fill="auto"/>
          </w:tcPr>
          <w:p w14:paraId="245593BC"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2</w:t>
            </w:r>
            <w:r w:rsidR="00B910F9" w:rsidRPr="00110D6C">
              <w:rPr>
                <w:rFonts w:cs="Times New Roman"/>
                <w:color w:val="auto"/>
                <w:szCs w:val="22"/>
                <w:lang w:val="pt-PT"/>
              </w:rPr>
              <w:t>0</w:t>
            </w:r>
            <w:r w:rsidR="00E77794" w:rsidRPr="00110D6C">
              <w:rPr>
                <w:rFonts w:cs="Times New Roman"/>
                <w:color w:val="auto"/>
                <w:szCs w:val="22"/>
                <w:lang w:val="pt-PT"/>
              </w:rPr>
              <w:t xml:space="preserve"> </w:t>
            </w:r>
            <w:r w:rsidRPr="00110D6C">
              <w:rPr>
                <w:rFonts w:cs="Times New Roman"/>
                <w:color w:val="auto"/>
                <w:szCs w:val="22"/>
                <w:lang w:val="pt-PT"/>
              </w:rPr>
              <w:t>(53%)</w:t>
            </w:r>
          </w:p>
        </w:tc>
        <w:tc>
          <w:tcPr>
            <w:tcW w:w="1105" w:type="dxa"/>
            <w:tcBorders>
              <w:top w:val="single" w:sz="4" w:space="0" w:color="auto"/>
              <w:left w:val="single" w:sz="4" w:space="0" w:color="auto"/>
              <w:bottom w:val="single" w:sz="4" w:space="0" w:color="auto"/>
            </w:tcBorders>
            <w:shd w:val="clear" w:color="auto" w:fill="auto"/>
          </w:tcPr>
          <w:p w14:paraId="02115949"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0</w:t>
            </w:r>
          </w:p>
        </w:tc>
        <w:tc>
          <w:tcPr>
            <w:tcW w:w="1105" w:type="dxa"/>
            <w:tcBorders>
              <w:top w:val="single" w:sz="4" w:space="0" w:color="auto"/>
              <w:left w:val="single" w:sz="4" w:space="0" w:color="auto"/>
              <w:bottom w:val="single" w:sz="4" w:space="0" w:color="auto"/>
            </w:tcBorders>
            <w:shd w:val="clear" w:color="auto" w:fill="auto"/>
          </w:tcPr>
          <w:p w14:paraId="6E9AEBA8"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1</w:t>
            </w:r>
            <w:r w:rsidR="00B910F9" w:rsidRPr="00110D6C">
              <w:rPr>
                <w:rFonts w:cs="Times New Roman"/>
                <w:color w:val="auto"/>
                <w:szCs w:val="22"/>
                <w:lang w:val="pt-PT"/>
              </w:rPr>
              <w:t>0</w:t>
            </w:r>
            <w:r w:rsidR="00E77794" w:rsidRPr="00110D6C">
              <w:rPr>
                <w:rFonts w:cs="Times New Roman"/>
                <w:color w:val="auto"/>
                <w:szCs w:val="22"/>
                <w:lang w:val="pt-PT"/>
              </w:rPr>
              <w:t xml:space="preserve"> </w:t>
            </w:r>
            <w:r w:rsidRPr="00110D6C">
              <w:rPr>
                <w:rFonts w:cs="Times New Roman"/>
                <w:color w:val="auto"/>
                <w:szCs w:val="22"/>
                <w:lang w:val="pt-PT"/>
              </w:rPr>
              <w:t>(45%)</w:t>
            </w:r>
          </w:p>
        </w:tc>
        <w:tc>
          <w:tcPr>
            <w:tcW w:w="1106" w:type="dxa"/>
            <w:tcBorders>
              <w:top w:val="single" w:sz="4" w:space="0" w:color="auto"/>
              <w:left w:val="single" w:sz="4" w:space="0" w:color="auto"/>
              <w:bottom w:val="single" w:sz="4" w:space="0" w:color="auto"/>
              <w:right w:val="single" w:sz="4" w:space="0" w:color="auto"/>
            </w:tcBorders>
            <w:shd w:val="clear" w:color="auto" w:fill="auto"/>
          </w:tcPr>
          <w:p w14:paraId="484F7755"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1</w:t>
            </w:r>
            <w:r w:rsidR="00B910F9" w:rsidRPr="00110D6C">
              <w:rPr>
                <w:rFonts w:cs="Times New Roman"/>
                <w:color w:val="auto"/>
                <w:szCs w:val="22"/>
                <w:lang w:val="pt-PT"/>
              </w:rPr>
              <w:t>3</w:t>
            </w:r>
            <w:r w:rsidR="00E77794" w:rsidRPr="00110D6C">
              <w:rPr>
                <w:rFonts w:cs="Times New Roman"/>
                <w:color w:val="auto"/>
                <w:szCs w:val="22"/>
                <w:lang w:val="pt-PT"/>
              </w:rPr>
              <w:t xml:space="preserve"> </w:t>
            </w:r>
            <w:r w:rsidRPr="00110D6C">
              <w:rPr>
                <w:rFonts w:cs="Times New Roman"/>
                <w:color w:val="auto"/>
                <w:szCs w:val="22"/>
                <w:lang w:val="pt-PT"/>
              </w:rPr>
              <w:t>(54%)</w:t>
            </w:r>
          </w:p>
        </w:tc>
      </w:tr>
    </w:tbl>
    <w:p w14:paraId="784DE4A7" w14:textId="77777777" w:rsidR="0077031F" w:rsidRPr="00110D6C" w:rsidRDefault="00030085" w:rsidP="00E77794">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a</w:t>
      </w:r>
      <w:r w:rsidRPr="00110D6C">
        <w:rPr>
          <w:rFonts w:cs="Times New Roman"/>
          <w:color w:val="auto"/>
          <w:sz w:val="20"/>
          <w:szCs w:val="20"/>
          <w:lang w:val="pt-PT"/>
        </w:rPr>
        <w:tab/>
        <w:t>p</w:t>
      </w:r>
      <w:r w:rsidR="00F5387C" w:rsidRPr="00110D6C">
        <w:rPr>
          <w:rFonts w:cs="Times New Roman"/>
          <w:color w:val="auto"/>
          <w:sz w:val="20"/>
          <w:szCs w:val="20"/>
          <w:lang w:val="pt-PT"/>
        </w:rPr>
        <w:t> </w:t>
      </w:r>
      <w:r w:rsidRPr="00110D6C">
        <w:rPr>
          <w:rFonts w:cs="Times New Roman"/>
          <w:color w:val="auto"/>
          <w:sz w:val="20"/>
          <w:szCs w:val="20"/>
          <w:lang w:val="pt-PT"/>
        </w:rPr>
        <w:t>&lt;</w:t>
      </w:r>
      <w:r w:rsidR="00F5387C" w:rsidRPr="00110D6C">
        <w:rPr>
          <w:rFonts w:cs="Times New Roman"/>
          <w:color w:val="auto"/>
          <w:sz w:val="20"/>
          <w:szCs w:val="20"/>
          <w:lang w:val="pt-PT"/>
        </w:rPr>
        <w:t> </w:t>
      </w:r>
      <w:r w:rsidRPr="00110D6C">
        <w:rPr>
          <w:rFonts w:cs="Times New Roman"/>
          <w:color w:val="auto"/>
          <w:sz w:val="20"/>
          <w:szCs w:val="20"/>
          <w:lang w:val="pt-PT"/>
        </w:rPr>
        <w:t>0,001</w:t>
      </w:r>
    </w:p>
    <w:p w14:paraId="5F49D686" w14:textId="77777777" w:rsidR="0077031F" w:rsidRPr="00110D6C" w:rsidRDefault="00030085" w:rsidP="00E77794">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b</w:t>
      </w:r>
      <w:r w:rsidRPr="00110D6C">
        <w:rPr>
          <w:rFonts w:cs="Times New Roman"/>
          <w:color w:val="auto"/>
          <w:sz w:val="20"/>
          <w:szCs w:val="20"/>
          <w:lang w:val="pt-PT"/>
        </w:rPr>
        <w:tab/>
        <w:t>p</w:t>
      </w:r>
      <w:r w:rsidR="00F5387C" w:rsidRPr="00110D6C">
        <w:rPr>
          <w:rFonts w:cs="Times New Roman"/>
          <w:color w:val="auto"/>
          <w:sz w:val="20"/>
          <w:szCs w:val="20"/>
          <w:lang w:val="pt-PT"/>
        </w:rPr>
        <w:t> </w:t>
      </w:r>
      <w:r w:rsidRPr="00110D6C">
        <w:rPr>
          <w:rFonts w:cs="Times New Roman"/>
          <w:color w:val="auto"/>
          <w:sz w:val="20"/>
          <w:szCs w:val="20"/>
          <w:lang w:val="pt-PT"/>
        </w:rPr>
        <w:t>&lt;</w:t>
      </w:r>
      <w:r w:rsidR="00F5387C" w:rsidRPr="00110D6C">
        <w:rPr>
          <w:rFonts w:cs="Times New Roman"/>
          <w:color w:val="auto"/>
          <w:sz w:val="20"/>
          <w:szCs w:val="20"/>
          <w:lang w:val="pt-PT"/>
        </w:rPr>
        <w:t> </w:t>
      </w:r>
      <w:r w:rsidRPr="00110D6C">
        <w:rPr>
          <w:rFonts w:cs="Times New Roman"/>
          <w:color w:val="auto"/>
          <w:sz w:val="20"/>
          <w:szCs w:val="20"/>
          <w:lang w:val="pt-PT"/>
        </w:rPr>
        <w:t>0,05</w:t>
      </w:r>
    </w:p>
    <w:p w14:paraId="2EB7B643" w14:textId="77777777" w:rsidR="0077031F" w:rsidRPr="00110D6C" w:rsidRDefault="00030085" w:rsidP="00E77794">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c</w:t>
      </w:r>
      <w:r w:rsidRPr="00110D6C">
        <w:rPr>
          <w:rFonts w:cs="Times New Roman"/>
          <w:color w:val="auto"/>
          <w:sz w:val="20"/>
          <w:szCs w:val="20"/>
          <w:lang w:val="pt-PT"/>
        </w:rPr>
        <w:tab/>
        <w:t>p</w:t>
      </w:r>
      <w:r w:rsidR="00F5387C" w:rsidRPr="00110D6C">
        <w:rPr>
          <w:rFonts w:cs="Times New Roman"/>
          <w:color w:val="auto"/>
          <w:sz w:val="20"/>
          <w:szCs w:val="20"/>
          <w:lang w:val="pt-PT"/>
        </w:rPr>
        <w:t> </w:t>
      </w:r>
      <w:r w:rsidRPr="00110D6C">
        <w:rPr>
          <w:rFonts w:cs="Times New Roman"/>
          <w:color w:val="auto"/>
          <w:sz w:val="20"/>
          <w:szCs w:val="20"/>
          <w:lang w:val="pt-PT"/>
        </w:rPr>
        <w:t>=</w:t>
      </w:r>
      <w:r w:rsidR="00F5387C" w:rsidRPr="00110D6C">
        <w:rPr>
          <w:rFonts w:cs="Times New Roman"/>
          <w:color w:val="auto"/>
          <w:sz w:val="20"/>
          <w:szCs w:val="20"/>
          <w:lang w:val="pt-PT"/>
        </w:rPr>
        <w:t> </w:t>
      </w:r>
      <w:r w:rsidRPr="00110D6C">
        <w:rPr>
          <w:rFonts w:cs="Times New Roman"/>
          <w:color w:val="auto"/>
          <w:sz w:val="20"/>
          <w:szCs w:val="20"/>
          <w:lang w:val="pt-PT"/>
        </w:rPr>
        <w:t>NS</w:t>
      </w:r>
    </w:p>
    <w:p w14:paraId="58D7EB2D" w14:textId="77777777" w:rsidR="0077031F" w:rsidRPr="00110D6C" w:rsidRDefault="00030085" w:rsidP="00E77794">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d</w:t>
      </w:r>
      <w:r w:rsidR="00E77794" w:rsidRPr="00110D6C">
        <w:rPr>
          <w:rFonts w:cs="Times New Roman"/>
          <w:color w:val="auto"/>
          <w:sz w:val="20"/>
          <w:szCs w:val="20"/>
          <w:lang w:val="pt-PT"/>
        </w:rPr>
        <w:tab/>
      </w:r>
      <w:r w:rsidRPr="00110D6C">
        <w:rPr>
          <w:rFonts w:cs="Times New Roman"/>
          <w:color w:val="auto"/>
          <w:sz w:val="20"/>
          <w:szCs w:val="20"/>
          <w:lang w:val="pt-PT"/>
        </w:rPr>
        <w:t>Número de doentes com psoríase cutânea com envolvimento ≥</w:t>
      </w:r>
      <w:r w:rsidR="00982985" w:rsidRPr="00110D6C">
        <w:rPr>
          <w:rFonts w:cs="Times New Roman"/>
          <w:color w:val="auto"/>
          <w:sz w:val="20"/>
          <w:szCs w:val="20"/>
          <w:lang w:val="pt-PT"/>
        </w:rPr>
        <w:t> </w:t>
      </w:r>
      <w:r w:rsidRPr="00110D6C">
        <w:rPr>
          <w:rFonts w:cs="Times New Roman"/>
          <w:color w:val="auto"/>
          <w:sz w:val="20"/>
          <w:szCs w:val="20"/>
          <w:lang w:val="pt-PT"/>
        </w:rPr>
        <w:t>3% da Área Superfície Corporal (BSA), no início do estudo.</w:t>
      </w:r>
    </w:p>
    <w:p w14:paraId="6E65F815" w14:textId="77777777" w:rsidR="00E77794" w:rsidRPr="00110D6C" w:rsidRDefault="00E77794" w:rsidP="00A17623">
      <w:pPr>
        <w:widowControl/>
        <w:rPr>
          <w:rFonts w:cs="Times New Roman"/>
          <w:color w:val="auto"/>
          <w:szCs w:val="22"/>
          <w:lang w:val="pt-PT"/>
        </w:rPr>
      </w:pPr>
    </w:p>
    <w:p w14:paraId="58EB3C8E"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As respostas ACR 20, 5</w:t>
      </w:r>
      <w:r w:rsidR="00B910F9" w:rsidRPr="00110D6C">
        <w:rPr>
          <w:rFonts w:cs="Times New Roman"/>
          <w:color w:val="auto"/>
          <w:szCs w:val="22"/>
          <w:lang w:val="pt-PT"/>
        </w:rPr>
        <w:t>0 </w:t>
      </w:r>
      <w:r w:rsidRPr="00110D6C">
        <w:rPr>
          <w:rFonts w:cs="Times New Roman"/>
          <w:color w:val="auto"/>
          <w:szCs w:val="22"/>
          <w:lang w:val="pt-PT"/>
        </w:rPr>
        <w:t>e 7</w:t>
      </w:r>
      <w:r w:rsidR="00B910F9" w:rsidRPr="00110D6C">
        <w:rPr>
          <w:rFonts w:cs="Times New Roman"/>
          <w:color w:val="auto"/>
          <w:szCs w:val="22"/>
          <w:lang w:val="pt-PT"/>
        </w:rPr>
        <w:t>0 </w:t>
      </w:r>
      <w:r w:rsidRPr="00110D6C">
        <w:rPr>
          <w:rFonts w:cs="Times New Roman"/>
          <w:color w:val="auto"/>
          <w:szCs w:val="22"/>
          <w:lang w:val="pt-PT"/>
        </w:rPr>
        <w:t>continuaram a melhorar ou foram mantidas até à semana</w:t>
      </w:r>
      <w:r w:rsidR="005562CC" w:rsidRPr="00110D6C">
        <w:rPr>
          <w:rFonts w:cs="Times New Roman"/>
          <w:color w:val="auto"/>
          <w:szCs w:val="22"/>
          <w:lang w:val="pt-PT"/>
        </w:rPr>
        <w:t> </w:t>
      </w:r>
      <w:r w:rsidRPr="00110D6C">
        <w:rPr>
          <w:rFonts w:cs="Times New Roman"/>
          <w:color w:val="auto"/>
          <w:szCs w:val="22"/>
          <w:lang w:val="pt-PT"/>
        </w:rPr>
        <w:t>5</w:t>
      </w:r>
      <w:r w:rsidR="00B910F9" w:rsidRPr="00110D6C">
        <w:rPr>
          <w:rFonts w:cs="Times New Roman"/>
          <w:color w:val="auto"/>
          <w:szCs w:val="22"/>
          <w:lang w:val="pt-PT"/>
        </w:rPr>
        <w:t>2</w:t>
      </w:r>
      <w:r w:rsidR="005562CC" w:rsidRPr="00110D6C">
        <w:rPr>
          <w:rFonts w:cs="Times New Roman"/>
          <w:color w:val="auto"/>
          <w:szCs w:val="22"/>
          <w:lang w:val="pt-PT"/>
        </w:rPr>
        <w:t xml:space="preserve"> </w:t>
      </w:r>
      <w:r w:rsidRPr="00110D6C">
        <w:rPr>
          <w:rFonts w:cs="Times New Roman"/>
          <w:color w:val="auto"/>
          <w:szCs w:val="22"/>
          <w:lang w:val="pt-PT"/>
        </w:rPr>
        <w:t xml:space="preserve">(Estudos </w:t>
      </w:r>
      <w:r w:rsidR="00B910F9" w:rsidRPr="00110D6C">
        <w:rPr>
          <w:rFonts w:cs="Times New Roman"/>
          <w:color w:val="auto"/>
          <w:szCs w:val="22"/>
          <w:lang w:val="pt-PT"/>
        </w:rPr>
        <w:t>1 </w:t>
      </w:r>
      <w:r w:rsidRPr="00110D6C">
        <w:rPr>
          <w:rFonts w:cs="Times New Roman"/>
          <w:color w:val="auto"/>
          <w:szCs w:val="22"/>
          <w:lang w:val="pt-PT"/>
        </w:rPr>
        <w:t xml:space="preserve">e </w:t>
      </w:r>
      <w:r w:rsidR="00B910F9" w:rsidRPr="00110D6C">
        <w:rPr>
          <w:rFonts w:cs="Times New Roman"/>
          <w:color w:val="auto"/>
          <w:szCs w:val="22"/>
          <w:lang w:val="pt-PT"/>
        </w:rPr>
        <w:t>2 </w:t>
      </w:r>
      <w:r w:rsidRPr="00110D6C">
        <w:rPr>
          <w:rFonts w:cs="Times New Roman"/>
          <w:color w:val="auto"/>
          <w:szCs w:val="22"/>
          <w:lang w:val="pt-PT"/>
        </w:rPr>
        <w:t>da AP) e até à semana</w:t>
      </w:r>
      <w:r w:rsidR="005562CC" w:rsidRPr="00110D6C">
        <w:rPr>
          <w:rFonts w:cs="Times New Roman"/>
          <w:color w:val="auto"/>
          <w:szCs w:val="22"/>
          <w:lang w:val="pt-PT"/>
        </w:rPr>
        <w:t> </w:t>
      </w:r>
      <w:r w:rsidRPr="00110D6C">
        <w:rPr>
          <w:rFonts w:cs="Times New Roman"/>
          <w:color w:val="auto"/>
          <w:szCs w:val="22"/>
          <w:lang w:val="pt-PT"/>
        </w:rPr>
        <w:t>10</w:t>
      </w:r>
      <w:r w:rsidR="00B910F9" w:rsidRPr="00110D6C">
        <w:rPr>
          <w:rFonts w:cs="Times New Roman"/>
          <w:color w:val="auto"/>
          <w:szCs w:val="22"/>
          <w:lang w:val="pt-PT"/>
        </w:rPr>
        <w:t>0</w:t>
      </w:r>
      <w:r w:rsidR="005562CC" w:rsidRPr="00110D6C">
        <w:rPr>
          <w:rFonts w:cs="Times New Roman"/>
          <w:color w:val="auto"/>
          <w:szCs w:val="22"/>
          <w:lang w:val="pt-PT"/>
        </w:rPr>
        <w:t xml:space="preserve"> </w:t>
      </w:r>
      <w:r w:rsidRPr="00110D6C">
        <w:rPr>
          <w:rFonts w:cs="Times New Roman"/>
          <w:color w:val="auto"/>
          <w:szCs w:val="22"/>
          <w:lang w:val="pt-PT"/>
        </w:rPr>
        <w:t xml:space="preserve">(Estudo </w:t>
      </w:r>
      <w:r w:rsidR="00B910F9" w:rsidRPr="00110D6C">
        <w:rPr>
          <w:rFonts w:cs="Times New Roman"/>
          <w:color w:val="auto"/>
          <w:szCs w:val="22"/>
          <w:lang w:val="pt-PT"/>
        </w:rPr>
        <w:t>1 </w:t>
      </w:r>
      <w:r w:rsidRPr="00110D6C">
        <w:rPr>
          <w:rFonts w:cs="Times New Roman"/>
          <w:color w:val="auto"/>
          <w:szCs w:val="22"/>
          <w:lang w:val="pt-PT"/>
        </w:rPr>
        <w:t>da AP). Na semana</w:t>
      </w:r>
      <w:r w:rsidR="005562CC" w:rsidRPr="00110D6C">
        <w:rPr>
          <w:rFonts w:cs="Times New Roman"/>
          <w:color w:val="auto"/>
          <w:szCs w:val="22"/>
          <w:lang w:val="pt-PT"/>
        </w:rPr>
        <w:t> </w:t>
      </w:r>
      <w:r w:rsidRPr="00110D6C">
        <w:rPr>
          <w:rFonts w:cs="Times New Roman"/>
          <w:color w:val="auto"/>
          <w:szCs w:val="22"/>
          <w:lang w:val="pt-PT"/>
        </w:rPr>
        <w:t>10</w:t>
      </w:r>
      <w:r w:rsidR="00B910F9" w:rsidRPr="00110D6C">
        <w:rPr>
          <w:rFonts w:cs="Times New Roman"/>
          <w:color w:val="auto"/>
          <w:szCs w:val="22"/>
          <w:lang w:val="pt-PT"/>
        </w:rPr>
        <w:t>0</w:t>
      </w:r>
      <w:r w:rsidR="005562CC" w:rsidRPr="00110D6C">
        <w:rPr>
          <w:rFonts w:cs="Times New Roman"/>
          <w:color w:val="auto"/>
          <w:szCs w:val="22"/>
          <w:lang w:val="pt-PT"/>
        </w:rPr>
        <w:t xml:space="preserve"> </w:t>
      </w:r>
      <w:r w:rsidRPr="00110D6C">
        <w:rPr>
          <w:rFonts w:cs="Times New Roman"/>
          <w:color w:val="auto"/>
          <w:szCs w:val="22"/>
          <w:lang w:val="pt-PT"/>
        </w:rPr>
        <w:t xml:space="preserve">do Estudo </w:t>
      </w:r>
      <w:r w:rsidR="00B910F9" w:rsidRPr="00110D6C">
        <w:rPr>
          <w:rFonts w:cs="Times New Roman"/>
          <w:color w:val="auto"/>
          <w:szCs w:val="22"/>
          <w:lang w:val="pt-PT"/>
        </w:rPr>
        <w:t>1 </w:t>
      </w:r>
      <w:r w:rsidRPr="00110D6C">
        <w:rPr>
          <w:rFonts w:cs="Times New Roman"/>
          <w:color w:val="auto"/>
          <w:szCs w:val="22"/>
          <w:lang w:val="pt-PT"/>
        </w:rPr>
        <w:t>da AP, as respostas ACR 2</w:t>
      </w:r>
      <w:r w:rsidR="00B910F9" w:rsidRPr="00110D6C">
        <w:rPr>
          <w:rFonts w:cs="Times New Roman"/>
          <w:color w:val="auto"/>
          <w:szCs w:val="22"/>
          <w:lang w:val="pt-PT"/>
        </w:rPr>
        <w:t>0 </w:t>
      </w:r>
      <w:r w:rsidRPr="00110D6C">
        <w:rPr>
          <w:rFonts w:cs="Times New Roman"/>
          <w:color w:val="auto"/>
          <w:szCs w:val="22"/>
          <w:lang w:val="pt-PT"/>
        </w:rPr>
        <w:t>alcançadas foram 57% e 64%, para 4</w:t>
      </w:r>
      <w:r w:rsidR="00B910F9" w:rsidRPr="00110D6C">
        <w:rPr>
          <w:rFonts w:cs="Times New Roman"/>
          <w:color w:val="auto"/>
          <w:szCs w:val="22"/>
          <w:lang w:val="pt-PT"/>
        </w:rPr>
        <w:t>5 </w:t>
      </w:r>
      <w:r w:rsidRPr="00110D6C">
        <w:rPr>
          <w:rFonts w:cs="Times New Roman"/>
          <w:color w:val="auto"/>
          <w:szCs w:val="22"/>
          <w:lang w:val="pt-PT"/>
        </w:rPr>
        <w:t>mg e 9</w:t>
      </w:r>
      <w:r w:rsidR="00B910F9" w:rsidRPr="00110D6C">
        <w:rPr>
          <w:rFonts w:cs="Times New Roman"/>
          <w:color w:val="auto"/>
          <w:szCs w:val="22"/>
          <w:lang w:val="pt-PT"/>
        </w:rPr>
        <w:t>0 </w:t>
      </w:r>
      <w:r w:rsidRPr="00110D6C">
        <w:rPr>
          <w:rFonts w:cs="Times New Roman"/>
          <w:color w:val="auto"/>
          <w:szCs w:val="22"/>
          <w:lang w:val="pt-PT"/>
        </w:rPr>
        <w:t>mg, respetivamente. Na semana</w:t>
      </w:r>
      <w:r w:rsidR="005562CC" w:rsidRPr="00110D6C">
        <w:rPr>
          <w:rFonts w:cs="Times New Roman"/>
          <w:color w:val="auto"/>
          <w:szCs w:val="22"/>
          <w:lang w:val="pt-PT"/>
        </w:rPr>
        <w:t> </w:t>
      </w:r>
      <w:r w:rsidRPr="00110D6C">
        <w:rPr>
          <w:rFonts w:cs="Times New Roman"/>
          <w:color w:val="auto"/>
          <w:szCs w:val="22"/>
          <w:lang w:val="pt-PT"/>
        </w:rPr>
        <w:t>5</w:t>
      </w:r>
      <w:r w:rsidR="00B910F9" w:rsidRPr="00110D6C">
        <w:rPr>
          <w:rFonts w:cs="Times New Roman"/>
          <w:color w:val="auto"/>
          <w:szCs w:val="22"/>
          <w:lang w:val="pt-PT"/>
        </w:rPr>
        <w:t>2</w:t>
      </w:r>
      <w:r w:rsidR="005562CC" w:rsidRPr="00110D6C">
        <w:rPr>
          <w:rFonts w:cs="Times New Roman"/>
          <w:color w:val="auto"/>
          <w:szCs w:val="22"/>
          <w:lang w:val="pt-PT"/>
        </w:rPr>
        <w:t xml:space="preserve"> </w:t>
      </w:r>
      <w:r w:rsidRPr="00110D6C">
        <w:rPr>
          <w:rFonts w:cs="Times New Roman"/>
          <w:color w:val="auto"/>
          <w:szCs w:val="22"/>
          <w:lang w:val="pt-PT"/>
        </w:rPr>
        <w:t>do</w:t>
      </w:r>
      <w:r w:rsidR="00DD54FC" w:rsidRPr="00110D6C">
        <w:rPr>
          <w:rFonts w:cs="Times New Roman"/>
          <w:color w:val="auto"/>
          <w:szCs w:val="22"/>
          <w:lang w:val="pt-PT"/>
        </w:rPr>
        <w:t xml:space="preserve"> </w:t>
      </w:r>
      <w:r w:rsidRPr="00110D6C">
        <w:rPr>
          <w:rFonts w:cs="Times New Roman"/>
          <w:color w:val="auto"/>
          <w:szCs w:val="22"/>
          <w:lang w:val="pt-PT"/>
        </w:rPr>
        <w:t xml:space="preserve">Estudo </w:t>
      </w:r>
      <w:r w:rsidR="00B910F9" w:rsidRPr="00110D6C">
        <w:rPr>
          <w:rFonts w:cs="Times New Roman"/>
          <w:color w:val="auto"/>
          <w:szCs w:val="22"/>
          <w:lang w:val="pt-PT"/>
        </w:rPr>
        <w:t>2 </w:t>
      </w:r>
      <w:r w:rsidRPr="00110D6C">
        <w:rPr>
          <w:rFonts w:cs="Times New Roman"/>
          <w:color w:val="auto"/>
          <w:szCs w:val="22"/>
          <w:lang w:val="pt-PT"/>
        </w:rPr>
        <w:t>da AP, as respostas ACR 2</w:t>
      </w:r>
      <w:r w:rsidR="00B910F9" w:rsidRPr="00110D6C">
        <w:rPr>
          <w:rFonts w:cs="Times New Roman"/>
          <w:color w:val="auto"/>
          <w:szCs w:val="22"/>
          <w:lang w:val="pt-PT"/>
        </w:rPr>
        <w:t>0 </w:t>
      </w:r>
      <w:r w:rsidRPr="00110D6C">
        <w:rPr>
          <w:rFonts w:cs="Times New Roman"/>
          <w:color w:val="auto"/>
          <w:szCs w:val="22"/>
          <w:lang w:val="pt-PT"/>
        </w:rPr>
        <w:t>alcançadas foram 47% e 48%, para 4</w:t>
      </w:r>
      <w:r w:rsidR="00B910F9" w:rsidRPr="00110D6C">
        <w:rPr>
          <w:rFonts w:cs="Times New Roman"/>
          <w:color w:val="auto"/>
          <w:szCs w:val="22"/>
          <w:lang w:val="pt-PT"/>
        </w:rPr>
        <w:t>5 </w:t>
      </w:r>
      <w:r w:rsidRPr="00110D6C">
        <w:rPr>
          <w:rFonts w:cs="Times New Roman"/>
          <w:color w:val="auto"/>
          <w:szCs w:val="22"/>
          <w:lang w:val="pt-PT"/>
        </w:rPr>
        <w:t>mg e 9</w:t>
      </w:r>
      <w:r w:rsidR="00B910F9" w:rsidRPr="00110D6C">
        <w:rPr>
          <w:rFonts w:cs="Times New Roman"/>
          <w:color w:val="auto"/>
          <w:szCs w:val="22"/>
          <w:lang w:val="pt-PT"/>
        </w:rPr>
        <w:t>0 </w:t>
      </w:r>
      <w:r w:rsidRPr="00110D6C">
        <w:rPr>
          <w:rFonts w:cs="Times New Roman"/>
          <w:color w:val="auto"/>
          <w:szCs w:val="22"/>
          <w:lang w:val="pt-PT"/>
        </w:rPr>
        <w:t>mg, respetivamente.</w:t>
      </w:r>
    </w:p>
    <w:p w14:paraId="537F0866" w14:textId="77777777" w:rsidR="00E77794" w:rsidRPr="00110D6C" w:rsidRDefault="00E77794" w:rsidP="00A17623">
      <w:pPr>
        <w:widowControl/>
        <w:rPr>
          <w:rFonts w:cs="Times New Roman"/>
          <w:color w:val="auto"/>
          <w:szCs w:val="22"/>
          <w:lang w:val="pt-PT"/>
        </w:rPr>
      </w:pPr>
    </w:p>
    <w:p w14:paraId="4B7211B6"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Na semana</w:t>
      </w:r>
      <w:r w:rsidR="005562CC" w:rsidRPr="00110D6C">
        <w:rPr>
          <w:rFonts w:cs="Times New Roman"/>
          <w:color w:val="auto"/>
          <w:szCs w:val="22"/>
          <w:lang w:val="pt-PT"/>
        </w:rPr>
        <w:t> </w:t>
      </w:r>
      <w:r w:rsidRPr="00110D6C">
        <w:rPr>
          <w:rFonts w:cs="Times New Roman"/>
          <w:color w:val="auto"/>
          <w:szCs w:val="22"/>
          <w:lang w:val="pt-PT"/>
        </w:rPr>
        <w:t>24, a proporção de doentes que atingiram os critérios de resposta modificados para a AP (PsARC) também foi significativamente maior nos grupos de ustecinumab em comparação com placebo. As respostas PsARC foram mantidas durante as semanas</w:t>
      </w:r>
      <w:r w:rsidR="005562CC" w:rsidRPr="00110D6C">
        <w:rPr>
          <w:rFonts w:cs="Times New Roman"/>
          <w:color w:val="auto"/>
          <w:szCs w:val="22"/>
          <w:lang w:val="pt-PT"/>
        </w:rPr>
        <w:t> </w:t>
      </w:r>
      <w:r w:rsidRPr="00110D6C">
        <w:rPr>
          <w:rFonts w:cs="Times New Roman"/>
          <w:color w:val="auto"/>
          <w:szCs w:val="22"/>
          <w:lang w:val="pt-PT"/>
        </w:rPr>
        <w:t>5</w:t>
      </w:r>
      <w:r w:rsidR="00B910F9" w:rsidRPr="00110D6C">
        <w:rPr>
          <w:rFonts w:cs="Times New Roman"/>
          <w:color w:val="auto"/>
          <w:szCs w:val="22"/>
          <w:lang w:val="pt-PT"/>
        </w:rPr>
        <w:t>2</w:t>
      </w:r>
      <w:r w:rsidR="005562CC" w:rsidRPr="00110D6C">
        <w:rPr>
          <w:rFonts w:cs="Times New Roman"/>
          <w:color w:val="auto"/>
          <w:szCs w:val="22"/>
          <w:lang w:val="pt-PT"/>
        </w:rPr>
        <w:t xml:space="preserve"> </w:t>
      </w:r>
      <w:r w:rsidRPr="00110D6C">
        <w:rPr>
          <w:rFonts w:cs="Times New Roman"/>
          <w:color w:val="auto"/>
          <w:szCs w:val="22"/>
          <w:lang w:val="pt-PT"/>
        </w:rPr>
        <w:t>e 100. Na Semana</w:t>
      </w:r>
      <w:r w:rsidR="005562CC" w:rsidRPr="00110D6C">
        <w:rPr>
          <w:rFonts w:cs="Times New Roman"/>
          <w:color w:val="auto"/>
          <w:szCs w:val="22"/>
          <w:lang w:val="pt-PT"/>
        </w:rPr>
        <w:t> </w:t>
      </w:r>
      <w:r w:rsidRPr="00110D6C">
        <w:rPr>
          <w:rFonts w:cs="Times New Roman"/>
          <w:color w:val="auto"/>
          <w:szCs w:val="22"/>
          <w:lang w:val="pt-PT"/>
        </w:rPr>
        <w:t>24, a maior proporção de doentes tratados com ustecinumab que tinha espondilite com artrite periférica como forma de apresentação primária, demonstrou melhorias de 5</w:t>
      </w:r>
      <w:r w:rsidR="00B910F9" w:rsidRPr="00110D6C">
        <w:rPr>
          <w:rFonts w:cs="Times New Roman"/>
          <w:color w:val="auto"/>
          <w:szCs w:val="22"/>
          <w:lang w:val="pt-PT"/>
        </w:rPr>
        <w:t>0 </w:t>
      </w:r>
      <w:r w:rsidRPr="00110D6C">
        <w:rPr>
          <w:rFonts w:cs="Times New Roman"/>
          <w:color w:val="auto"/>
          <w:szCs w:val="22"/>
          <w:lang w:val="pt-PT"/>
        </w:rPr>
        <w:t>a 7</w:t>
      </w:r>
      <w:r w:rsidR="00B910F9" w:rsidRPr="00110D6C">
        <w:rPr>
          <w:rFonts w:cs="Times New Roman"/>
          <w:color w:val="auto"/>
          <w:szCs w:val="22"/>
          <w:lang w:val="pt-PT"/>
        </w:rPr>
        <w:t>0 </w:t>
      </w:r>
      <w:r w:rsidRPr="00110D6C">
        <w:rPr>
          <w:rFonts w:cs="Times New Roman"/>
          <w:color w:val="auto"/>
          <w:szCs w:val="22"/>
          <w:lang w:val="pt-PT"/>
        </w:rPr>
        <w:t xml:space="preserve">por cento nos critérios do </w:t>
      </w:r>
      <w:r w:rsidRPr="00110D6C">
        <w:rPr>
          <w:rFonts w:cs="Times New Roman"/>
          <w:i/>
          <w:iCs/>
          <w:color w:val="auto"/>
          <w:szCs w:val="22"/>
          <w:lang w:val="pt-PT"/>
        </w:rPr>
        <w:t>Bath Ankylosing Spondylitis Functional Index</w:t>
      </w:r>
      <w:r w:rsidRPr="00110D6C">
        <w:rPr>
          <w:rFonts w:cs="Times New Roman"/>
          <w:color w:val="auto"/>
          <w:szCs w:val="22"/>
          <w:lang w:val="pt-PT"/>
        </w:rPr>
        <w:t xml:space="preserve"> (BASFI) em comparação com placebo.</w:t>
      </w:r>
    </w:p>
    <w:p w14:paraId="721E5918" w14:textId="77777777" w:rsidR="00E77794" w:rsidRPr="00110D6C" w:rsidRDefault="00E77794" w:rsidP="00A17623">
      <w:pPr>
        <w:widowControl/>
        <w:rPr>
          <w:rFonts w:cs="Times New Roman"/>
          <w:color w:val="auto"/>
          <w:szCs w:val="22"/>
          <w:lang w:val="pt-PT"/>
        </w:rPr>
      </w:pPr>
    </w:p>
    <w:p w14:paraId="114CCFBA"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As respostas observadas nos grupos tratados com ustecinumab foram semelhantes nos doentes que receberam e nos que não receberam concomitantemente MTX, e foram mantidas durante as semanas 5</w:t>
      </w:r>
      <w:r w:rsidR="00B910F9" w:rsidRPr="00110D6C">
        <w:rPr>
          <w:rFonts w:cs="Times New Roman"/>
          <w:color w:val="auto"/>
          <w:szCs w:val="22"/>
          <w:lang w:val="pt-PT"/>
        </w:rPr>
        <w:t>2 </w:t>
      </w:r>
      <w:r w:rsidRPr="00110D6C">
        <w:rPr>
          <w:rFonts w:cs="Times New Roman"/>
          <w:color w:val="auto"/>
          <w:szCs w:val="22"/>
          <w:lang w:val="pt-PT"/>
        </w:rPr>
        <w:t>e 100. Os doentes previamente tratados com agentes anti-TNF que receberam ustecinumab alcançaram uma maior resposta na Semana</w:t>
      </w:r>
      <w:r w:rsidR="005562CC" w:rsidRPr="00110D6C">
        <w:rPr>
          <w:rFonts w:cs="Times New Roman"/>
          <w:color w:val="auto"/>
          <w:szCs w:val="22"/>
          <w:lang w:val="pt-PT"/>
        </w:rPr>
        <w:t> </w:t>
      </w:r>
      <w:r w:rsidRPr="00110D6C">
        <w:rPr>
          <w:rFonts w:cs="Times New Roman"/>
          <w:color w:val="auto"/>
          <w:szCs w:val="22"/>
          <w:lang w:val="pt-PT"/>
        </w:rPr>
        <w:t>2</w:t>
      </w:r>
      <w:r w:rsidR="00B910F9" w:rsidRPr="00110D6C">
        <w:rPr>
          <w:rFonts w:cs="Times New Roman"/>
          <w:color w:val="auto"/>
          <w:szCs w:val="22"/>
          <w:lang w:val="pt-PT"/>
        </w:rPr>
        <w:t>4</w:t>
      </w:r>
      <w:r w:rsidR="005562CC" w:rsidRPr="00110D6C">
        <w:rPr>
          <w:rFonts w:cs="Times New Roman"/>
          <w:color w:val="auto"/>
          <w:szCs w:val="22"/>
          <w:lang w:val="pt-PT"/>
        </w:rPr>
        <w:t xml:space="preserve"> </w:t>
      </w:r>
      <w:r w:rsidRPr="00110D6C">
        <w:rPr>
          <w:rFonts w:cs="Times New Roman"/>
          <w:color w:val="auto"/>
          <w:szCs w:val="22"/>
          <w:lang w:val="pt-PT"/>
        </w:rPr>
        <w:t>do que os doentes que receberam placebo (a resposta ACR 2</w:t>
      </w:r>
      <w:r w:rsidR="00B910F9" w:rsidRPr="00110D6C">
        <w:rPr>
          <w:rFonts w:cs="Times New Roman"/>
          <w:color w:val="auto"/>
          <w:szCs w:val="22"/>
          <w:lang w:val="pt-PT"/>
        </w:rPr>
        <w:t>0 </w:t>
      </w:r>
      <w:r w:rsidRPr="00110D6C">
        <w:rPr>
          <w:rFonts w:cs="Times New Roman"/>
          <w:color w:val="auto"/>
          <w:szCs w:val="22"/>
          <w:lang w:val="pt-PT"/>
        </w:rPr>
        <w:t>na Semana</w:t>
      </w:r>
      <w:r w:rsidR="005562CC" w:rsidRPr="00110D6C">
        <w:rPr>
          <w:rFonts w:cs="Times New Roman"/>
          <w:color w:val="auto"/>
          <w:szCs w:val="22"/>
          <w:lang w:val="pt-PT"/>
        </w:rPr>
        <w:t> </w:t>
      </w:r>
      <w:r w:rsidRPr="00110D6C">
        <w:rPr>
          <w:rFonts w:cs="Times New Roman"/>
          <w:color w:val="auto"/>
          <w:szCs w:val="22"/>
          <w:lang w:val="pt-PT"/>
        </w:rPr>
        <w:t>2</w:t>
      </w:r>
      <w:r w:rsidR="00B910F9" w:rsidRPr="00110D6C">
        <w:rPr>
          <w:rFonts w:cs="Times New Roman"/>
          <w:color w:val="auto"/>
          <w:szCs w:val="22"/>
          <w:lang w:val="pt-PT"/>
        </w:rPr>
        <w:t>4</w:t>
      </w:r>
      <w:r w:rsidR="005562CC" w:rsidRPr="00110D6C">
        <w:rPr>
          <w:rFonts w:cs="Times New Roman"/>
          <w:color w:val="auto"/>
          <w:szCs w:val="22"/>
          <w:lang w:val="pt-PT"/>
        </w:rPr>
        <w:t xml:space="preserve"> </w:t>
      </w:r>
      <w:r w:rsidRPr="00110D6C">
        <w:rPr>
          <w:rFonts w:cs="Times New Roman"/>
          <w:color w:val="auto"/>
          <w:szCs w:val="22"/>
          <w:lang w:val="pt-PT"/>
        </w:rPr>
        <w:t>para 4</w:t>
      </w:r>
      <w:r w:rsidR="00B910F9" w:rsidRPr="00110D6C">
        <w:rPr>
          <w:rFonts w:cs="Times New Roman"/>
          <w:color w:val="auto"/>
          <w:szCs w:val="22"/>
          <w:lang w:val="pt-PT"/>
        </w:rPr>
        <w:t>5 </w:t>
      </w:r>
      <w:r w:rsidRPr="00110D6C">
        <w:rPr>
          <w:rFonts w:cs="Times New Roman"/>
          <w:color w:val="auto"/>
          <w:szCs w:val="22"/>
          <w:lang w:val="pt-PT"/>
        </w:rPr>
        <w:t>mg e 9</w:t>
      </w:r>
      <w:r w:rsidR="00B910F9" w:rsidRPr="00110D6C">
        <w:rPr>
          <w:rFonts w:cs="Times New Roman"/>
          <w:color w:val="auto"/>
          <w:szCs w:val="22"/>
          <w:lang w:val="pt-PT"/>
        </w:rPr>
        <w:t>0 </w:t>
      </w:r>
      <w:r w:rsidRPr="00110D6C">
        <w:rPr>
          <w:rFonts w:cs="Times New Roman"/>
          <w:color w:val="auto"/>
          <w:szCs w:val="22"/>
          <w:lang w:val="pt-PT"/>
        </w:rPr>
        <w:t>mg foi de 37% e 34%, respetivamente, em comparação com placebo 15%; p</w:t>
      </w:r>
      <w:r w:rsidR="00F5387C" w:rsidRPr="00110D6C">
        <w:rPr>
          <w:rFonts w:cs="Times New Roman"/>
          <w:color w:val="auto"/>
          <w:szCs w:val="22"/>
          <w:lang w:val="pt-PT"/>
        </w:rPr>
        <w:t> </w:t>
      </w:r>
      <w:r w:rsidRPr="00110D6C">
        <w:rPr>
          <w:rFonts w:cs="Times New Roman"/>
          <w:color w:val="auto"/>
          <w:szCs w:val="22"/>
          <w:lang w:val="pt-PT"/>
        </w:rPr>
        <w:t>&lt;</w:t>
      </w:r>
      <w:r w:rsidR="00F5387C" w:rsidRPr="00110D6C">
        <w:rPr>
          <w:rFonts w:cs="Times New Roman"/>
          <w:color w:val="auto"/>
          <w:szCs w:val="22"/>
          <w:lang w:val="pt-PT"/>
        </w:rPr>
        <w:t> </w:t>
      </w:r>
      <w:r w:rsidRPr="00110D6C">
        <w:rPr>
          <w:rFonts w:cs="Times New Roman"/>
          <w:color w:val="auto"/>
          <w:szCs w:val="22"/>
          <w:lang w:val="pt-PT"/>
        </w:rPr>
        <w:t>0,05), e as respostas foram mantidas durante a semana</w:t>
      </w:r>
      <w:r w:rsidR="005562CC" w:rsidRPr="00110D6C">
        <w:rPr>
          <w:rFonts w:cs="Times New Roman"/>
          <w:color w:val="auto"/>
          <w:szCs w:val="22"/>
          <w:lang w:val="pt-PT"/>
        </w:rPr>
        <w:t> </w:t>
      </w:r>
      <w:r w:rsidRPr="00110D6C">
        <w:rPr>
          <w:rFonts w:cs="Times New Roman"/>
          <w:color w:val="auto"/>
          <w:szCs w:val="22"/>
          <w:lang w:val="pt-PT"/>
        </w:rPr>
        <w:t>52.</w:t>
      </w:r>
    </w:p>
    <w:p w14:paraId="4AC9DC86" w14:textId="77777777" w:rsidR="00E77794" w:rsidRPr="00110D6C" w:rsidRDefault="00E77794" w:rsidP="00A17623">
      <w:pPr>
        <w:widowControl/>
        <w:rPr>
          <w:rFonts w:cs="Times New Roman"/>
          <w:color w:val="auto"/>
          <w:szCs w:val="22"/>
          <w:lang w:val="pt-PT"/>
        </w:rPr>
      </w:pPr>
    </w:p>
    <w:p w14:paraId="3D1DE53C"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Na Semana</w:t>
      </w:r>
      <w:r w:rsidR="005562CC" w:rsidRPr="00110D6C">
        <w:rPr>
          <w:rFonts w:cs="Times New Roman"/>
          <w:color w:val="auto"/>
          <w:szCs w:val="22"/>
          <w:lang w:val="pt-PT"/>
        </w:rPr>
        <w:t> </w:t>
      </w:r>
      <w:r w:rsidRPr="00110D6C">
        <w:rPr>
          <w:rFonts w:cs="Times New Roman"/>
          <w:color w:val="auto"/>
          <w:szCs w:val="22"/>
          <w:lang w:val="pt-PT"/>
        </w:rPr>
        <w:t>2</w:t>
      </w:r>
      <w:r w:rsidR="00B910F9" w:rsidRPr="00110D6C">
        <w:rPr>
          <w:rFonts w:cs="Times New Roman"/>
          <w:color w:val="auto"/>
          <w:szCs w:val="22"/>
          <w:lang w:val="pt-PT"/>
        </w:rPr>
        <w:t>4</w:t>
      </w:r>
      <w:r w:rsidR="00056B50" w:rsidRPr="00110D6C">
        <w:rPr>
          <w:rFonts w:cs="Times New Roman"/>
          <w:color w:val="auto"/>
          <w:szCs w:val="22"/>
          <w:lang w:val="pt-PT"/>
        </w:rPr>
        <w:t xml:space="preserve"> </w:t>
      </w:r>
      <w:r w:rsidRPr="00110D6C">
        <w:rPr>
          <w:rFonts w:cs="Times New Roman"/>
          <w:color w:val="auto"/>
          <w:szCs w:val="22"/>
          <w:lang w:val="pt-PT"/>
        </w:rPr>
        <w:t>do Estudo</w:t>
      </w:r>
      <w:r w:rsidR="00056B50" w:rsidRPr="00110D6C">
        <w:rPr>
          <w:rFonts w:cs="Times New Roman"/>
          <w:color w:val="auto"/>
          <w:szCs w:val="22"/>
          <w:lang w:val="pt-PT"/>
        </w:rPr>
        <w:t> </w:t>
      </w:r>
      <w:r w:rsidR="00B910F9" w:rsidRPr="00110D6C">
        <w:rPr>
          <w:rFonts w:cs="Times New Roman"/>
          <w:color w:val="auto"/>
          <w:szCs w:val="22"/>
          <w:lang w:val="pt-PT"/>
        </w:rPr>
        <w:t>1</w:t>
      </w:r>
      <w:r w:rsidR="00056B50" w:rsidRPr="00110D6C">
        <w:rPr>
          <w:rFonts w:cs="Times New Roman"/>
          <w:color w:val="auto"/>
          <w:szCs w:val="22"/>
          <w:lang w:val="pt-PT"/>
        </w:rPr>
        <w:t xml:space="preserve"> </w:t>
      </w:r>
      <w:r w:rsidRPr="00110D6C">
        <w:rPr>
          <w:rFonts w:cs="Times New Roman"/>
          <w:color w:val="auto"/>
          <w:szCs w:val="22"/>
          <w:lang w:val="pt-PT"/>
        </w:rPr>
        <w:t>observaram-se melhorias significativas nas pontuações de dactilites e entesites nos grupos de ustecinumab em comparação com o placebo nos doentes com entesites e/ou dactilites basais. Na semana</w:t>
      </w:r>
      <w:r w:rsidR="005562CC" w:rsidRPr="00110D6C">
        <w:rPr>
          <w:rFonts w:cs="Times New Roman"/>
          <w:color w:val="auto"/>
          <w:szCs w:val="22"/>
          <w:lang w:val="pt-PT"/>
        </w:rPr>
        <w:t> </w:t>
      </w:r>
      <w:r w:rsidRPr="00110D6C">
        <w:rPr>
          <w:rFonts w:cs="Times New Roman"/>
          <w:color w:val="auto"/>
          <w:szCs w:val="22"/>
          <w:lang w:val="pt-PT"/>
        </w:rPr>
        <w:t>2</w:t>
      </w:r>
      <w:r w:rsidR="00B910F9" w:rsidRPr="00110D6C">
        <w:rPr>
          <w:rFonts w:cs="Times New Roman"/>
          <w:color w:val="auto"/>
          <w:szCs w:val="22"/>
          <w:lang w:val="pt-PT"/>
        </w:rPr>
        <w:t>4</w:t>
      </w:r>
      <w:r w:rsidR="005562CC" w:rsidRPr="00110D6C">
        <w:rPr>
          <w:rFonts w:cs="Times New Roman"/>
          <w:color w:val="auto"/>
          <w:szCs w:val="22"/>
          <w:lang w:val="pt-PT"/>
        </w:rPr>
        <w:t xml:space="preserve"> </w:t>
      </w:r>
      <w:r w:rsidRPr="00110D6C">
        <w:rPr>
          <w:rFonts w:cs="Times New Roman"/>
          <w:color w:val="auto"/>
          <w:szCs w:val="22"/>
          <w:lang w:val="pt-PT"/>
        </w:rPr>
        <w:t xml:space="preserve">do Estudo </w:t>
      </w:r>
      <w:r w:rsidR="00B910F9" w:rsidRPr="00110D6C">
        <w:rPr>
          <w:rFonts w:cs="Times New Roman"/>
          <w:color w:val="auto"/>
          <w:szCs w:val="22"/>
          <w:lang w:val="pt-PT"/>
        </w:rPr>
        <w:t>2 </w:t>
      </w:r>
      <w:r w:rsidRPr="00110D6C">
        <w:rPr>
          <w:rFonts w:cs="Times New Roman"/>
          <w:color w:val="auto"/>
          <w:szCs w:val="22"/>
          <w:lang w:val="pt-PT"/>
        </w:rPr>
        <w:t>da AP, observaram-se melhorias significativas na pontuação da entesite e melhorias numéricas (estatisticamente não significativas) na pontuação da dactilite no grupo de ustecinumab 9</w:t>
      </w:r>
      <w:r w:rsidR="00B910F9" w:rsidRPr="00110D6C">
        <w:rPr>
          <w:rFonts w:cs="Times New Roman"/>
          <w:color w:val="auto"/>
          <w:szCs w:val="22"/>
          <w:lang w:val="pt-PT"/>
        </w:rPr>
        <w:t>0 </w:t>
      </w:r>
      <w:r w:rsidRPr="00110D6C">
        <w:rPr>
          <w:rFonts w:cs="Times New Roman"/>
          <w:color w:val="auto"/>
          <w:szCs w:val="22"/>
          <w:lang w:val="pt-PT"/>
        </w:rPr>
        <w:t>mg (p</w:t>
      </w:r>
      <w:r w:rsidR="005562CC" w:rsidRPr="00110D6C">
        <w:rPr>
          <w:rFonts w:cs="Times New Roman"/>
          <w:color w:val="auto"/>
          <w:szCs w:val="22"/>
          <w:lang w:val="pt-PT"/>
        </w:rPr>
        <w:t> </w:t>
      </w:r>
      <w:r w:rsidRPr="00110D6C">
        <w:rPr>
          <w:rFonts w:cs="Times New Roman"/>
          <w:color w:val="auto"/>
          <w:szCs w:val="22"/>
          <w:lang w:val="pt-PT"/>
        </w:rPr>
        <w:t>=</w:t>
      </w:r>
      <w:r w:rsidR="005562CC" w:rsidRPr="00110D6C">
        <w:rPr>
          <w:rFonts w:cs="Times New Roman"/>
          <w:color w:val="auto"/>
          <w:szCs w:val="22"/>
          <w:lang w:val="pt-PT"/>
        </w:rPr>
        <w:t> </w:t>
      </w:r>
      <w:r w:rsidRPr="00110D6C">
        <w:rPr>
          <w:rFonts w:cs="Times New Roman"/>
          <w:color w:val="auto"/>
          <w:szCs w:val="22"/>
          <w:lang w:val="pt-PT"/>
        </w:rPr>
        <w:t>NS) em comparação com placebo. As melhorias na pontuação da entesite e na pontuação da dactilite foram mantidas durante as semanas</w:t>
      </w:r>
      <w:r w:rsidR="005562CC" w:rsidRPr="00110D6C">
        <w:rPr>
          <w:rFonts w:cs="Times New Roman"/>
          <w:color w:val="auto"/>
          <w:szCs w:val="22"/>
          <w:lang w:val="pt-PT"/>
        </w:rPr>
        <w:t> </w:t>
      </w:r>
      <w:r w:rsidRPr="00110D6C">
        <w:rPr>
          <w:rFonts w:cs="Times New Roman"/>
          <w:color w:val="auto"/>
          <w:szCs w:val="22"/>
          <w:lang w:val="pt-PT"/>
        </w:rPr>
        <w:t>5</w:t>
      </w:r>
      <w:r w:rsidR="00B910F9" w:rsidRPr="00110D6C">
        <w:rPr>
          <w:rFonts w:cs="Times New Roman"/>
          <w:color w:val="auto"/>
          <w:szCs w:val="22"/>
          <w:lang w:val="pt-PT"/>
        </w:rPr>
        <w:t>2</w:t>
      </w:r>
      <w:r w:rsidR="005562CC" w:rsidRPr="00110D6C">
        <w:rPr>
          <w:rFonts w:cs="Times New Roman"/>
          <w:color w:val="auto"/>
          <w:szCs w:val="22"/>
          <w:lang w:val="pt-PT"/>
        </w:rPr>
        <w:t xml:space="preserve"> </w:t>
      </w:r>
      <w:r w:rsidRPr="00110D6C">
        <w:rPr>
          <w:rFonts w:cs="Times New Roman"/>
          <w:color w:val="auto"/>
          <w:szCs w:val="22"/>
          <w:lang w:val="pt-PT"/>
        </w:rPr>
        <w:t>e 100.</w:t>
      </w:r>
    </w:p>
    <w:p w14:paraId="3EEFFF7F" w14:textId="77777777" w:rsidR="00E77794" w:rsidRPr="00110D6C" w:rsidRDefault="00E77794" w:rsidP="00A17623">
      <w:pPr>
        <w:widowControl/>
        <w:rPr>
          <w:rFonts w:cs="Times New Roman"/>
          <w:color w:val="auto"/>
          <w:szCs w:val="22"/>
          <w:lang w:val="pt-PT"/>
        </w:rPr>
      </w:pPr>
    </w:p>
    <w:p w14:paraId="182976AB" w14:textId="77777777" w:rsidR="0077031F" w:rsidRPr="00110D6C" w:rsidRDefault="00030085" w:rsidP="00A17623">
      <w:pPr>
        <w:widowControl/>
        <w:rPr>
          <w:rFonts w:cs="Times New Roman"/>
          <w:color w:val="auto"/>
          <w:szCs w:val="22"/>
          <w:lang w:val="pt-PT"/>
        </w:rPr>
      </w:pPr>
      <w:r w:rsidRPr="00110D6C">
        <w:rPr>
          <w:rFonts w:cs="Times New Roman"/>
          <w:i/>
          <w:iCs/>
          <w:color w:val="auto"/>
          <w:szCs w:val="22"/>
          <w:lang w:val="pt-PT"/>
        </w:rPr>
        <w:t>Resposta radiográfica</w:t>
      </w:r>
    </w:p>
    <w:p w14:paraId="09BA3532"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Os danos estruturais em ambas as mãos e pés foram expressos pela alteração na pontuação total da escala Sharp modificada por van der Heijde (pontuação vdH-S), modificada para AP através da adição de articulações interfalângicas distais da mão, em comparação com o valor basal. Foi realizada uma análise integrada, pré-especificada, combinando dados a partir de 92</w:t>
      </w:r>
      <w:r w:rsidR="00B910F9" w:rsidRPr="00110D6C">
        <w:rPr>
          <w:rFonts w:cs="Times New Roman"/>
          <w:color w:val="auto"/>
          <w:szCs w:val="22"/>
          <w:lang w:val="pt-PT"/>
        </w:rPr>
        <w:t>7 </w:t>
      </w:r>
      <w:r w:rsidRPr="00110D6C">
        <w:rPr>
          <w:rFonts w:cs="Times New Roman"/>
          <w:color w:val="auto"/>
          <w:szCs w:val="22"/>
          <w:lang w:val="pt-PT"/>
        </w:rPr>
        <w:t xml:space="preserve">indivíduos em ambos os Estudo </w:t>
      </w:r>
      <w:r w:rsidRPr="00110D6C">
        <w:rPr>
          <w:rFonts w:cs="Times New Roman"/>
          <w:color w:val="auto"/>
          <w:szCs w:val="22"/>
          <w:lang w:val="pt-PT"/>
        </w:rPr>
        <w:lastRenderedPageBreak/>
        <w:t xml:space="preserve">da AP </w:t>
      </w:r>
      <w:r w:rsidR="00B910F9" w:rsidRPr="00110D6C">
        <w:rPr>
          <w:rFonts w:cs="Times New Roman"/>
          <w:color w:val="auto"/>
          <w:szCs w:val="22"/>
          <w:lang w:val="pt-PT"/>
        </w:rPr>
        <w:t>1 </w:t>
      </w:r>
      <w:r w:rsidRPr="00110D6C">
        <w:rPr>
          <w:rFonts w:cs="Times New Roman"/>
          <w:color w:val="auto"/>
          <w:szCs w:val="22"/>
          <w:lang w:val="pt-PT"/>
        </w:rPr>
        <w:t>e 2. O ustecinumab demonstrou uma diminuição estatisticamente significativa na taxa de progressão dos danos estruturais em comparação com placebo, conforme medido pela alteração desde os valores iniciais até à semana</w:t>
      </w:r>
      <w:r w:rsidR="005562CC" w:rsidRPr="00110D6C">
        <w:rPr>
          <w:rFonts w:cs="Times New Roman"/>
          <w:color w:val="auto"/>
          <w:szCs w:val="22"/>
          <w:lang w:val="pt-PT"/>
        </w:rPr>
        <w:t> </w:t>
      </w:r>
      <w:r w:rsidRPr="00110D6C">
        <w:rPr>
          <w:rFonts w:cs="Times New Roman"/>
          <w:color w:val="auto"/>
          <w:szCs w:val="22"/>
          <w:lang w:val="pt-PT"/>
        </w:rPr>
        <w:t>24, na pontuação vdH-S total modificada (média</w:t>
      </w:r>
      <w:r w:rsidR="005562CC" w:rsidRPr="00110D6C">
        <w:rPr>
          <w:rFonts w:cs="Times New Roman"/>
          <w:color w:val="auto"/>
          <w:szCs w:val="22"/>
          <w:lang w:val="pt-PT"/>
        </w:rPr>
        <w:t> </w:t>
      </w:r>
      <w:r w:rsidRPr="00110D6C">
        <w:rPr>
          <w:rFonts w:cs="Times New Roman"/>
          <w:color w:val="auto"/>
          <w:szCs w:val="22"/>
          <w:lang w:val="pt-PT"/>
        </w:rPr>
        <w:t>±</w:t>
      </w:r>
      <w:r w:rsidR="005562CC" w:rsidRPr="00110D6C">
        <w:rPr>
          <w:rFonts w:cs="Times New Roman"/>
          <w:color w:val="auto"/>
          <w:szCs w:val="22"/>
          <w:lang w:val="pt-PT"/>
        </w:rPr>
        <w:t> </w:t>
      </w:r>
      <w:r w:rsidRPr="00110D6C">
        <w:rPr>
          <w:rFonts w:cs="Times New Roman"/>
          <w:color w:val="auto"/>
          <w:szCs w:val="22"/>
          <w:lang w:val="pt-PT"/>
        </w:rPr>
        <w:t>DP da pontuação foi de 0,9</w:t>
      </w:r>
      <w:r w:rsidR="00B910F9" w:rsidRPr="00110D6C">
        <w:rPr>
          <w:rFonts w:cs="Times New Roman"/>
          <w:color w:val="auto"/>
          <w:szCs w:val="22"/>
          <w:lang w:val="pt-PT"/>
        </w:rPr>
        <w:t>7 </w:t>
      </w:r>
      <w:r w:rsidRPr="00110D6C">
        <w:rPr>
          <w:rFonts w:cs="Times New Roman"/>
          <w:color w:val="auto"/>
          <w:szCs w:val="22"/>
          <w:lang w:val="pt-PT"/>
        </w:rPr>
        <w:t>±</w:t>
      </w:r>
      <w:r w:rsidR="00F5387C" w:rsidRPr="00110D6C">
        <w:rPr>
          <w:rFonts w:cs="Times New Roman"/>
          <w:color w:val="auto"/>
          <w:szCs w:val="22"/>
          <w:lang w:val="pt-PT"/>
        </w:rPr>
        <w:t> </w:t>
      </w:r>
      <w:r w:rsidRPr="00110D6C">
        <w:rPr>
          <w:rFonts w:cs="Times New Roman"/>
          <w:color w:val="auto"/>
          <w:szCs w:val="22"/>
          <w:lang w:val="pt-PT"/>
        </w:rPr>
        <w:t>3,8</w:t>
      </w:r>
      <w:r w:rsidR="00B910F9" w:rsidRPr="00110D6C">
        <w:rPr>
          <w:rFonts w:cs="Times New Roman"/>
          <w:color w:val="auto"/>
          <w:szCs w:val="22"/>
          <w:lang w:val="pt-PT"/>
        </w:rPr>
        <w:t>5 </w:t>
      </w:r>
      <w:r w:rsidRPr="00110D6C">
        <w:rPr>
          <w:rFonts w:cs="Times New Roman"/>
          <w:color w:val="auto"/>
          <w:szCs w:val="22"/>
          <w:lang w:val="pt-PT"/>
        </w:rPr>
        <w:t>no grupo placebo, em comparação com 0,4</w:t>
      </w:r>
      <w:r w:rsidR="00B910F9" w:rsidRPr="00110D6C">
        <w:rPr>
          <w:rFonts w:cs="Times New Roman"/>
          <w:color w:val="auto"/>
          <w:szCs w:val="22"/>
          <w:lang w:val="pt-PT"/>
        </w:rPr>
        <w:t>0 </w:t>
      </w:r>
      <w:r w:rsidRPr="00110D6C">
        <w:rPr>
          <w:rFonts w:cs="Times New Roman"/>
          <w:color w:val="auto"/>
          <w:szCs w:val="22"/>
          <w:lang w:val="pt-PT"/>
        </w:rPr>
        <w:t>±</w:t>
      </w:r>
      <w:r w:rsidR="00056B50" w:rsidRPr="00110D6C">
        <w:rPr>
          <w:rFonts w:cs="Times New Roman"/>
          <w:color w:val="auto"/>
          <w:szCs w:val="22"/>
          <w:lang w:val="pt-PT"/>
        </w:rPr>
        <w:t> </w:t>
      </w:r>
      <w:r w:rsidRPr="00110D6C">
        <w:rPr>
          <w:rFonts w:cs="Times New Roman"/>
          <w:color w:val="auto"/>
          <w:szCs w:val="22"/>
          <w:lang w:val="pt-PT"/>
        </w:rPr>
        <w:t>2,1</w:t>
      </w:r>
      <w:r w:rsidR="00B910F9" w:rsidRPr="00110D6C">
        <w:rPr>
          <w:rFonts w:cs="Times New Roman"/>
          <w:color w:val="auto"/>
          <w:szCs w:val="22"/>
          <w:lang w:val="pt-PT"/>
        </w:rPr>
        <w:t>1 </w:t>
      </w:r>
      <w:r w:rsidRPr="00110D6C">
        <w:rPr>
          <w:rFonts w:cs="Times New Roman"/>
          <w:color w:val="auto"/>
          <w:szCs w:val="22"/>
          <w:lang w:val="pt-PT"/>
        </w:rPr>
        <w:t>e 0,3</w:t>
      </w:r>
      <w:r w:rsidR="00B910F9" w:rsidRPr="00110D6C">
        <w:rPr>
          <w:rFonts w:cs="Times New Roman"/>
          <w:color w:val="auto"/>
          <w:szCs w:val="22"/>
          <w:lang w:val="pt-PT"/>
        </w:rPr>
        <w:t>9 </w:t>
      </w:r>
      <w:r w:rsidRPr="00110D6C">
        <w:rPr>
          <w:rFonts w:cs="Times New Roman"/>
          <w:color w:val="auto"/>
          <w:szCs w:val="22"/>
          <w:lang w:val="pt-PT"/>
        </w:rPr>
        <w:t>±</w:t>
      </w:r>
      <w:r w:rsidR="005562CC" w:rsidRPr="00110D6C">
        <w:rPr>
          <w:rFonts w:cs="Times New Roman"/>
          <w:color w:val="auto"/>
          <w:szCs w:val="22"/>
          <w:lang w:val="pt-PT"/>
        </w:rPr>
        <w:t> </w:t>
      </w:r>
      <w:r w:rsidRPr="00110D6C">
        <w:rPr>
          <w:rFonts w:cs="Times New Roman"/>
          <w:color w:val="auto"/>
          <w:szCs w:val="22"/>
          <w:lang w:val="pt-PT"/>
        </w:rPr>
        <w:t>2,4</w:t>
      </w:r>
      <w:r w:rsidR="00B910F9" w:rsidRPr="00110D6C">
        <w:rPr>
          <w:rFonts w:cs="Times New Roman"/>
          <w:color w:val="auto"/>
          <w:szCs w:val="22"/>
          <w:lang w:val="pt-PT"/>
        </w:rPr>
        <w:t>0 </w:t>
      </w:r>
      <w:r w:rsidRPr="00110D6C">
        <w:rPr>
          <w:rFonts w:cs="Times New Roman"/>
          <w:color w:val="auto"/>
          <w:szCs w:val="22"/>
          <w:lang w:val="pt-PT"/>
        </w:rPr>
        <w:t>nos grupos de ustecinumab 4</w:t>
      </w:r>
      <w:r w:rsidR="00B910F9" w:rsidRPr="00110D6C">
        <w:rPr>
          <w:rFonts w:cs="Times New Roman"/>
          <w:color w:val="auto"/>
          <w:szCs w:val="22"/>
          <w:lang w:val="pt-PT"/>
        </w:rPr>
        <w:t>5 </w:t>
      </w:r>
      <w:r w:rsidRPr="00110D6C">
        <w:rPr>
          <w:rFonts w:cs="Times New Roman"/>
          <w:color w:val="auto"/>
          <w:szCs w:val="22"/>
          <w:lang w:val="pt-PT"/>
        </w:rPr>
        <w:t>mg (p</w:t>
      </w:r>
      <w:r w:rsidR="00F5387C" w:rsidRPr="00110D6C">
        <w:rPr>
          <w:rFonts w:cs="Times New Roman"/>
          <w:color w:val="auto"/>
          <w:szCs w:val="22"/>
          <w:lang w:val="pt-PT"/>
        </w:rPr>
        <w:t> </w:t>
      </w:r>
      <w:r w:rsidRPr="00110D6C">
        <w:rPr>
          <w:rFonts w:cs="Times New Roman"/>
          <w:color w:val="auto"/>
          <w:szCs w:val="22"/>
          <w:lang w:val="pt-PT"/>
        </w:rPr>
        <w:t>&lt;</w:t>
      </w:r>
      <w:r w:rsidR="00F5387C" w:rsidRPr="00110D6C">
        <w:rPr>
          <w:rFonts w:cs="Times New Roman"/>
          <w:color w:val="auto"/>
          <w:szCs w:val="22"/>
          <w:lang w:val="pt-PT"/>
        </w:rPr>
        <w:t> </w:t>
      </w:r>
      <w:r w:rsidRPr="00110D6C">
        <w:rPr>
          <w:rFonts w:cs="Times New Roman"/>
          <w:color w:val="auto"/>
          <w:szCs w:val="22"/>
          <w:lang w:val="pt-PT"/>
        </w:rPr>
        <w:t>0,05) e 9</w:t>
      </w:r>
      <w:r w:rsidR="00B910F9" w:rsidRPr="00110D6C">
        <w:rPr>
          <w:rFonts w:cs="Times New Roman"/>
          <w:color w:val="auto"/>
          <w:szCs w:val="22"/>
          <w:lang w:val="pt-PT"/>
        </w:rPr>
        <w:t>0 </w:t>
      </w:r>
      <w:r w:rsidRPr="00110D6C">
        <w:rPr>
          <w:rFonts w:cs="Times New Roman"/>
          <w:color w:val="auto"/>
          <w:szCs w:val="22"/>
          <w:lang w:val="pt-PT"/>
        </w:rPr>
        <w:t>mg (p</w:t>
      </w:r>
      <w:r w:rsidR="00F5387C" w:rsidRPr="00110D6C">
        <w:rPr>
          <w:rFonts w:cs="Times New Roman"/>
          <w:color w:val="auto"/>
          <w:szCs w:val="22"/>
          <w:lang w:val="pt-PT"/>
        </w:rPr>
        <w:t> </w:t>
      </w:r>
      <w:r w:rsidRPr="00110D6C">
        <w:rPr>
          <w:rFonts w:cs="Times New Roman"/>
          <w:color w:val="auto"/>
          <w:szCs w:val="22"/>
          <w:lang w:val="pt-PT"/>
        </w:rPr>
        <w:t>&lt;</w:t>
      </w:r>
      <w:r w:rsidR="00F5387C" w:rsidRPr="00110D6C">
        <w:rPr>
          <w:rFonts w:cs="Times New Roman"/>
          <w:color w:val="auto"/>
          <w:szCs w:val="22"/>
          <w:lang w:val="pt-PT"/>
        </w:rPr>
        <w:t> </w:t>
      </w:r>
      <w:r w:rsidRPr="00110D6C">
        <w:rPr>
          <w:rFonts w:cs="Times New Roman"/>
          <w:color w:val="auto"/>
          <w:szCs w:val="22"/>
          <w:lang w:val="pt-PT"/>
        </w:rPr>
        <w:t xml:space="preserve">0,001), respetivamente). Este efeito foi impulsionado pelo Estudo </w:t>
      </w:r>
      <w:r w:rsidR="00B910F9" w:rsidRPr="00110D6C">
        <w:rPr>
          <w:rFonts w:cs="Times New Roman"/>
          <w:color w:val="auto"/>
          <w:szCs w:val="22"/>
          <w:lang w:val="pt-PT"/>
        </w:rPr>
        <w:t>1 </w:t>
      </w:r>
      <w:r w:rsidRPr="00110D6C">
        <w:rPr>
          <w:rFonts w:cs="Times New Roman"/>
          <w:color w:val="auto"/>
          <w:szCs w:val="22"/>
          <w:lang w:val="pt-PT"/>
        </w:rPr>
        <w:t>da AP. O efeito é considerado demonstrado, independentemente da utilização concomitante de MTX, e foi mantido durante as semanas</w:t>
      </w:r>
      <w:r w:rsidR="006A79E5" w:rsidRPr="00110D6C">
        <w:rPr>
          <w:rFonts w:cs="Times New Roman"/>
          <w:color w:val="auto"/>
          <w:szCs w:val="22"/>
          <w:lang w:val="pt-PT"/>
        </w:rPr>
        <w:t> </w:t>
      </w:r>
      <w:r w:rsidRPr="00110D6C">
        <w:rPr>
          <w:rFonts w:cs="Times New Roman"/>
          <w:color w:val="auto"/>
          <w:szCs w:val="22"/>
          <w:lang w:val="pt-PT"/>
        </w:rPr>
        <w:t>5</w:t>
      </w:r>
      <w:r w:rsidR="00B910F9" w:rsidRPr="00110D6C">
        <w:rPr>
          <w:rFonts w:cs="Times New Roman"/>
          <w:color w:val="auto"/>
          <w:szCs w:val="22"/>
          <w:lang w:val="pt-PT"/>
        </w:rPr>
        <w:t>2</w:t>
      </w:r>
      <w:r w:rsidR="006A79E5" w:rsidRPr="00110D6C">
        <w:rPr>
          <w:rFonts w:cs="Times New Roman"/>
          <w:color w:val="auto"/>
          <w:szCs w:val="22"/>
          <w:lang w:val="pt-PT"/>
        </w:rPr>
        <w:t xml:space="preserve"> </w:t>
      </w:r>
      <w:r w:rsidRPr="00110D6C">
        <w:rPr>
          <w:rFonts w:cs="Times New Roman"/>
          <w:color w:val="auto"/>
          <w:szCs w:val="22"/>
          <w:lang w:val="pt-PT"/>
        </w:rPr>
        <w:t>(análise integrada) e 10</w:t>
      </w:r>
      <w:r w:rsidR="00B910F9" w:rsidRPr="00110D6C">
        <w:rPr>
          <w:rFonts w:cs="Times New Roman"/>
          <w:color w:val="auto"/>
          <w:szCs w:val="22"/>
          <w:lang w:val="pt-PT"/>
        </w:rPr>
        <w:t>0</w:t>
      </w:r>
      <w:r w:rsidR="006A79E5" w:rsidRPr="00110D6C">
        <w:rPr>
          <w:rFonts w:cs="Times New Roman"/>
          <w:color w:val="auto"/>
          <w:szCs w:val="22"/>
          <w:lang w:val="pt-PT"/>
        </w:rPr>
        <w:t xml:space="preserve"> </w:t>
      </w:r>
      <w:r w:rsidRPr="00110D6C">
        <w:rPr>
          <w:rFonts w:cs="Times New Roman"/>
          <w:color w:val="auto"/>
          <w:szCs w:val="22"/>
          <w:lang w:val="pt-PT"/>
        </w:rPr>
        <w:t xml:space="preserve">(Estudo </w:t>
      </w:r>
      <w:r w:rsidR="00B910F9" w:rsidRPr="00110D6C">
        <w:rPr>
          <w:rFonts w:cs="Times New Roman"/>
          <w:color w:val="auto"/>
          <w:szCs w:val="22"/>
          <w:lang w:val="pt-PT"/>
        </w:rPr>
        <w:t>1 </w:t>
      </w:r>
      <w:r w:rsidRPr="00110D6C">
        <w:rPr>
          <w:rFonts w:cs="Times New Roman"/>
          <w:color w:val="auto"/>
          <w:szCs w:val="22"/>
          <w:lang w:val="pt-PT"/>
        </w:rPr>
        <w:t>da AP).</w:t>
      </w:r>
    </w:p>
    <w:p w14:paraId="4797860C" w14:textId="77777777" w:rsidR="00E77794" w:rsidRPr="00110D6C" w:rsidRDefault="00E77794" w:rsidP="00A17623">
      <w:pPr>
        <w:widowControl/>
        <w:rPr>
          <w:rFonts w:cs="Times New Roman"/>
          <w:iCs/>
          <w:color w:val="auto"/>
          <w:szCs w:val="22"/>
          <w:lang w:val="pt-PT"/>
        </w:rPr>
      </w:pPr>
    </w:p>
    <w:p w14:paraId="1AFE4DC2" w14:textId="77777777" w:rsidR="0077031F" w:rsidRPr="00110D6C" w:rsidRDefault="00030085" w:rsidP="00A17623">
      <w:pPr>
        <w:widowControl/>
        <w:rPr>
          <w:rFonts w:cs="Times New Roman"/>
          <w:color w:val="auto"/>
          <w:szCs w:val="22"/>
          <w:lang w:val="pt-PT"/>
        </w:rPr>
      </w:pPr>
      <w:r w:rsidRPr="00110D6C">
        <w:rPr>
          <w:rFonts w:cs="Times New Roman"/>
          <w:i/>
          <w:iCs/>
          <w:color w:val="auto"/>
          <w:szCs w:val="22"/>
          <w:lang w:val="pt-PT"/>
        </w:rPr>
        <w:t>Função física e qualidade de vida relacionada com a saúde</w:t>
      </w:r>
    </w:p>
    <w:p w14:paraId="28F9C553"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Na Semana</w:t>
      </w:r>
      <w:r w:rsidR="005562CC" w:rsidRPr="00110D6C">
        <w:rPr>
          <w:rFonts w:cs="Times New Roman"/>
          <w:color w:val="auto"/>
          <w:szCs w:val="22"/>
          <w:lang w:val="pt-PT"/>
        </w:rPr>
        <w:t> </w:t>
      </w:r>
      <w:r w:rsidRPr="00110D6C">
        <w:rPr>
          <w:rFonts w:cs="Times New Roman"/>
          <w:color w:val="auto"/>
          <w:szCs w:val="22"/>
          <w:lang w:val="pt-PT"/>
        </w:rPr>
        <w:t xml:space="preserve">24, os doentes tratados com ustecinumab apresentaram melhorias significativas na função física, avaliada pelo </w:t>
      </w:r>
      <w:r w:rsidRPr="00110D6C">
        <w:rPr>
          <w:rFonts w:cs="Times New Roman"/>
          <w:i/>
          <w:iCs/>
          <w:color w:val="auto"/>
          <w:szCs w:val="22"/>
          <w:lang w:val="pt-PT"/>
        </w:rPr>
        <w:t>Disability Index do Health Assessment Questionnaire</w:t>
      </w:r>
      <w:r w:rsidRPr="00110D6C">
        <w:rPr>
          <w:rFonts w:cs="Times New Roman"/>
          <w:color w:val="auto"/>
          <w:szCs w:val="22"/>
          <w:lang w:val="pt-PT"/>
        </w:rPr>
        <w:t xml:space="preserve"> (HAQ-DI). Em relação aos valores iniciais, a proporção de doentes que alcançaram uma melhoria clinicamente significativa ≥</w:t>
      </w:r>
      <w:r w:rsidR="00982985" w:rsidRPr="00110D6C">
        <w:rPr>
          <w:rFonts w:cs="Times New Roman"/>
          <w:color w:val="auto"/>
          <w:szCs w:val="22"/>
          <w:lang w:val="pt-PT"/>
        </w:rPr>
        <w:t> </w:t>
      </w:r>
      <w:r w:rsidRPr="00110D6C">
        <w:rPr>
          <w:rFonts w:cs="Times New Roman"/>
          <w:color w:val="auto"/>
          <w:szCs w:val="22"/>
          <w:lang w:val="pt-PT"/>
        </w:rPr>
        <w:t>0,</w:t>
      </w:r>
      <w:r w:rsidR="00B910F9" w:rsidRPr="00110D6C">
        <w:rPr>
          <w:rFonts w:cs="Times New Roman"/>
          <w:color w:val="auto"/>
          <w:szCs w:val="22"/>
          <w:lang w:val="pt-PT"/>
        </w:rPr>
        <w:t>3 </w:t>
      </w:r>
      <w:r w:rsidRPr="00110D6C">
        <w:rPr>
          <w:rFonts w:cs="Times New Roman"/>
          <w:color w:val="auto"/>
          <w:szCs w:val="22"/>
          <w:lang w:val="pt-PT"/>
        </w:rPr>
        <w:t>no índice de incapacidade do HAQ, foi também significativamente maior nos grupos de ustecinumab, quando comparado com placebo. Em relação aos valores iniciais, as melhorias nos valores do HAQ-DI foram mantidas durante as semanas</w:t>
      </w:r>
      <w:r w:rsidR="005562CC" w:rsidRPr="00110D6C">
        <w:rPr>
          <w:rFonts w:cs="Times New Roman"/>
          <w:color w:val="auto"/>
          <w:szCs w:val="22"/>
          <w:lang w:val="pt-PT"/>
        </w:rPr>
        <w:t> </w:t>
      </w:r>
      <w:r w:rsidRPr="00110D6C">
        <w:rPr>
          <w:rFonts w:cs="Times New Roman"/>
          <w:color w:val="auto"/>
          <w:szCs w:val="22"/>
          <w:lang w:val="pt-PT"/>
        </w:rPr>
        <w:t>5</w:t>
      </w:r>
      <w:r w:rsidR="00B910F9" w:rsidRPr="00110D6C">
        <w:rPr>
          <w:rFonts w:cs="Times New Roman"/>
          <w:color w:val="auto"/>
          <w:szCs w:val="22"/>
          <w:lang w:val="pt-PT"/>
        </w:rPr>
        <w:t>2</w:t>
      </w:r>
      <w:r w:rsidR="005562CC" w:rsidRPr="00110D6C">
        <w:rPr>
          <w:rFonts w:cs="Times New Roman"/>
          <w:color w:val="auto"/>
          <w:szCs w:val="22"/>
          <w:lang w:val="pt-PT"/>
        </w:rPr>
        <w:t xml:space="preserve"> </w:t>
      </w:r>
      <w:r w:rsidRPr="00110D6C">
        <w:rPr>
          <w:rFonts w:cs="Times New Roman"/>
          <w:color w:val="auto"/>
          <w:szCs w:val="22"/>
          <w:lang w:val="pt-PT"/>
        </w:rPr>
        <w:t>e 100.</w:t>
      </w:r>
    </w:p>
    <w:p w14:paraId="1113BD53"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Na Semana</w:t>
      </w:r>
      <w:r w:rsidR="005562CC" w:rsidRPr="00110D6C">
        <w:rPr>
          <w:rFonts w:cs="Times New Roman"/>
          <w:color w:val="auto"/>
          <w:szCs w:val="22"/>
          <w:lang w:val="pt-PT"/>
        </w:rPr>
        <w:t> </w:t>
      </w:r>
      <w:r w:rsidRPr="00110D6C">
        <w:rPr>
          <w:rFonts w:cs="Times New Roman"/>
          <w:color w:val="auto"/>
          <w:szCs w:val="22"/>
          <w:lang w:val="pt-PT"/>
        </w:rPr>
        <w:t>24, verificaram-se melhorias significativas dos valores do DLQI nos grupos de ustecinumab em comparação com placebo, e foram mantidas durante as semanas</w:t>
      </w:r>
      <w:r w:rsidR="005562CC" w:rsidRPr="00110D6C">
        <w:rPr>
          <w:rFonts w:cs="Times New Roman"/>
          <w:color w:val="auto"/>
          <w:szCs w:val="22"/>
          <w:lang w:val="pt-PT"/>
        </w:rPr>
        <w:t> </w:t>
      </w:r>
      <w:r w:rsidRPr="00110D6C">
        <w:rPr>
          <w:rFonts w:cs="Times New Roman"/>
          <w:color w:val="auto"/>
          <w:szCs w:val="22"/>
          <w:lang w:val="pt-PT"/>
        </w:rPr>
        <w:t>5</w:t>
      </w:r>
      <w:r w:rsidR="00B910F9" w:rsidRPr="00110D6C">
        <w:rPr>
          <w:rFonts w:cs="Times New Roman"/>
          <w:color w:val="auto"/>
          <w:szCs w:val="22"/>
          <w:lang w:val="pt-PT"/>
        </w:rPr>
        <w:t>2</w:t>
      </w:r>
      <w:r w:rsidR="005562CC" w:rsidRPr="00110D6C">
        <w:rPr>
          <w:rFonts w:cs="Times New Roman"/>
          <w:color w:val="auto"/>
          <w:szCs w:val="22"/>
          <w:lang w:val="pt-PT"/>
        </w:rPr>
        <w:t xml:space="preserve"> </w:t>
      </w:r>
      <w:r w:rsidRPr="00110D6C">
        <w:rPr>
          <w:rFonts w:cs="Times New Roman"/>
          <w:color w:val="auto"/>
          <w:szCs w:val="22"/>
          <w:lang w:val="pt-PT"/>
        </w:rPr>
        <w:t>e 100. Na Semana</w:t>
      </w:r>
      <w:r w:rsidR="005562CC" w:rsidRPr="00110D6C">
        <w:rPr>
          <w:rFonts w:cs="Times New Roman"/>
          <w:color w:val="auto"/>
          <w:szCs w:val="22"/>
          <w:lang w:val="pt-PT"/>
        </w:rPr>
        <w:t> </w:t>
      </w:r>
      <w:r w:rsidRPr="00110D6C">
        <w:rPr>
          <w:rFonts w:cs="Times New Roman"/>
          <w:color w:val="auto"/>
          <w:szCs w:val="22"/>
          <w:lang w:val="pt-PT"/>
        </w:rPr>
        <w:t>2</w:t>
      </w:r>
      <w:r w:rsidR="00B910F9" w:rsidRPr="00110D6C">
        <w:rPr>
          <w:rFonts w:cs="Times New Roman"/>
          <w:color w:val="auto"/>
          <w:szCs w:val="22"/>
          <w:lang w:val="pt-PT"/>
        </w:rPr>
        <w:t>4</w:t>
      </w:r>
      <w:r w:rsidR="005562CC" w:rsidRPr="00110D6C">
        <w:rPr>
          <w:rFonts w:cs="Times New Roman"/>
          <w:color w:val="auto"/>
          <w:szCs w:val="22"/>
          <w:lang w:val="pt-PT"/>
        </w:rPr>
        <w:t xml:space="preserve"> </w:t>
      </w:r>
      <w:r w:rsidRPr="00110D6C">
        <w:rPr>
          <w:rFonts w:cs="Times New Roman"/>
          <w:color w:val="auto"/>
          <w:szCs w:val="22"/>
          <w:lang w:val="pt-PT"/>
        </w:rPr>
        <w:t xml:space="preserve">do Estudo </w:t>
      </w:r>
      <w:r w:rsidR="00B910F9" w:rsidRPr="00110D6C">
        <w:rPr>
          <w:rFonts w:cs="Times New Roman"/>
          <w:color w:val="auto"/>
          <w:szCs w:val="22"/>
          <w:lang w:val="pt-PT"/>
        </w:rPr>
        <w:t>2 </w:t>
      </w:r>
      <w:r w:rsidRPr="00110D6C">
        <w:rPr>
          <w:rFonts w:cs="Times New Roman"/>
          <w:color w:val="auto"/>
          <w:szCs w:val="22"/>
          <w:lang w:val="pt-PT"/>
        </w:rPr>
        <w:t xml:space="preserve">da AP verificou-se uma melhoria significativa dos valores da </w:t>
      </w:r>
      <w:r w:rsidRPr="00110D6C">
        <w:rPr>
          <w:rFonts w:cs="Times New Roman"/>
          <w:i/>
          <w:iCs/>
          <w:color w:val="auto"/>
          <w:szCs w:val="22"/>
          <w:lang w:val="pt-PT"/>
        </w:rPr>
        <w:t>Functional Assessment of Chronic Illness Therapy-Fatigue</w:t>
      </w:r>
      <w:r w:rsidRPr="00110D6C">
        <w:rPr>
          <w:rFonts w:cs="Times New Roman"/>
          <w:color w:val="auto"/>
          <w:szCs w:val="22"/>
          <w:lang w:val="pt-PT"/>
        </w:rPr>
        <w:t xml:space="preserve"> (FACIT-F) nos grupos de ustecinumab em comparação com placebo. A proporção de doentes que alcançaram melhorias clinicamente significativas da fadiga (</w:t>
      </w:r>
      <w:r w:rsidR="00B910F9" w:rsidRPr="00110D6C">
        <w:rPr>
          <w:rFonts w:cs="Times New Roman"/>
          <w:color w:val="auto"/>
          <w:szCs w:val="22"/>
          <w:lang w:val="pt-PT"/>
        </w:rPr>
        <w:t>4 </w:t>
      </w:r>
      <w:r w:rsidRPr="00110D6C">
        <w:rPr>
          <w:rFonts w:cs="Times New Roman"/>
          <w:color w:val="auto"/>
          <w:szCs w:val="22"/>
          <w:lang w:val="pt-PT"/>
        </w:rPr>
        <w:t>pontos na FACIT-F) foi também significativamente maior no grupo de ustecinumab em comparação com placebo. As melhorias nas pontuações da FACIT foram mantidas durante a semana</w:t>
      </w:r>
      <w:r w:rsidR="006A79E5" w:rsidRPr="00110D6C">
        <w:rPr>
          <w:rFonts w:cs="Times New Roman"/>
          <w:color w:val="auto"/>
          <w:szCs w:val="22"/>
          <w:lang w:val="pt-PT"/>
        </w:rPr>
        <w:t> </w:t>
      </w:r>
      <w:r w:rsidRPr="00110D6C">
        <w:rPr>
          <w:rFonts w:cs="Times New Roman"/>
          <w:color w:val="auto"/>
          <w:szCs w:val="22"/>
          <w:lang w:val="pt-PT"/>
        </w:rPr>
        <w:t>52.</w:t>
      </w:r>
    </w:p>
    <w:p w14:paraId="3D52C729" w14:textId="77777777" w:rsidR="00E77794" w:rsidRPr="00110D6C" w:rsidRDefault="00E77794" w:rsidP="00A17623">
      <w:pPr>
        <w:widowControl/>
        <w:rPr>
          <w:rFonts w:cs="Times New Roman"/>
          <w:color w:val="auto"/>
          <w:szCs w:val="22"/>
          <w:lang w:val="pt-PT"/>
        </w:rPr>
      </w:pPr>
    </w:p>
    <w:p w14:paraId="2BAF379A" w14:textId="77777777" w:rsidR="0077031F" w:rsidRPr="00110D6C" w:rsidRDefault="00030085" w:rsidP="00E77794">
      <w:pPr>
        <w:keepNext/>
        <w:keepLines/>
        <w:widowControl/>
        <w:rPr>
          <w:rFonts w:cs="Times New Roman"/>
          <w:color w:val="auto"/>
          <w:szCs w:val="22"/>
          <w:lang w:val="pt-PT"/>
        </w:rPr>
      </w:pPr>
      <w:r w:rsidRPr="00110D6C">
        <w:rPr>
          <w:rFonts w:cs="Times New Roman"/>
          <w:color w:val="auto"/>
          <w:szCs w:val="22"/>
          <w:u w:val="single"/>
          <w:lang w:val="pt-PT"/>
        </w:rPr>
        <w:t>População pediátrica</w:t>
      </w:r>
    </w:p>
    <w:p w14:paraId="7BF4E243" w14:textId="15799D55"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 Agência Europeia de Medicamentos diferiu a obrigação de submeter os resultados dos estudos com </w:t>
      </w:r>
      <w:r w:rsidR="00291A38">
        <w:rPr>
          <w:rFonts w:cs="Times New Roman"/>
          <w:color w:val="auto"/>
          <w:szCs w:val="22"/>
          <w:lang w:val="pt-PT"/>
        </w:rPr>
        <w:t xml:space="preserve">o medicamento de referência contendo </w:t>
      </w:r>
      <w:r w:rsidRPr="00110D6C">
        <w:rPr>
          <w:rFonts w:cs="Times New Roman"/>
          <w:color w:val="auto"/>
          <w:szCs w:val="22"/>
          <w:lang w:val="pt-PT"/>
        </w:rPr>
        <w:t>ustecinumab em</w:t>
      </w:r>
      <w:r w:rsidR="00291A38">
        <w:rPr>
          <w:rFonts w:cs="Times New Roman"/>
          <w:color w:val="auto"/>
          <w:szCs w:val="22"/>
          <w:lang w:val="pt-PT"/>
        </w:rPr>
        <w:t xml:space="preserve"> </w:t>
      </w:r>
      <w:r w:rsidRPr="00110D6C">
        <w:rPr>
          <w:rFonts w:cs="Times New Roman"/>
          <w:color w:val="auto"/>
          <w:szCs w:val="22"/>
          <w:lang w:val="pt-PT"/>
        </w:rPr>
        <w:t>um ou mais subgrupos da população pediátrica com artrite idiopática juvenil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w:t>
      </w:r>
      <w:r w:rsidR="00B910F9" w:rsidRPr="00110D6C">
        <w:rPr>
          <w:rFonts w:cs="Times New Roman"/>
          <w:color w:val="auto"/>
          <w:szCs w:val="22"/>
          <w:lang w:val="pt-PT"/>
        </w:rPr>
        <w:t>2 </w:t>
      </w:r>
      <w:r w:rsidRPr="00110D6C">
        <w:rPr>
          <w:rFonts w:cs="Times New Roman"/>
          <w:color w:val="auto"/>
          <w:szCs w:val="22"/>
          <w:lang w:val="pt-PT"/>
        </w:rPr>
        <w:t>para informação sobre a utilização pediátrica).</w:t>
      </w:r>
    </w:p>
    <w:p w14:paraId="7C9923F0" w14:textId="77777777" w:rsidR="00E77794" w:rsidRPr="00110D6C" w:rsidRDefault="00E77794" w:rsidP="00A17623">
      <w:pPr>
        <w:widowControl/>
        <w:rPr>
          <w:rFonts w:cs="Times New Roman"/>
          <w:iCs/>
          <w:color w:val="auto"/>
          <w:szCs w:val="22"/>
          <w:lang w:val="pt-PT"/>
        </w:rPr>
      </w:pPr>
    </w:p>
    <w:p w14:paraId="1A04BB48" w14:textId="77777777" w:rsidR="0077031F" w:rsidRPr="00110D6C" w:rsidRDefault="00030085" w:rsidP="00A17623">
      <w:pPr>
        <w:widowControl/>
        <w:rPr>
          <w:rFonts w:cs="Times New Roman"/>
          <w:color w:val="auto"/>
          <w:szCs w:val="22"/>
          <w:lang w:val="pt-PT"/>
        </w:rPr>
      </w:pPr>
      <w:r w:rsidRPr="00110D6C">
        <w:rPr>
          <w:rFonts w:cs="Times New Roman"/>
          <w:i/>
          <w:iCs/>
          <w:color w:val="auto"/>
          <w:szCs w:val="22"/>
          <w:lang w:val="pt-PT"/>
        </w:rPr>
        <w:t>Psoríase em placas pediátrica</w:t>
      </w:r>
    </w:p>
    <w:p w14:paraId="42916DD5"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Ustecinumab demonstrou melhorar os sinais e sintomas, e a qualidade de vida relacionada com a saúde nos doentes pediátricos com psoríase em placas com idade igual e superior a </w:t>
      </w:r>
      <w:r w:rsidR="00B910F9" w:rsidRPr="00110D6C">
        <w:rPr>
          <w:rFonts w:cs="Times New Roman"/>
          <w:color w:val="auto"/>
          <w:szCs w:val="22"/>
          <w:lang w:val="pt-PT"/>
        </w:rPr>
        <w:t>6 </w:t>
      </w:r>
      <w:r w:rsidRPr="00110D6C">
        <w:rPr>
          <w:rFonts w:cs="Times New Roman"/>
          <w:color w:val="auto"/>
          <w:szCs w:val="22"/>
          <w:lang w:val="pt-PT"/>
        </w:rPr>
        <w:t>anos.</w:t>
      </w:r>
    </w:p>
    <w:p w14:paraId="602F5274" w14:textId="77777777" w:rsidR="00E77794" w:rsidRPr="00110D6C" w:rsidRDefault="00E77794" w:rsidP="00A17623">
      <w:pPr>
        <w:widowControl/>
        <w:rPr>
          <w:rFonts w:cs="Times New Roman"/>
          <w:iCs/>
          <w:color w:val="auto"/>
          <w:szCs w:val="22"/>
          <w:lang w:val="pt-PT"/>
        </w:rPr>
      </w:pPr>
    </w:p>
    <w:p w14:paraId="127B1053" w14:textId="77777777" w:rsidR="0077031F" w:rsidRPr="00110D6C" w:rsidRDefault="00030085" w:rsidP="00A17623">
      <w:pPr>
        <w:widowControl/>
        <w:rPr>
          <w:rFonts w:cs="Times New Roman"/>
          <w:color w:val="auto"/>
          <w:szCs w:val="22"/>
          <w:lang w:val="pt-PT"/>
        </w:rPr>
      </w:pPr>
      <w:r w:rsidRPr="00110D6C">
        <w:rPr>
          <w:rFonts w:cs="Times New Roman"/>
          <w:i/>
          <w:iCs/>
          <w:color w:val="auto"/>
          <w:szCs w:val="22"/>
          <w:lang w:val="pt-PT"/>
        </w:rPr>
        <w:t>Doentes adolescentes (12–1</w:t>
      </w:r>
      <w:r w:rsidR="00B910F9" w:rsidRPr="00110D6C">
        <w:rPr>
          <w:rFonts w:cs="Times New Roman"/>
          <w:i/>
          <w:iCs/>
          <w:color w:val="auto"/>
          <w:szCs w:val="22"/>
          <w:lang w:val="pt-PT"/>
        </w:rPr>
        <w:t>7 </w:t>
      </w:r>
      <w:r w:rsidRPr="00110D6C">
        <w:rPr>
          <w:rFonts w:cs="Times New Roman"/>
          <w:i/>
          <w:iCs/>
          <w:color w:val="auto"/>
          <w:szCs w:val="22"/>
          <w:lang w:val="pt-PT"/>
        </w:rPr>
        <w:t>anos)</w:t>
      </w:r>
    </w:p>
    <w:p w14:paraId="162DEE03"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 eficácia de ustecinumab foi estudada em 11</w:t>
      </w:r>
      <w:r w:rsidR="00B910F9" w:rsidRPr="00110D6C">
        <w:rPr>
          <w:rFonts w:cs="Times New Roman"/>
          <w:color w:val="auto"/>
          <w:szCs w:val="22"/>
          <w:lang w:val="pt-PT"/>
        </w:rPr>
        <w:t>0 </w:t>
      </w:r>
      <w:r w:rsidRPr="00110D6C">
        <w:rPr>
          <w:rFonts w:cs="Times New Roman"/>
          <w:color w:val="auto"/>
          <w:szCs w:val="22"/>
          <w:lang w:val="pt-PT"/>
        </w:rPr>
        <w:t>doentes pediátricos com idade entre os 1</w:t>
      </w:r>
      <w:r w:rsidR="00B910F9" w:rsidRPr="00110D6C">
        <w:rPr>
          <w:rFonts w:cs="Times New Roman"/>
          <w:color w:val="auto"/>
          <w:szCs w:val="22"/>
          <w:lang w:val="pt-PT"/>
        </w:rPr>
        <w:t>2 </w:t>
      </w:r>
      <w:r w:rsidRPr="00110D6C">
        <w:rPr>
          <w:rFonts w:cs="Times New Roman"/>
          <w:color w:val="auto"/>
          <w:szCs w:val="22"/>
          <w:lang w:val="pt-PT"/>
        </w:rPr>
        <w:t>e os 1</w:t>
      </w:r>
      <w:r w:rsidR="00B910F9" w:rsidRPr="00110D6C">
        <w:rPr>
          <w:rFonts w:cs="Times New Roman"/>
          <w:color w:val="auto"/>
          <w:szCs w:val="22"/>
          <w:lang w:val="pt-PT"/>
        </w:rPr>
        <w:t>7 </w:t>
      </w:r>
      <w:r w:rsidRPr="00110D6C">
        <w:rPr>
          <w:rFonts w:cs="Times New Roman"/>
          <w:color w:val="auto"/>
          <w:szCs w:val="22"/>
          <w:lang w:val="pt-PT"/>
        </w:rPr>
        <w:t>anos com psoríase em placas moderada a grave num estudo multicêntrico, de fase 3, aleatorizado, em dupla ocultação, controlado por placebo (CADMUS). Os doentes foram aleatorizados para receber placebo (n</w:t>
      </w:r>
      <w:r w:rsidR="006A79E5" w:rsidRPr="00110D6C">
        <w:rPr>
          <w:rFonts w:cs="Times New Roman"/>
          <w:color w:val="auto"/>
          <w:szCs w:val="22"/>
          <w:lang w:val="pt-PT"/>
        </w:rPr>
        <w:t> </w:t>
      </w:r>
      <w:r w:rsidRPr="00110D6C">
        <w:rPr>
          <w:rFonts w:cs="Times New Roman"/>
          <w:color w:val="auto"/>
          <w:szCs w:val="22"/>
          <w:lang w:val="pt-PT"/>
        </w:rPr>
        <w:t>=</w:t>
      </w:r>
      <w:r w:rsidR="006A79E5" w:rsidRPr="00110D6C">
        <w:rPr>
          <w:rFonts w:cs="Times New Roman"/>
          <w:color w:val="auto"/>
          <w:szCs w:val="22"/>
          <w:lang w:val="pt-PT"/>
        </w:rPr>
        <w:t> </w:t>
      </w:r>
      <w:r w:rsidRPr="00110D6C">
        <w:rPr>
          <w:rFonts w:cs="Times New Roman"/>
          <w:color w:val="auto"/>
          <w:szCs w:val="22"/>
          <w:lang w:val="pt-PT"/>
        </w:rPr>
        <w:t>37), ou a dose recomendada de ustecinumab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4.2, n</w:t>
      </w:r>
      <w:r w:rsidR="006A79E5" w:rsidRPr="00110D6C">
        <w:rPr>
          <w:rFonts w:cs="Times New Roman"/>
          <w:color w:val="auto"/>
          <w:szCs w:val="22"/>
          <w:lang w:val="pt-PT"/>
        </w:rPr>
        <w:t> </w:t>
      </w:r>
      <w:r w:rsidRPr="00110D6C">
        <w:rPr>
          <w:rFonts w:cs="Times New Roman"/>
          <w:color w:val="auto"/>
          <w:szCs w:val="22"/>
          <w:lang w:val="pt-PT"/>
        </w:rPr>
        <w:t>=</w:t>
      </w:r>
      <w:r w:rsidR="006A79E5" w:rsidRPr="00110D6C">
        <w:rPr>
          <w:rFonts w:cs="Times New Roman"/>
          <w:color w:val="auto"/>
          <w:szCs w:val="22"/>
          <w:lang w:val="pt-PT"/>
        </w:rPr>
        <w:t> </w:t>
      </w:r>
      <w:r w:rsidRPr="00110D6C">
        <w:rPr>
          <w:rFonts w:cs="Times New Roman"/>
          <w:color w:val="auto"/>
          <w:szCs w:val="22"/>
          <w:lang w:val="pt-PT"/>
        </w:rPr>
        <w:t>36) ou metade da dose recomendada de ustecinumab (n</w:t>
      </w:r>
      <w:r w:rsidR="006A79E5" w:rsidRPr="00110D6C">
        <w:rPr>
          <w:rFonts w:cs="Times New Roman"/>
          <w:color w:val="auto"/>
          <w:szCs w:val="22"/>
          <w:lang w:val="pt-PT"/>
        </w:rPr>
        <w:t> </w:t>
      </w:r>
      <w:r w:rsidRPr="00110D6C">
        <w:rPr>
          <w:rFonts w:cs="Times New Roman"/>
          <w:color w:val="auto"/>
          <w:szCs w:val="22"/>
          <w:lang w:val="pt-PT"/>
        </w:rPr>
        <w:t>=</w:t>
      </w:r>
      <w:r w:rsidR="006A79E5" w:rsidRPr="00110D6C">
        <w:rPr>
          <w:rFonts w:cs="Times New Roman"/>
          <w:color w:val="auto"/>
          <w:szCs w:val="22"/>
          <w:lang w:val="pt-PT"/>
        </w:rPr>
        <w:t> </w:t>
      </w:r>
      <w:r w:rsidRPr="00110D6C">
        <w:rPr>
          <w:rFonts w:cs="Times New Roman"/>
          <w:color w:val="auto"/>
          <w:szCs w:val="22"/>
          <w:lang w:val="pt-PT"/>
        </w:rPr>
        <w:t>37) por injeção subcutânea nas Semanas</w:t>
      </w:r>
      <w:r w:rsidR="005562CC" w:rsidRPr="00110D6C">
        <w:rPr>
          <w:rFonts w:cs="Times New Roman"/>
          <w:color w:val="auto"/>
          <w:szCs w:val="22"/>
          <w:lang w:val="pt-PT"/>
        </w:rPr>
        <w:t> </w:t>
      </w:r>
      <w:r w:rsidR="00B910F9" w:rsidRPr="00110D6C">
        <w:rPr>
          <w:rFonts w:cs="Times New Roman"/>
          <w:color w:val="auto"/>
          <w:szCs w:val="22"/>
          <w:lang w:val="pt-PT"/>
        </w:rPr>
        <w:t>0</w:t>
      </w:r>
      <w:r w:rsidR="005562CC" w:rsidRPr="00110D6C">
        <w:rPr>
          <w:rFonts w:cs="Times New Roman"/>
          <w:color w:val="auto"/>
          <w:szCs w:val="22"/>
          <w:lang w:val="pt-PT"/>
        </w:rPr>
        <w:t xml:space="preserve"> </w:t>
      </w:r>
      <w:r w:rsidRPr="00110D6C">
        <w:rPr>
          <w:rFonts w:cs="Times New Roman"/>
          <w:color w:val="auto"/>
          <w:szCs w:val="22"/>
          <w:lang w:val="pt-PT"/>
        </w:rPr>
        <w:t xml:space="preserve">e </w:t>
      </w:r>
      <w:r w:rsidR="00B910F9" w:rsidRPr="00110D6C">
        <w:rPr>
          <w:rFonts w:cs="Times New Roman"/>
          <w:color w:val="auto"/>
          <w:szCs w:val="22"/>
          <w:lang w:val="pt-PT"/>
        </w:rPr>
        <w:t>4 </w:t>
      </w:r>
      <w:r w:rsidRPr="00110D6C">
        <w:rPr>
          <w:rFonts w:cs="Times New Roman"/>
          <w:color w:val="auto"/>
          <w:szCs w:val="22"/>
          <w:lang w:val="pt-PT"/>
        </w:rPr>
        <w:t>seguida de administração a cada 1</w:t>
      </w:r>
      <w:r w:rsidR="00B910F9" w:rsidRPr="00110D6C">
        <w:rPr>
          <w:rFonts w:cs="Times New Roman"/>
          <w:color w:val="auto"/>
          <w:szCs w:val="22"/>
          <w:lang w:val="pt-PT"/>
        </w:rPr>
        <w:t>2 </w:t>
      </w:r>
      <w:r w:rsidRPr="00110D6C">
        <w:rPr>
          <w:rFonts w:cs="Times New Roman"/>
          <w:color w:val="auto"/>
          <w:szCs w:val="22"/>
          <w:lang w:val="pt-PT"/>
        </w:rPr>
        <w:t>semanas (q12W). Na Semana</w:t>
      </w:r>
      <w:r w:rsidR="006A79E5" w:rsidRPr="00110D6C">
        <w:rPr>
          <w:rFonts w:cs="Times New Roman"/>
          <w:color w:val="auto"/>
          <w:szCs w:val="22"/>
          <w:lang w:val="pt-PT"/>
        </w:rPr>
        <w:t> </w:t>
      </w:r>
      <w:r w:rsidRPr="00110D6C">
        <w:rPr>
          <w:rFonts w:cs="Times New Roman"/>
          <w:color w:val="auto"/>
          <w:szCs w:val="22"/>
          <w:lang w:val="pt-PT"/>
        </w:rPr>
        <w:t>12, os doentes tratados com placebo passaram a receber ustecinumab.</w:t>
      </w:r>
    </w:p>
    <w:p w14:paraId="7B10A2DB" w14:textId="77777777" w:rsidR="00E77794" w:rsidRPr="00110D6C" w:rsidRDefault="00E77794" w:rsidP="00A17623">
      <w:pPr>
        <w:widowControl/>
        <w:rPr>
          <w:rFonts w:cs="Times New Roman"/>
          <w:color w:val="auto"/>
          <w:szCs w:val="22"/>
          <w:lang w:val="pt-PT"/>
        </w:rPr>
      </w:pPr>
    </w:p>
    <w:p w14:paraId="4844AD7C" w14:textId="64A9642E" w:rsidR="0077031F" w:rsidRPr="00110D6C" w:rsidRDefault="00030085" w:rsidP="00A17623">
      <w:pPr>
        <w:widowControl/>
        <w:rPr>
          <w:rFonts w:cs="Times New Roman"/>
          <w:color w:val="auto"/>
          <w:szCs w:val="22"/>
          <w:lang w:val="pt-PT"/>
        </w:rPr>
      </w:pPr>
      <w:r w:rsidRPr="00110D6C">
        <w:rPr>
          <w:rFonts w:cs="Times New Roman"/>
          <w:color w:val="auto"/>
          <w:szCs w:val="22"/>
          <w:lang w:val="pt-PT"/>
        </w:rPr>
        <w:t>Os doentes com PASI</w:t>
      </w:r>
      <w:r w:rsidR="00686A2C">
        <w:rPr>
          <w:rFonts w:cs="Times New Roman"/>
          <w:color w:val="auto"/>
          <w:szCs w:val="22"/>
          <w:lang w:val="pt-PT"/>
        </w:rPr>
        <w:t> </w:t>
      </w:r>
      <w:r w:rsidRPr="00110D6C">
        <w:rPr>
          <w:rFonts w:cs="Times New Roman"/>
          <w:color w:val="auto"/>
          <w:szCs w:val="22"/>
          <w:lang w:val="pt-PT"/>
        </w:rPr>
        <w:t>≥</w:t>
      </w:r>
      <w:r w:rsidR="00982985" w:rsidRPr="00110D6C">
        <w:rPr>
          <w:rFonts w:cs="Times New Roman"/>
          <w:color w:val="auto"/>
          <w:szCs w:val="22"/>
          <w:lang w:val="pt-PT"/>
        </w:rPr>
        <w:t> </w:t>
      </w:r>
      <w:r w:rsidRPr="00110D6C">
        <w:rPr>
          <w:rFonts w:cs="Times New Roman"/>
          <w:color w:val="auto"/>
          <w:szCs w:val="22"/>
          <w:lang w:val="pt-PT"/>
        </w:rPr>
        <w:t>12, PGA</w:t>
      </w:r>
      <w:r w:rsidR="00686A2C">
        <w:rPr>
          <w:rFonts w:cs="Times New Roman"/>
          <w:color w:val="auto"/>
          <w:szCs w:val="22"/>
          <w:lang w:val="pt-PT"/>
        </w:rPr>
        <w:t> </w:t>
      </w:r>
      <w:r w:rsidRPr="00110D6C">
        <w:rPr>
          <w:rFonts w:cs="Times New Roman"/>
          <w:color w:val="auto"/>
          <w:szCs w:val="22"/>
          <w:lang w:val="pt-PT"/>
        </w:rPr>
        <w:t>≥</w:t>
      </w:r>
      <w:r w:rsidR="00982985" w:rsidRPr="00110D6C">
        <w:rPr>
          <w:rFonts w:cs="Times New Roman"/>
          <w:color w:val="auto"/>
          <w:szCs w:val="22"/>
          <w:lang w:val="pt-PT"/>
        </w:rPr>
        <w:t> </w:t>
      </w:r>
      <w:r w:rsidR="00B910F9" w:rsidRPr="00110D6C">
        <w:rPr>
          <w:rFonts w:cs="Times New Roman"/>
          <w:color w:val="auto"/>
          <w:szCs w:val="22"/>
          <w:lang w:val="pt-PT"/>
        </w:rPr>
        <w:t>3 </w:t>
      </w:r>
      <w:r w:rsidRPr="00110D6C">
        <w:rPr>
          <w:rFonts w:cs="Times New Roman"/>
          <w:color w:val="auto"/>
          <w:szCs w:val="22"/>
          <w:lang w:val="pt-PT"/>
        </w:rPr>
        <w:t>e envolvimento da BSA de, pelo menos, 10%, que foram candidatos para a terapêutica sistémica ou fototerapia, foram elegíveis para o estudo.</w:t>
      </w:r>
    </w:p>
    <w:p w14:paraId="0DC046B1"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Aproximadamente 60% dos doentes tiveram exposição prévia à terapêutica sistémica convencional ou a fototerapia. Aproximadamente 11% dos doentes tiveram exposição prévia a medicamentos biológicos.</w:t>
      </w:r>
    </w:p>
    <w:p w14:paraId="2464A335" w14:textId="77777777" w:rsidR="00E77794" w:rsidRPr="00110D6C" w:rsidRDefault="00E77794" w:rsidP="00A17623">
      <w:pPr>
        <w:widowControl/>
        <w:rPr>
          <w:rFonts w:cs="Times New Roman"/>
          <w:color w:val="auto"/>
          <w:szCs w:val="22"/>
          <w:lang w:val="pt-PT"/>
        </w:rPr>
      </w:pPr>
    </w:p>
    <w:p w14:paraId="43D5F6DB" w14:textId="51752CB3" w:rsidR="0077031F" w:rsidRPr="00110D6C" w:rsidRDefault="00030085" w:rsidP="00A17623">
      <w:pPr>
        <w:widowControl/>
        <w:rPr>
          <w:rFonts w:cs="Times New Roman"/>
          <w:color w:val="auto"/>
          <w:szCs w:val="22"/>
          <w:lang w:val="pt-PT"/>
        </w:rPr>
      </w:pPr>
      <w:r w:rsidRPr="00110D6C">
        <w:rPr>
          <w:rFonts w:cs="Times New Roman"/>
          <w:color w:val="auto"/>
          <w:szCs w:val="22"/>
          <w:lang w:val="pt-PT"/>
        </w:rPr>
        <w:t>O objetivo primário foi a proporção de doentes que conseguiram obter uma pontuação PGA ausente (0) ou mínima (1) na Semana</w:t>
      </w:r>
      <w:r w:rsidR="006A79E5" w:rsidRPr="00110D6C">
        <w:rPr>
          <w:rFonts w:cs="Times New Roman"/>
          <w:color w:val="auto"/>
          <w:szCs w:val="22"/>
          <w:lang w:val="pt-PT"/>
        </w:rPr>
        <w:t> </w:t>
      </w:r>
      <w:r w:rsidRPr="00110D6C">
        <w:rPr>
          <w:rFonts w:cs="Times New Roman"/>
          <w:color w:val="auto"/>
          <w:szCs w:val="22"/>
          <w:lang w:val="pt-PT"/>
        </w:rPr>
        <w:t xml:space="preserve">12. Os objetivos secundários incluíram PASI 75, PASI 90, alteração desde o valor basal no </w:t>
      </w:r>
      <w:r w:rsidRPr="00110D6C">
        <w:rPr>
          <w:rFonts w:cs="Times New Roman"/>
          <w:i/>
          <w:iCs/>
          <w:color w:val="auto"/>
          <w:szCs w:val="22"/>
          <w:lang w:val="pt-PT"/>
        </w:rPr>
        <w:t>Children’s Dermatology Life Quality Index</w:t>
      </w:r>
      <w:r w:rsidRPr="00110D6C">
        <w:rPr>
          <w:rFonts w:cs="Times New Roman"/>
          <w:color w:val="auto"/>
          <w:szCs w:val="22"/>
          <w:lang w:val="pt-PT"/>
        </w:rPr>
        <w:t xml:space="preserve"> (CDLQI), alteração desde o valor basal na pontuação total da escala PedsQL (</w:t>
      </w:r>
      <w:r w:rsidRPr="00110D6C">
        <w:rPr>
          <w:rFonts w:cs="Times New Roman"/>
          <w:i/>
          <w:iCs/>
          <w:color w:val="auto"/>
          <w:szCs w:val="22"/>
          <w:lang w:val="pt-PT"/>
        </w:rPr>
        <w:t>Paediatric Quality of Life Inventory</w:t>
      </w:r>
      <w:r w:rsidRPr="00110D6C">
        <w:rPr>
          <w:rFonts w:cs="Times New Roman"/>
          <w:color w:val="auto"/>
          <w:szCs w:val="22"/>
          <w:lang w:val="pt-PT"/>
        </w:rPr>
        <w:t>) na Semana</w:t>
      </w:r>
      <w:r w:rsidR="006A79E5" w:rsidRPr="00110D6C">
        <w:rPr>
          <w:rFonts w:cs="Times New Roman"/>
          <w:color w:val="auto"/>
          <w:szCs w:val="22"/>
          <w:lang w:val="pt-PT"/>
        </w:rPr>
        <w:t> </w:t>
      </w:r>
      <w:r w:rsidRPr="00110D6C">
        <w:rPr>
          <w:rFonts w:cs="Times New Roman"/>
          <w:color w:val="auto"/>
          <w:szCs w:val="22"/>
          <w:lang w:val="pt-PT"/>
        </w:rPr>
        <w:t>12. Na Semana</w:t>
      </w:r>
      <w:r w:rsidR="006A79E5" w:rsidRPr="00110D6C">
        <w:rPr>
          <w:rFonts w:cs="Times New Roman"/>
          <w:color w:val="auto"/>
          <w:szCs w:val="22"/>
          <w:lang w:val="pt-PT"/>
        </w:rPr>
        <w:t> </w:t>
      </w:r>
      <w:r w:rsidRPr="00110D6C">
        <w:rPr>
          <w:rFonts w:cs="Times New Roman"/>
          <w:color w:val="auto"/>
          <w:szCs w:val="22"/>
          <w:lang w:val="pt-PT"/>
        </w:rPr>
        <w:t>12, os indivíduos tratados com ustecinumab demonstraram melhoria significativamente superior na psoríase e qualidade de vida relacionada com a saúde em comparação com o placebo (Tabela</w:t>
      </w:r>
      <w:r w:rsidR="00982985" w:rsidRPr="00110D6C">
        <w:rPr>
          <w:rFonts w:cs="Times New Roman"/>
          <w:color w:val="auto"/>
          <w:szCs w:val="22"/>
          <w:lang w:val="pt-PT"/>
        </w:rPr>
        <w:t> </w:t>
      </w:r>
      <w:r w:rsidR="00291A38">
        <w:rPr>
          <w:rFonts w:cs="Times New Roman"/>
          <w:color w:val="auto"/>
          <w:szCs w:val="22"/>
          <w:lang w:val="pt-PT"/>
        </w:rPr>
        <w:t>6</w:t>
      </w:r>
      <w:r w:rsidRPr="00110D6C">
        <w:rPr>
          <w:rFonts w:cs="Times New Roman"/>
          <w:color w:val="auto"/>
          <w:szCs w:val="22"/>
          <w:lang w:val="pt-PT"/>
        </w:rPr>
        <w:t>).</w:t>
      </w:r>
    </w:p>
    <w:p w14:paraId="026BF7CB" w14:textId="77777777" w:rsidR="00E77794" w:rsidRPr="00110D6C" w:rsidRDefault="00E77794" w:rsidP="00A17623">
      <w:pPr>
        <w:widowControl/>
        <w:rPr>
          <w:rFonts w:cs="Times New Roman"/>
          <w:color w:val="auto"/>
          <w:szCs w:val="22"/>
          <w:lang w:val="pt-PT"/>
        </w:rPr>
      </w:pPr>
    </w:p>
    <w:p w14:paraId="030DDE1F" w14:textId="27A3926D" w:rsidR="0077031F" w:rsidRPr="00110D6C" w:rsidRDefault="00030085" w:rsidP="00A17623">
      <w:pPr>
        <w:widowControl/>
        <w:rPr>
          <w:rFonts w:cs="Times New Roman"/>
          <w:color w:val="auto"/>
          <w:szCs w:val="22"/>
          <w:lang w:val="pt-PT"/>
        </w:rPr>
      </w:pPr>
      <w:r w:rsidRPr="00110D6C">
        <w:rPr>
          <w:rFonts w:cs="Times New Roman"/>
          <w:color w:val="auto"/>
          <w:szCs w:val="22"/>
          <w:lang w:val="pt-PT"/>
        </w:rPr>
        <w:lastRenderedPageBreak/>
        <w:t>Todos os doentes foram acompanhados em relação à eficácia durante e até 5</w:t>
      </w:r>
      <w:r w:rsidR="00B910F9" w:rsidRPr="00110D6C">
        <w:rPr>
          <w:rFonts w:cs="Times New Roman"/>
          <w:color w:val="auto"/>
          <w:szCs w:val="22"/>
          <w:lang w:val="pt-PT"/>
        </w:rPr>
        <w:t>2 </w:t>
      </w:r>
      <w:r w:rsidRPr="00110D6C">
        <w:rPr>
          <w:rFonts w:cs="Times New Roman"/>
          <w:color w:val="auto"/>
          <w:szCs w:val="22"/>
          <w:lang w:val="pt-PT"/>
        </w:rPr>
        <w:t>semanas após a primeira administração do agente do estudo. A proporção de doentes com uma pontuação de PGA ausente (0) ou mínima (1) e a proporção a atingir PASI 7</w:t>
      </w:r>
      <w:r w:rsidR="00B910F9" w:rsidRPr="00110D6C">
        <w:rPr>
          <w:rFonts w:cs="Times New Roman"/>
          <w:color w:val="auto"/>
          <w:szCs w:val="22"/>
          <w:lang w:val="pt-PT"/>
        </w:rPr>
        <w:t>5 </w:t>
      </w:r>
      <w:r w:rsidRPr="00110D6C">
        <w:rPr>
          <w:rFonts w:cs="Times New Roman"/>
          <w:color w:val="auto"/>
          <w:szCs w:val="22"/>
          <w:lang w:val="pt-PT"/>
        </w:rPr>
        <w:t>demonstrou separação entre o grupo tratado com ustecinumab e placebo na primeira visita pós-basal na Semana</w:t>
      </w:r>
      <w:r w:rsidR="005562CC" w:rsidRPr="00110D6C">
        <w:rPr>
          <w:rFonts w:cs="Times New Roman"/>
          <w:color w:val="auto"/>
          <w:szCs w:val="22"/>
          <w:lang w:val="pt-PT"/>
        </w:rPr>
        <w:t> </w:t>
      </w:r>
      <w:r w:rsidRPr="00110D6C">
        <w:rPr>
          <w:rFonts w:cs="Times New Roman"/>
          <w:color w:val="auto"/>
          <w:szCs w:val="22"/>
          <w:lang w:val="pt-PT"/>
        </w:rPr>
        <w:t>4, atingindo um máximo na Semana</w:t>
      </w:r>
      <w:r w:rsidR="005562CC" w:rsidRPr="00110D6C">
        <w:rPr>
          <w:rFonts w:cs="Times New Roman"/>
          <w:color w:val="auto"/>
          <w:szCs w:val="22"/>
          <w:lang w:val="pt-PT"/>
        </w:rPr>
        <w:t> </w:t>
      </w:r>
      <w:r w:rsidRPr="00110D6C">
        <w:rPr>
          <w:rFonts w:cs="Times New Roman"/>
          <w:color w:val="auto"/>
          <w:szCs w:val="22"/>
          <w:lang w:val="pt-PT"/>
        </w:rPr>
        <w:t>12. As melhorias em PGA, PASI, CDLQI e PedsQL foram mantidas até à Semana</w:t>
      </w:r>
      <w:r w:rsidR="005562CC" w:rsidRPr="00110D6C">
        <w:rPr>
          <w:rFonts w:cs="Times New Roman"/>
          <w:color w:val="auto"/>
          <w:szCs w:val="22"/>
          <w:lang w:val="pt-PT"/>
        </w:rPr>
        <w:t> </w:t>
      </w:r>
      <w:r w:rsidRPr="00110D6C">
        <w:rPr>
          <w:rFonts w:cs="Times New Roman"/>
          <w:color w:val="auto"/>
          <w:szCs w:val="22"/>
          <w:lang w:val="pt-PT"/>
        </w:rPr>
        <w:t>5</w:t>
      </w:r>
      <w:r w:rsidR="00B910F9" w:rsidRPr="00110D6C">
        <w:rPr>
          <w:rFonts w:cs="Times New Roman"/>
          <w:color w:val="auto"/>
          <w:szCs w:val="22"/>
          <w:lang w:val="pt-PT"/>
        </w:rPr>
        <w:t>2</w:t>
      </w:r>
      <w:r w:rsidR="005562CC" w:rsidRPr="00110D6C">
        <w:rPr>
          <w:rFonts w:cs="Times New Roman"/>
          <w:color w:val="auto"/>
          <w:szCs w:val="22"/>
          <w:lang w:val="pt-PT"/>
        </w:rPr>
        <w:t xml:space="preserve"> </w:t>
      </w:r>
      <w:r w:rsidRPr="00110D6C">
        <w:rPr>
          <w:rFonts w:cs="Times New Roman"/>
          <w:color w:val="auto"/>
          <w:szCs w:val="22"/>
          <w:lang w:val="pt-PT"/>
        </w:rPr>
        <w:t>(Tabela</w:t>
      </w:r>
      <w:r w:rsidR="00982985" w:rsidRPr="00110D6C">
        <w:rPr>
          <w:rFonts w:cs="Times New Roman"/>
          <w:color w:val="auto"/>
          <w:szCs w:val="22"/>
          <w:lang w:val="pt-PT"/>
        </w:rPr>
        <w:t> </w:t>
      </w:r>
      <w:r w:rsidR="00291A38">
        <w:rPr>
          <w:rFonts w:cs="Times New Roman"/>
          <w:color w:val="auto"/>
          <w:szCs w:val="22"/>
          <w:lang w:val="pt-PT"/>
        </w:rPr>
        <w:t>6</w:t>
      </w:r>
      <w:r w:rsidRPr="00110D6C">
        <w:rPr>
          <w:rFonts w:cs="Times New Roman"/>
          <w:color w:val="auto"/>
          <w:szCs w:val="22"/>
          <w:lang w:val="pt-PT"/>
        </w:rPr>
        <w:t>).</w:t>
      </w:r>
    </w:p>
    <w:p w14:paraId="460F07A8" w14:textId="77777777" w:rsidR="00056B50" w:rsidRPr="00110D6C" w:rsidRDefault="00056B50" w:rsidP="00A17623">
      <w:pPr>
        <w:widowControl/>
        <w:rPr>
          <w:rFonts w:cs="Times New Roman"/>
          <w:color w:val="auto"/>
          <w:szCs w:val="22"/>
          <w:lang w:val="pt-PT"/>
        </w:rPr>
      </w:pPr>
    </w:p>
    <w:p w14:paraId="49A591F1" w14:textId="4935171F" w:rsidR="0077031F" w:rsidRPr="00110D6C" w:rsidRDefault="00030085" w:rsidP="00E77794">
      <w:pPr>
        <w:widowControl/>
        <w:ind w:left="1134" w:hanging="1134"/>
        <w:rPr>
          <w:rFonts w:cs="Times New Roman"/>
          <w:color w:val="auto"/>
          <w:szCs w:val="22"/>
          <w:lang w:val="pt-PT"/>
        </w:rPr>
      </w:pPr>
      <w:r w:rsidRPr="00110D6C">
        <w:rPr>
          <w:rFonts w:cs="Times New Roman"/>
          <w:i/>
          <w:iCs/>
          <w:color w:val="auto"/>
          <w:szCs w:val="22"/>
          <w:lang w:val="pt-PT"/>
        </w:rPr>
        <w:t>Tabela</w:t>
      </w:r>
      <w:r w:rsidR="00982985" w:rsidRPr="00110D6C">
        <w:rPr>
          <w:rFonts w:cs="Times New Roman"/>
          <w:i/>
          <w:iCs/>
          <w:color w:val="auto"/>
          <w:szCs w:val="22"/>
          <w:lang w:val="pt-PT"/>
        </w:rPr>
        <w:t> </w:t>
      </w:r>
      <w:r w:rsidR="00291A38">
        <w:rPr>
          <w:rFonts w:cs="Times New Roman"/>
          <w:i/>
          <w:iCs/>
          <w:color w:val="auto"/>
          <w:szCs w:val="22"/>
          <w:lang w:val="pt-PT"/>
        </w:rPr>
        <w:t>6</w:t>
      </w:r>
      <w:r w:rsidR="00E77794" w:rsidRPr="00110D6C">
        <w:rPr>
          <w:rFonts w:cs="Times New Roman"/>
          <w:i/>
          <w:iCs/>
          <w:color w:val="auto"/>
          <w:szCs w:val="22"/>
          <w:lang w:val="pt-PT"/>
        </w:rPr>
        <w:tab/>
      </w:r>
      <w:r w:rsidRPr="00110D6C">
        <w:rPr>
          <w:rFonts w:cs="Times New Roman"/>
          <w:i/>
          <w:iCs/>
          <w:color w:val="auto"/>
          <w:szCs w:val="22"/>
          <w:lang w:val="pt-PT"/>
        </w:rPr>
        <w:t>Resumo dos objetivos primários e secundários na Semana</w:t>
      </w:r>
      <w:r w:rsidR="005562CC" w:rsidRPr="00110D6C">
        <w:rPr>
          <w:rFonts w:cs="Times New Roman"/>
          <w:i/>
          <w:iCs/>
          <w:color w:val="auto"/>
          <w:szCs w:val="22"/>
          <w:lang w:val="pt-PT"/>
        </w:rPr>
        <w:t> </w:t>
      </w:r>
      <w:r w:rsidRPr="00110D6C">
        <w:rPr>
          <w:rFonts w:cs="Times New Roman"/>
          <w:i/>
          <w:iCs/>
          <w:color w:val="auto"/>
          <w:szCs w:val="22"/>
          <w:lang w:val="pt-PT"/>
        </w:rPr>
        <w:t>1</w:t>
      </w:r>
      <w:r w:rsidR="00B910F9" w:rsidRPr="00110D6C">
        <w:rPr>
          <w:rFonts w:cs="Times New Roman"/>
          <w:i/>
          <w:iCs/>
          <w:color w:val="auto"/>
          <w:szCs w:val="22"/>
          <w:lang w:val="pt-PT"/>
        </w:rPr>
        <w:t>2</w:t>
      </w:r>
      <w:r w:rsidR="005562CC" w:rsidRPr="00110D6C">
        <w:rPr>
          <w:rFonts w:cs="Times New Roman"/>
          <w:i/>
          <w:iCs/>
          <w:color w:val="auto"/>
          <w:szCs w:val="22"/>
          <w:lang w:val="pt-PT"/>
        </w:rPr>
        <w:t xml:space="preserve"> </w:t>
      </w:r>
      <w:r w:rsidRPr="00110D6C">
        <w:rPr>
          <w:rFonts w:cs="Times New Roman"/>
          <w:i/>
          <w:iCs/>
          <w:color w:val="auto"/>
          <w:szCs w:val="22"/>
          <w:lang w:val="pt-PT"/>
        </w:rPr>
        <w:t>e Semana</w:t>
      </w:r>
      <w:r w:rsidR="005562CC" w:rsidRPr="00110D6C">
        <w:rPr>
          <w:rFonts w:cs="Times New Roman"/>
          <w:i/>
          <w:iCs/>
          <w:color w:val="auto"/>
          <w:szCs w:val="22"/>
          <w:lang w:val="pt-PT"/>
        </w:rPr>
        <w:t> </w:t>
      </w:r>
      <w:r w:rsidRPr="00110D6C">
        <w:rPr>
          <w:rFonts w:cs="Times New Roman"/>
          <w:i/>
          <w:iCs/>
          <w:color w:val="auto"/>
          <w:szCs w:val="22"/>
          <w:lang w:val="pt-PT"/>
        </w:rPr>
        <w:t>52</w:t>
      </w:r>
    </w:p>
    <w:tbl>
      <w:tblPr>
        <w:tblOverlap w:val="never"/>
        <w:tblW w:w="0" w:type="auto"/>
        <w:tblLayout w:type="fixed"/>
        <w:tblLook w:val="04A0" w:firstRow="1" w:lastRow="0" w:firstColumn="1" w:lastColumn="0" w:noHBand="0" w:noVBand="1"/>
      </w:tblPr>
      <w:tblGrid>
        <w:gridCol w:w="2789"/>
        <w:gridCol w:w="2093"/>
        <w:gridCol w:w="2098"/>
        <w:gridCol w:w="2098"/>
      </w:tblGrid>
      <w:tr w:rsidR="0077031F" w:rsidRPr="00110D6C" w14:paraId="7D483142" w14:textId="77777777" w:rsidTr="00E77794">
        <w:tc>
          <w:tcPr>
            <w:tcW w:w="9078" w:type="dxa"/>
            <w:gridSpan w:val="4"/>
            <w:tcBorders>
              <w:top w:val="single" w:sz="4" w:space="0" w:color="auto"/>
              <w:left w:val="single" w:sz="4" w:space="0" w:color="auto"/>
              <w:right w:val="single" w:sz="4" w:space="0" w:color="auto"/>
            </w:tcBorders>
            <w:shd w:val="clear" w:color="auto" w:fill="auto"/>
          </w:tcPr>
          <w:p w14:paraId="6FDC9B8C" w14:textId="77777777" w:rsidR="0077031F" w:rsidRPr="00110D6C" w:rsidRDefault="00030085" w:rsidP="00E77794">
            <w:pPr>
              <w:widowControl/>
              <w:jc w:val="center"/>
              <w:rPr>
                <w:rFonts w:cs="Times New Roman"/>
                <w:color w:val="auto"/>
                <w:szCs w:val="22"/>
                <w:lang w:val="pt-PT"/>
              </w:rPr>
            </w:pPr>
            <w:r w:rsidRPr="00110D6C">
              <w:rPr>
                <w:rFonts w:cs="Times New Roman"/>
                <w:b/>
                <w:bCs/>
                <w:color w:val="auto"/>
                <w:szCs w:val="22"/>
                <w:lang w:val="pt-PT"/>
              </w:rPr>
              <w:t>Estudo da Psoríase Pediátrica (CADMUS) (12-1</w:t>
            </w:r>
            <w:r w:rsidR="00B910F9" w:rsidRPr="00110D6C">
              <w:rPr>
                <w:rFonts w:cs="Times New Roman"/>
                <w:b/>
                <w:bCs/>
                <w:color w:val="auto"/>
                <w:szCs w:val="22"/>
                <w:lang w:val="pt-PT"/>
              </w:rPr>
              <w:t>7 </w:t>
            </w:r>
            <w:r w:rsidRPr="00110D6C">
              <w:rPr>
                <w:rFonts w:cs="Times New Roman"/>
                <w:b/>
                <w:bCs/>
                <w:color w:val="auto"/>
                <w:szCs w:val="22"/>
                <w:lang w:val="pt-PT"/>
              </w:rPr>
              <w:t>anos)</w:t>
            </w:r>
          </w:p>
        </w:tc>
      </w:tr>
      <w:tr w:rsidR="0077031F" w:rsidRPr="00110D6C" w14:paraId="24752884" w14:textId="77777777" w:rsidTr="00E77794">
        <w:tc>
          <w:tcPr>
            <w:tcW w:w="2789" w:type="dxa"/>
            <w:vMerge w:val="restart"/>
            <w:tcBorders>
              <w:top w:val="single" w:sz="4" w:space="0" w:color="auto"/>
              <w:left w:val="single" w:sz="4" w:space="0" w:color="auto"/>
            </w:tcBorders>
            <w:shd w:val="clear" w:color="auto" w:fill="auto"/>
          </w:tcPr>
          <w:p w14:paraId="5596A44A" w14:textId="77777777" w:rsidR="0077031F" w:rsidRPr="00110D6C" w:rsidRDefault="0077031F" w:rsidP="00E77794">
            <w:pPr>
              <w:widowControl/>
              <w:rPr>
                <w:rFonts w:cs="Times New Roman"/>
                <w:color w:val="auto"/>
                <w:szCs w:val="22"/>
                <w:lang w:val="pt-PT"/>
              </w:rPr>
            </w:pPr>
          </w:p>
        </w:tc>
        <w:tc>
          <w:tcPr>
            <w:tcW w:w="4191" w:type="dxa"/>
            <w:gridSpan w:val="2"/>
            <w:tcBorders>
              <w:top w:val="single" w:sz="4" w:space="0" w:color="auto"/>
              <w:left w:val="single" w:sz="4" w:space="0" w:color="auto"/>
            </w:tcBorders>
            <w:shd w:val="clear" w:color="auto" w:fill="auto"/>
          </w:tcPr>
          <w:p w14:paraId="0F2999B4" w14:textId="77777777" w:rsidR="0077031F" w:rsidRPr="00110D6C" w:rsidRDefault="00030085" w:rsidP="005562CC">
            <w:pPr>
              <w:widowControl/>
              <w:jc w:val="center"/>
              <w:rPr>
                <w:rFonts w:cs="Times New Roman"/>
                <w:color w:val="auto"/>
                <w:szCs w:val="22"/>
                <w:lang w:val="pt-PT"/>
              </w:rPr>
            </w:pPr>
            <w:r w:rsidRPr="00110D6C">
              <w:rPr>
                <w:rFonts w:cs="Times New Roman"/>
                <w:b/>
                <w:bCs/>
                <w:color w:val="auto"/>
                <w:szCs w:val="22"/>
                <w:lang w:val="pt-PT"/>
              </w:rPr>
              <w:t>Semana</w:t>
            </w:r>
            <w:r w:rsidR="005562CC" w:rsidRPr="00110D6C">
              <w:rPr>
                <w:rFonts w:cs="Times New Roman"/>
                <w:b/>
                <w:bCs/>
                <w:color w:val="auto"/>
                <w:szCs w:val="22"/>
                <w:lang w:val="pt-PT"/>
              </w:rPr>
              <w:t> </w:t>
            </w:r>
            <w:r w:rsidRPr="00110D6C">
              <w:rPr>
                <w:rFonts w:cs="Times New Roman"/>
                <w:b/>
                <w:bCs/>
                <w:color w:val="auto"/>
                <w:szCs w:val="22"/>
                <w:lang w:val="pt-PT"/>
              </w:rPr>
              <w:t>12</w:t>
            </w:r>
          </w:p>
        </w:tc>
        <w:tc>
          <w:tcPr>
            <w:tcW w:w="2098" w:type="dxa"/>
            <w:tcBorders>
              <w:top w:val="single" w:sz="4" w:space="0" w:color="auto"/>
              <w:left w:val="single" w:sz="4" w:space="0" w:color="auto"/>
              <w:right w:val="single" w:sz="4" w:space="0" w:color="auto"/>
            </w:tcBorders>
            <w:shd w:val="clear" w:color="auto" w:fill="auto"/>
          </w:tcPr>
          <w:p w14:paraId="49FA5AAB" w14:textId="77777777" w:rsidR="0077031F" w:rsidRPr="00110D6C" w:rsidRDefault="00030085" w:rsidP="005562CC">
            <w:pPr>
              <w:widowControl/>
              <w:jc w:val="center"/>
              <w:rPr>
                <w:rFonts w:cs="Times New Roman"/>
                <w:color w:val="auto"/>
                <w:szCs w:val="22"/>
                <w:lang w:val="pt-PT"/>
              </w:rPr>
            </w:pPr>
            <w:r w:rsidRPr="00110D6C">
              <w:rPr>
                <w:rFonts w:cs="Times New Roman"/>
                <w:b/>
                <w:bCs/>
                <w:color w:val="auto"/>
                <w:szCs w:val="22"/>
                <w:lang w:val="pt-PT"/>
              </w:rPr>
              <w:t>Semana</w:t>
            </w:r>
            <w:r w:rsidR="005562CC" w:rsidRPr="00110D6C">
              <w:rPr>
                <w:rFonts w:cs="Times New Roman"/>
                <w:b/>
                <w:bCs/>
                <w:color w:val="auto"/>
                <w:szCs w:val="22"/>
                <w:lang w:val="pt-PT"/>
              </w:rPr>
              <w:t> </w:t>
            </w:r>
            <w:r w:rsidRPr="00110D6C">
              <w:rPr>
                <w:rFonts w:cs="Times New Roman"/>
                <w:b/>
                <w:bCs/>
                <w:color w:val="auto"/>
                <w:szCs w:val="22"/>
                <w:lang w:val="pt-PT"/>
              </w:rPr>
              <w:t>52</w:t>
            </w:r>
          </w:p>
        </w:tc>
      </w:tr>
      <w:tr w:rsidR="0077031F" w:rsidRPr="00110D6C" w14:paraId="7EF24A0C" w14:textId="77777777" w:rsidTr="00E77794">
        <w:tc>
          <w:tcPr>
            <w:tcW w:w="2789" w:type="dxa"/>
            <w:vMerge/>
            <w:tcBorders>
              <w:left w:val="single" w:sz="4" w:space="0" w:color="auto"/>
            </w:tcBorders>
            <w:shd w:val="clear" w:color="auto" w:fill="auto"/>
          </w:tcPr>
          <w:p w14:paraId="3DA013FD" w14:textId="77777777" w:rsidR="0077031F" w:rsidRPr="00110D6C" w:rsidRDefault="0077031F" w:rsidP="00E77794">
            <w:pPr>
              <w:widowControl/>
              <w:rPr>
                <w:rFonts w:cs="Times New Roman"/>
                <w:color w:val="auto"/>
                <w:szCs w:val="22"/>
                <w:lang w:val="pt-PT"/>
              </w:rPr>
            </w:pPr>
          </w:p>
        </w:tc>
        <w:tc>
          <w:tcPr>
            <w:tcW w:w="2093" w:type="dxa"/>
            <w:tcBorders>
              <w:top w:val="single" w:sz="4" w:space="0" w:color="auto"/>
              <w:left w:val="single" w:sz="4" w:space="0" w:color="auto"/>
            </w:tcBorders>
            <w:shd w:val="clear" w:color="auto" w:fill="auto"/>
          </w:tcPr>
          <w:p w14:paraId="412BA80D"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Placebo</w:t>
            </w:r>
          </w:p>
        </w:tc>
        <w:tc>
          <w:tcPr>
            <w:tcW w:w="2098" w:type="dxa"/>
            <w:tcBorders>
              <w:top w:val="single" w:sz="4" w:space="0" w:color="auto"/>
              <w:left w:val="single" w:sz="4" w:space="0" w:color="auto"/>
            </w:tcBorders>
            <w:shd w:val="clear" w:color="auto" w:fill="auto"/>
          </w:tcPr>
          <w:p w14:paraId="42DADE14"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Dose recomendada de Ustecinumab</w:t>
            </w:r>
          </w:p>
        </w:tc>
        <w:tc>
          <w:tcPr>
            <w:tcW w:w="2098" w:type="dxa"/>
            <w:tcBorders>
              <w:top w:val="single" w:sz="4" w:space="0" w:color="auto"/>
              <w:left w:val="single" w:sz="4" w:space="0" w:color="auto"/>
              <w:right w:val="single" w:sz="4" w:space="0" w:color="auto"/>
            </w:tcBorders>
            <w:shd w:val="clear" w:color="auto" w:fill="auto"/>
          </w:tcPr>
          <w:p w14:paraId="6186798F"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Dose recomendada de Ustecinumab</w:t>
            </w:r>
          </w:p>
        </w:tc>
      </w:tr>
      <w:tr w:rsidR="0077031F" w:rsidRPr="00110D6C" w14:paraId="758F26A7" w14:textId="77777777" w:rsidTr="00E77794">
        <w:tc>
          <w:tcPr>
            <w:tcW w:w="2789" w:type="dxa"/>
            <w:vMerge/>
            <w:tcBorders>
              <w:left w:val="single" w:sz="4" w:space="0" w:color="auto"/>
            </w:tcBorders>
            <w:shd w:val="clear" w:color="auto" w:fill="auto"/>
          </w:tcPr>
          <w:p w14:paraId="300FAC2A" w14:textId="77777777" w:rsidR="0077031F" w:rsidRPr="00110D6C" w:rsidRDefault="0077031F" w:rsidP="00E77794">
            <w:pPr>
              <w:widowControl/>
              <w:rPr>
                <w:rFonts w:cs="Times New Roman"/>
                <w:color w:val="auto"/>
                <w:szCs w:val="22"/>
                <w:lang w:val="pt-PT"/>
              </w:rPr>
            </w:pPr>
          </w:p>
        </w:tc>
        <w:tc>
          <w:tcPr>
            <w:tcW w:w="2093" w:type="dxa"/>
            <w:tcBorders>
              <w:top w:val="single" w:sz="4" w:space="0" w:color="auto"/>
              <w:left w:val="single" w:sz="4" w:space="0" w:color="auto"/>
            </w:tcBorders>
            <w:shd w:val="clear" w:color="auto" w:fill="auto"/>
          </w:tcPr>
          <w:p w14:paraId="644CA032"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N (%)</w:t>
            </w:r>
          </w:p>
        </w:tc>
        <w:tc>
          <w:tcPr>
            <w:tcW w:w="2098" w:type="dxa"/>
            <w:tcBorders>
              <w:top w:val="single" w:sz="4" w:space="0" w:color="auto"/>
              <w:left w:val="single" w:sz="4" w:space="0" w:color="auto"/>
            </w:tcBorders>
            <w:shd w:val="clear" w:color="auto" w:fill="auto"/>
          </w:tcPr>
          <w:p w14:paraId="6AAA8F4E"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N (%)</w:t>
            </w:r>
          </w:p>
        </w:tc>
        <w:tc>
          <w:tcPr>
            <w:tcW w:w="2098" w:type="dxa"/>
            <w:tcBorders>
              <w:top w:val="single" w:sz="4" w:space="0" w:color="auto"/>
              <w:left w:val="single" w:sz="4" w:space="0" w:color="auto"/>
              <w:right w:val="single" w:sz="4" w:space="0" w:color="auto"/>
            </w:tcBorders>
            <w:shd w:val="clear" w:color="auto" w:fill="auto"/>
          </w:tcPr>
          <w:p w14:paraId="2C4887D1"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N (%)</w:t>
            </w:r>
          </w:p>
        </w:tc>
      </w:tr>
      <w:tr w:rsidR="0077031F" w:rsidRPr="00110D6C" w14:paraId="11D17785" w14:textId="77777777" w:rsidTr="00E77794">
        <w:tc>
          <w:tcPr>
            <w:tcW w:w="2789" w:type="dxa"/>
            <w:tcBorders>
              <w:top w:val="single" w:sz="4" w:space="0" w:color="auto"/>
              <w:left w:val="single" w:sz="4" w:space="0" w:color="auto"/>
            </w:tcBorders>
            <w:shd w:val="clear" w:color="auto" w:fill="auto"/>
          </w:tcPr>
          <w:p w14:paraId="0FCACAAF"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Doentes aleatorizados</w:t>
            </w:r>
          </w:p>
        </w:tc>
        <w:tc>
          <w:tcPr>
            <w:tcW w:w="2093" w:type="dxa"/>
            <w:tcBorders>
              <w:top w:val="single" w:sz="4" w:space="0" w:color="auto"/>
              <w:left w:val="single" w:sz="4" w:space="0" w:color="auto"/>
            </w:tcBorders>
            <w:shd w:val="clear" w:color="auto" w:fill="auto"/>
          </w:tcPr>
          <w:p w14:paraId="71CE5258"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37</w:t>
            </w:r>
          </w:p>
        </w:tc>
        <w:tc>
          <w:tcPr>
            <w:tcW w:w="2098" w:type="dxa"/>
            <w:tcBorders>
              <w:top w:val="single" w:sz="4" w:space="0" w:color="auto"/>
              <w:left w:val="single" w:sz="4" w:space="0" w:color="auto"/>
            </w:tcBorders>
            <w:shd w:val="clear" w:color="auto" w:fill="auto"/>
          </w:tcPr>
          <w:p w14:paraId="1339F1B5"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36</w:t>
            </w:r>
          </w:p>
        </w:tc>
        <w:tc>
          <w:tcPr>
            <w:tcW w:w="2098" w:type="dxa"/>
            <w:tcBorders>
              <w:top w:val="single" w:sz="4" w:space="0" w:color="auto"/>
              <w:left w:val="single" w:sz="4" w:space="0" w:color="auto"/>
              <w:right w:val="single" w:sz="4" w:space="0" w:color="auto"/>
            </w:tcBorders>
            <w:shd w:val="clear" w:color="auto" w:fill="auto"/>
          </w:tcPr>
          <w:p w14:paraId="30FA6A6C"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35</w:t>
            </w:r>
          </w:p>
        </w:tc>
      </w:tr>
      <w:tr w:rsidR="0077031F" w:rsidRPr="00110D6C" w14:paraId="3B6AD054" w14:textId="77777777" w:rsidTr="00E77794">
        <w:tc>
          <w:tcPr>
            <w:tcW w:w="9078" w:type="dxa"/>
            <w:gridSpan w:val="4"/>
            <w:tcBorders>
              <w:top w:val="single" w:sz="4" w:space="0" w:color="auto"/>
              <w:left w:val="single" w:sz="4" w:space="0" w:color="auto"/>
              <w:right w:val="single" w:sz="4" w:space="0" w:color="auto"/>
            </w:tcBorders>
            <w:shd w:val="clear" w:color="auto" w:fill="auto"/>
          </w:tcPr>
          <w:p w14:paraId="2BE2EB54" w14:textId="77777777" w:rsidR="0077031F" w:rsidRPr="00110D6C" w:rsidRDefault="00030085" w:rsidP="00E77794">
            <w:pPr>
              <w:widowControl/>
              <w:rPr>
                <w:rFonts w:cs="Times New Roman"/>
                <w:color w:val="auto"/>
                <w:szCs w:val="22"/>
                <w:lang w:val="pt-PT"/>
              </w:rPr>
            </w:pPr>
            <w:r w:rsidRPr="00110D6C">
              <w:rPr>
                <w:rFonts w:cs="Times New Roman"/>
                <w:b/>
                <w:bCs/>
                <w:color w:val="auto"/>
                <w:szCs w:val="22"/>
                <w:lang w:val="pt-PT"/>
              </w:rPr>
              <w:t>PGA</w:t>
            </w:r>
          </w:p>
        </w:tc>
      </w:tr>
      <w:tr w:rsidR="0077031F" w:rsidRPr="00110D6C" w14:paraId="079305E9" w14:textId="77777777" w:rsidTr="00E77794">
        <w:tc>
          <w:tcPr>
            <w:tcW w:w="2789" w:type="dxa"/>
            <w:tcBorders>
              <w:top w:val="single" w:sz="4" w:space="0" w:color="auto"/>
              <w:left w:val="single" w:sz="4" w:space="0" w:color="auto"/>
            </w:tcBorders>
            <w:shd w:val="clear" w:color="auto" w:fill="auto"/>
          </w:tcPr>
          <w:p w14:paraId="0BC7060D"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PGA ausente (0) ou mínimo (1)</w:t>
            </w:r>
          </w:p>
        </w:tc>
        <w:tc>
          <w:tcPr>
            <w:tcW w:w="2093" w:type="dxa"/>
            <w:tcBorders>
              <w:top w:val="single" w:sz="4" w:space="0" w:color="auto"/>
              <w:left w:val="single" w:sz="4" w:space="0" w:color="auto"/>
            </w:tcBorders>
            <w:shd w:val="clear" w:color="auto" w:fill="auto"/>
          </w:tcPr>
          <w:p w14:paraId="6D3FEAE6" w14:textId="77777777" w:rsidR="0077031F" w:rsidRPr="00110D6C" w:rsidRDefault="00B910F9" w:rsidP="00056B50">
            <w:pPr>
              <w:widowControl/>
              <w:jc w:val="center"/>
              <w:rPr>
                <w:rFonts w:cs="Times New Roman"/>
                <w:color w:val="auto"/>
                <w:szCs w:val="22"/>
                <w:lang w:val="pt-PT"/>
              </w:rPr>
            </w:pPr>
            <w:r w:rsidRPr="00110D6C">
              <w:rPr>
                <w:rFonts w:cs="Times New Roman"/>
                <w:color w:val="auto"/>
                <w:szCs w:val="22"/>
                <w:lang w:val="pt-PT"/>
              </w:rPr>
              <w:t>2</w:t>
            </w:r>
            <w:r w:rsidR="00056B50" w:rsidRPr="00110D6C">
              <w:rPr>
                <w:rFonts w:cs="Times New Roman"/>
                <w:color w:val="auto"/>
                <w:szCs w:val="22"/>
                <w:lang w:val="pt-PT"/>
              </w:rPr>
              <w:t xml:space="preserve"> </w:t>
            </w:r>
            <w:r w:rsidR="00030085" w:rsidRPr="00110D6C">
              <w:rPr>
                <w:rFonts w:cs="Times New Roman"/>
                <w:color w:val="auto"/>
                <w:szCs w:val="22"/>
                <w:lang w:val="pt-PT"/>
              </w:rPr>
              <w:t>(5,4%)</w:t>
            </w:r>
          </w:p>
        </w:tc>
        <w:tc>
          <w:tcPr>
            <w:tcW w:w="2098" w:type="dxa"/>
            <w:tcBorders>
              <w:top w:val="single" w:sz="4" w:space="0" w:color="auto"/>
              <w:left w:val="single" w:sz="4" w:space="0" w:color="auto"/>
            </w:tcBorders>
            <w:shd w:val="clear" w:color="auto" w:fill="auto"/>
          </w:tcPr>
          <w:p w14:paraId="48237303" w14:textId="77777777" w:rsidR="0077031F" w:rsidRPr="00110D6C" w:rsidRDefault="00030085" w:rsidP="00056B50">
            <w:pPr>
              <w:widowControl/>
              <w:jc w:val="center"/>
              <w:rPr>
                <w:rFonts w:cs="Times New Roman"/>
                <w:color w:val="auto"/>
                <w:szCs w:val="22"/>
                <w:lang w:val="pt-PT"/>
              </w:rPr>
            </w:pPr>
            <w:r w:rsidRPr="00110D6C">
              <w:rPr>
                <w:rFonts w:cs="Times New Roman"/>
                <w:color w:val="auto"/>
                <w:szCs w:val="22"/>
                <w:lang w:val="pt-PT"/>
              </w:rPr>
              <w:t>2</w:t>
            </w:r>
            <w:r w:rsidR="00B910F9" w:rsidRPr="00110D6C">
              <w:rPr>
                <w:rFonts w:cs="Times New Roman"/>
                <w:color w:val="auto"/>
                <w:szCs w:val="22"/>
                <w:lang w:val="pt-PT"/>
              </w:rPr>
              <w:t>5</w:t>
            </w:r>
            <w:r w:rsidR="00056B50" w:rsidRPr="00110D6C">
              <w:rPr>
                <w:rFonts w:cs="Times New Roman"/>
                <w:color w:val="auto"/>
                <w:szCs w:val="22"/>
                <w:lang w:val="pt-PT"/>
              </w:rPr>
              <w:t xml:space="preserve"> </w:t>
            </w:r>
            <w:r w:rsidRPr="00110D6C">
              <w:rPr>
                <w:rFonts w:cs="Times New Roman"/>
                <w:color w:val="auto"/>
                <w:szCs w:val="22"/>
                <w:lang w:val="pt-PT"/>
              </w:rPr>
              <w:t>(69,4%)</w:t>
            </w:r>
            <w:r w:rsidRPr="00110D6C">
              <w:rPr>
                <w:rFonts w:cs="Times New Roman"/>
                <w:color w:val="auto"/>
                <w:szCs w:val="22"/>
                <w:vertAlign w:val="superscript"/>
                <w:lang w:val="pt-PT"/>
              </w:rPr>
              <w:t>a</w:t>
            </w:r>
          </w:p>
        </w:tc>
        <w:tc>
          <w:tcPr>
            <w:tcW w:w="2098" w:type="dxa"/>
            <w:tcBorders>
              <w:top w:val="single" w:sz="4" w:space="0" w:color="auto"/>
              <w:left w:val="single" w:sz="4" w:space="0" w:color="auto"/>
              <w:right w:val="single" w:sz="4" w:space="0" w:color="auto"/>
            </w:tcBorders>
            <w:shd w:val="clear" w:color="auto" w:fill="auto"/>
          </w:tcPr>
          <w:p w14:paraId="130024DE" w14:textId="77777777" w:rsidR="0077031F" w:rsidRPr="00110D6C" w:rsidRDefault="00030085" w:rsidP="00056B50">
            <w:pPr>
              <w:widowControl/>
              <w:jc w:val="center"/>
              <w:rPr>
                <w:rFonts w:cs="Times New Roman"/>
                <w:color w:val="auto"/>
                <w:szCs w:val="22"/>
                <w:lang w:val="pt-PT"/>
              </w:rPr>
            </w:pPr>
            <w:r w:rsidRPr="00110D6C">
              <w:rPr>
                <w:rFonts w:cs="Times New Roman"/>
                <w:color w:val="auto"/>
                <w:szCs w:val="22"/>
                <w:lang w:val="pt-PT"/>
              </w:rPr>
              <w:t>2</w:t>
            </w:r>
            <w:r w:rsidR="00B910F9" w:rsidRPr="00110D6C">
              <w:rPr>
                <w:rFonts w:cs="Times New Roman"/>
                <w:color w:val="auto"/>
                <w:szCs w:val="22"/>
                <w:lang w:val="pt-PT"/>
              </w:rPr>
              <w:t>0</w:t>
            </w:r>
            <w:r w:rsidR="00056B50" w:rsidRPr="00110D6C">
              <w:rPr>
                <w:rFonts w:cs="Times New Roman"/>
                <w:color w:val="auto"/>
                <w:szCs w:val="22"/>
                <w:lang w:val="pt-PT"/>
              </w:rPr>
              <w:t xml:space="preserve"> </w:t>
            </w:r>
            <w:r w:rsidRPr="00110D6C">
              <w:rPr>
                <w:rFonts w:cs="Times New Roman"/>
                <w:color w:val="auto"/>
                <w:szCs w:val="22"/>
                <w:lang w:val="pt-PT"/>
              </w:rPr>
              <w:t>(57,1%)</w:t>
            </w:r>
          </w:p>
        </w:tc>
      </w:tr>
      <w:tr w:rsidR="0077031F" w:rsidRPr="00110D6C" w14:paraId="41FDFD65" w14:textId="77777777" w:rsidTr="00E77794">
        <w:tc>
          <w:tcPr>
            <w:tcW w:w="2789" w:type="dxa"/>
            <w:tcBorders>
              <w:top w:val="single" w:sz="4" w:space="0" w:color="auto"/>
              <w:left w:val="single" w:sz="4" w:space="0" w:color="auto"/>
            </w:tcBorders>
            <w:shd w:val="clear" w:color="auto" w:fill="auto"/>
          </w:tcPr>
          <w:p w14:paraId="2E566408"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PGA ausente (0)</w:t>
            </w:r>
          </w:p>
        </w:tc>
        <w:tc>
          <w:tcPr>
            <w:tcW w:w="2093" w:type="dxa"/>
            <w:tcBorders>
              <w:top w:val="single" w:sz="4" w:space="0" w:color="auto"/>
              <w:left w:val="single" w:sz="4" w:space="0" w:color="auto"/>
            </w:tcBorders>
            <w:shd w:val="clear" w:color="auto" w:fill="auto"/>
          </w:tcPr>
          <w:p w14:paraId="43485D13" w14:textId="77777777" w:rsidR="0077031F" w:rsidRPr="00110D6C" w:rsidRDefault="00B910F9" w:rsidP="00056B50">
            <w:pPr>
              <w:widowControl/>
              <w:jc w:val="center"/>
              <w:rPr>
                <w:rFonts w:cs="Times New Roman"/>
                <w:color w:val="auto"/>
                <w:szCs w:val="22"/>
                <w:lang w:val="pt-PT"/>
              </w:rPr>
            </w:pPr>
            <w:r w:rsidRPr="00110D6C">
              <w:rPr>
                <w:rFonts w:cs="Times New Roman"/>
                <w:color w:val="auto"/>
                <w:szCs w:val="22"/>
                <w:lang w:val="pt-PT"/>
              </w:rPr>
              <w:t>1</w:t>
            </w:r>
            <w:r w:rsidR="00056B50" w:rsidRPr="00110D6C">
              <w:rPr>
                <w:rFonts w:cs="Times New Roman"/>
                <w:color w:val="auto"/>
                <w:szCs w:val="22"/>
                <w:lang w:val="pt-PT"/>
              </w:rPr>
              <w:t xml:space="preserve"> </w:t>
            </w:r>
            <w:r w:rsidR="00030085" w:rsidRPr="00110D6C">
              <w:rPr>
                <w:rFonts w:cs="Times New Roman"/>
                <w:color w:val="auto"/>
                <w:szCs w:val="22"/>
                <w:lang w:val="pt-PT"/>
              </w:rPr>
              <w:t>(2,7%)</w:t>
            </w:r>
          </w:p>
        </w:tc>
        <w:tc>
          <w:tcPr>
            <w:tcW w:w="2098" w:type="dxa"/>
            <w:tcBorders>
              <w:top w:val="single" w:sz="4" w:space="0" w:color="auto"/>
              <w:left w:val="single" w:sz="4" w:space="0" w:color="auto"/>
            </w:tcBorders>
            <w:shd w:val="clear" w:color="auto" w:fill="auto"/>
          </w:tcPr>
          <w:p w14:paraId="4A277765" w14:textId="77777777" w:rsidR="0077031F" w:rsidRPr="00110D6C" w:rsidRDefault="00030085" w:rsidP="00056B50">
            <w:pPr>
              <w:widowControl/>
              <w:jc w:val="center"/>
              <w:rPr>
                <w:rFonts w:cs="Times New Roman"/>
                <w:color w:val="auto"/>
                <w:szCs w:val="22"/>
                <w:lang w:val="pt-PT"/>
              </w:rPr>
            </w:pPr>
            <w:r w:rsidRPr="00110D6C">
              <w:rPr>
                <w:rFonts w:cs="Times New Roman"/>
                <w:color w:val="auto"/>
                <w:szCs w:val="22"/>
                <w:lang w:val="pt-PT"/>
              </w:rPr>
              <w:t>1</w:t>
            </w:r>
            <w:r w:rsidR="00B910F9" w:rsidRPr="00110D6C">
              <w:rPr>
                <w:rFonts w:cs="Times New Roman"/>
                <w:color w:val="auto"/>
                <w:szCs w:val="22"/>
                <w:lang w:val="pt-PT"/>
              </w:rPr>
              <w:t>7</w:t>
            </w:r>
            <w:r w:rsidR="00056B50" w:rsidRPr="00110D6C">
              <w:rPr>
                <w:rFonts w:cs="Times New Roman"/>
                <w:color w:val="auto"/>
                <w:szCs w:val="22"/>
                <w:lang w:val="pt-PT"/>
              </w:rPr>
              <w:t xml:space="preserve"> </w:t>
            </w:r>
            <w:r w:rsidRPr="00110D6C">
              <w:rPr>
                <w:rFonts w:cs="Times New Roman"/>
                <w:color w:val="auto"/>
                <w:szCs w:val="22"/>
                <w:lang w:val="pt-PT"/>
              </w:rPr>
              <w:t>(47,2%)</w:t>
            </w:r>
            <w:r w:rsidRPr="00110D6C">
              <w:rPr>
                <w:rFonts w:cs="Times New Roman"/>
                <w:color w:val="auto"/>
                <w:szCs w:val="22"/>
                <w:vertAlign w:val="superscript"/>
                <w:lang w:val="pt-PT"/>
              </w:rPr>
              <w:t>a</w:t>
            </w:r>
          </w:p>
        </w:tc>
        <w:tc>
          <w:tcPr>
            <w:tcW w:w="2098" w:type="dxa"/>
            <w:tcBorders>
              <w:top w:val="single" w:sz="4" w:space="0" w:color="auto"/>
              <w:left w:val="single" w:sz="4" w:space="0" w:color="auto"/>
              <w:right w:val="single" w:sz="4" w:space="0" w:color="auto"/>
            </w:tcBorders>
            <w:shd w:val="clear" w:color="auto" w:fill="auto"/>
          </w:tcPr>
          <w:p w14:paraId="671C4132" w14:textId="77777777" w:rsidR="0077031F" w:rsidRPr="00110D6C" w:rsidRDefault="00030085" w:rsidP="00056B50">
            <w:pPr>
              <w:widowControl/>
              <w:jc w:val="center"/>
              <w:rPr>
                <w:rFonts w:cs="Times New Roman"/>
                <w:color w:val="auto"/>
                <w:szCs w:val="22"/>
                <w:lang w:val="pt-PT"/>
              </w:rPr>
            </w:pPr>
            <w:r w:rsidRPr="00110D6C">
              <w:rPr>
                <w:rFonts w:cs="Times New Roman"/>
                <w:color w:val="auto"/>
                <w:szCs w:val="22"/>
                <w:lang w:val="pt-PT"/>
              </w:rPr>
              <w:t>1</w:t>
            </w:r>
            <w:r w:rsidR="00B910F9" w:rsidRPr="00110D6C">
              <w:rPr>
                <w:rFonts w:cs="Times New Roman"/>
                <w:color w:val="auto"/>
                <w:szCs w:val="22"/>
                <w:lang w:val="pt-PT"/>
              </w:rPr>
              <w:t>3</w:t>
            </w:r>
            <w:r w:rsidR="00056B50" w:rsidRPr="00110D6C">
              <w:rPr>
                <w:rFonts w:cs="Times New Roman"/>
                <w:color w:val="auto"/>
                <w:szCs w:val="22"/>
                <w:lang w:val="pt-PT"/>
              </w:rPr>
              <w:t xml:space="preserve"> </w:t>
            </w:r>
            <w:r w:rsidRPr="00110D6C">
              <w:rPr>
                <w:rFonts w:cs="Times New Roman"/>
                <w:color w:val="auto"/>
                <w:szCs w:val="22"/>
                <w:lang w:val="pt-PT"/>
              </w:rPr>
              <w:t>(37,1%)</w:t>
            </w:r>
          </w:p>
        </w:tc>
      </w:tr>
      <w:tr w:rsidR="0077031F" w:rsidRPr="00110D6C" w14:paraId="33A8FB6A" w14:textId="77777777" w:rsidTr="00E77794">
        <w:tc>
          <w:tcPr>
            <w:tcW w:w="9078" w:type="dxa"/>
            <w:gridSpan w:val="4"/>
            <w:tcBorders>
              <w:top w:val="single" w:sz="4" w:space="0" w:color="auto"/>
              <w:left w:val="single" w:sz="4" w:space="0" w:color="auto"/>
              <w:right w:val="single" w:sz="4" w:space="0" w:color="auto"/>
            </w:tcBorders>
            <w:shd w:val="clear" w:color="auto" w:fill="auto"/>
          </w:tcPr>
          <w:p w14:paraId="47EEEA8D" w14:textId="77777777" w:rsidR="0077031F" w:rsidRPr="00110D6C" w:rsidRDefault="00030085" w:rsidP="00E77794">
            <w:pPr>
              <w:widowControl/>
              <w:rPr>
                <w:rFonts w:cs="Times New Roman"/>
                <w:color w:val="auto"/>
                <w:szCs w:val="22"/>
                <w:lang w:val="pt-PT"/>
              </w:rPr>
            </w:pPr>
            <w:r w:rsidRPr="00110D6C">
              <w:rPr>
                <w:rFonts w:cs="Times New Roman"/>
                <w:b/>
                <w:bCs/>
                <w:color w:val="auto"/>
                <w:szCs w:val="22"/>
                <w:lang w:val="pt-PT"/>
              </w:rPr>
              <w:t>PASI</w:t>
            </w:r>
          </w:p>
        </w:tc>
      </w:tr>
      <w:tr w:rsidR="0077031F" w:rsidRPr="00110D6C" w14:paraId="1102A6C5" w14:textId="77777777" w:rsidTr="00E77794">
        <w:tc>
          <w:tcPr>
            <w:tcW w:w="2789" w:type="dxa"/>
            <w:tcBorders>
              <w:top w:val="single" w:sz="4" w:space="0" w:color="auto"/>
              <w:left w:val="single" w:sz="4" w:space="0" w:color="auto"/>
            </w:tcBorders>
            <w:shd w:val="clear" w:color="auto" w:fill="auto"/>
          </w:tcPr>
          <w:p w14:paraId="74C1E354"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Respondedores PASI 75</w:t>
            </w:r>
          </w:p>
        </w:tc>
        <w:tc>
          <w:tcPr>
            <w:tcW w:w="2093" w:type="dxa"/>
            <w:tcBorders>
              <w:top w:val="single" w:sz="4" w:space="0" w:color="auto"/>
              <w:left w:val="single" w:sz="4" w:space="0" w:color="auto"/>
            </w:tcBorders>
            <w:shd w:val="clear" w:color="auto" w:fill="auto"/>
          </w:tcPr>
          <w:p w14:paraId="4D3AF4D7" w14:textId="77777777" w:rsidR="0077031F" w:rsidRPr="00110D6C" w:rsidRDefault="00B910F9" w:rsidP="00056B50">
            <w:pPr>
              <w:widowControl/>
              <w:jc w:val="center"/>
              <w:rPr>
                <w:rFonts w:cs="Times New Roman"/>
                <w:color w:val="auto"/>
                <w:szCs w:val="22"/>
                <w:lang w:val="pt-PT"/>
              </w:rPr>
            </w:pPr>
            <w:r w:rsidRPr="00110D6C">
              <w:rPr>
                <w:rFonts w:cs="Times New Roman"/>
                <w:color w:val="auto"/>
                <w:szCs w:val="22"/>
                <w:lang w:val="pt-PT"/>
              </w:rPr>
              <w:t>4</w:t>
            </w:r>
            <w:r w:rsidR="00056B50" w:rsidRPr="00110D6C">
              <w:rPr>
                <w:rFonts w:cs="Times New Roman"/>
                <w:color w:val="auto"/>
                <w:szCs w:val="22"/>
                <w:lang w:val="pt-PT"/>
              </w:rPr>
              <w:t xml:space="preserve"> </w:t>
            </w:r>
            <w:r w:rsidR="00030085" w:rsidRPr="00110D6C">
              <w:rPr>
                <w:rFonts w:cs="Times New Roman"/>
                <w:color w:val="auto"/>
                <w:szCs w:val="22"/>
                <w:lang w:val="pt-PT"/>
              </w:rPr>
              <w:t>(10,8%)</w:t>
            </w:r>
          </w:p>
        </w:tc>
        <w:tc>
          <w:tcPr>
            <w:tcW w:w="2098" w:type="dxa"/>
            <w:tcBorders>
              <w:top w:val="single" w:sz="4" w:space="0" w:color="auto"/>
              <w:left w:val="single" w:sz="4" w:space="0" w:color="auto"/>
            </w:tcBorders>
            <w:shd w:val="clear" w:color="auto" w:fill="auto"/>
          </w:tcPr>
          <w:p w14:paraId="69CFC886" w14:textId="77777777" w:rsidR="0077031F" w:rsidRPr="00110D6C" w:rsidRDefault="00030085" w:rsidP="00056B50">
            <w:pPr>
              <w:widowControl/>
              <w:jc w:val="center"/>
              <w:rPr>
                <w:rFonts w:cs="Times New Roman"/>
                <w:color w:val="auto"/>
                <w:szCs w:val="22"/>
                <w:lang w:val="pt-PT"/>
              </w:rPr>
            </w:pPr>
            <w:r w:rsidRPr="00110D6C">
              <w:rPr>
                <w:rFonts w:cs="Times New Roman"/>
                <w:color w:val="auto"/>
                <w:szCs w:val="22"/>
                <w:lang w:val="pt-PT"/>
              </w:rPr>
              <w:t>2</w:t>
            </w:r>
            <w:r w:rsidR="00B910F9" w:rsidRPr="00110D6C">
              <w:rPr>
                <w:rFonts w:cs="Times New Roman"/>
                <w:color w:val="auto"/>
                <w:szCs w:val="22"/>
                <w:lang w:val="pt-PT"/>
              </w:rPr>
              <w:t>9</w:t>
            </w:r>
            <w:r w:rsidR="00056B50" w:rsidRPr="00110D6C">
              <w:rPr>
                <w:rFonts w:cs="Times New Roman"/>
                <w:color w:val="auto"/>
                <w:szCs w:val="22"/>
                <w:lang w:val="pt-PT"/>
              </w:rPr>
              <w:t xml:space="preserve"> </w:t>
            </w:r>
            <w:r w:rsidRPr="00110D6C">
              <w:rPr>
                <w:rFonts w:cs="Times New Roman"/>
                <w:color w:val="auto"/>
                <w:szCs w:val="22"/>
                <w:lang w:val="pt-PT"/>
              </w:rPr>
              <w:t>(80,6%)</w:t>
            </w:r>
            <w:r w:rsidRPr="00110D6C">
              <w:rPr>
                <w:rFonts w:cs="Times New Roman"/>
                <w:color w:val="auto"/>
                <w:szCs w:val="22"/>
                <w:vertAlign w:val="superscript"/>
                <w:lang w:val="pt-PT"/>
              </w:rPr>
              <w:t>a</w:t>
            </w:r>
          </w:p>
        </w:tc>
        <w:tc>
          <w:tcPr>
            <w:tcW w:w="2098" w:type="dxa"/>
            <w:tcBorders>
              <w:top w:val="single" w:sz="4" w:space="0" w:color="auto"/>
              <w:left w:val="single" w:sz="4" w:space="0" w:color="auto"/>
              <w:right w:val="single" w:sz="4" w:space="0" w:color="auto"/>
            </w:tcBorders>
            <w:shd w:val="clear" w:color="auto" w:fill="auto"/>
          </w:tcPr>
          <w:p w14:paraId="634CB683" w14:textId="77777777" w:rsidR="0077031F" w:rsidRPr="00110D6C" w:rsidRDefault="00030085" w:rsidP="00056B50">
            <w:pPr>
              <w:widowControl/>
              <w:jc w:val="center"/>
              <w:rPr>
                <w:rFonts w:cs="Times New Roman"/>
                <w:color w:val="auto"/>
                <w:szCs w:val="22"/>
                <w:lang w:val="pt-PT"/>
              </w:rPr>
            </w:pPr>
            <w:r w:rsidRPr="00110D6C">
              <w:rPr>
                <w:rFonts w:cs="Times New Roman"/>
                <w:color w:val="auto"/>
                <w:szCs w:val="22"/>
                <w:lang w:val="pt-PT"/>
              </w:rPr>
              <w:t>2</w:t>
            </w:r>
            <w:r w:rsidR="00B910F9" w:rsidRPr="00110D6C">
              <w:rPr>
                <w:rFonts w:cs="Times New Roman"/>
                <w:color w:val="auto"/>
                <w:szCs w:val="22"/>
                <w:lang w:val="pt-PT"/>
              </w:rPr>
              <w:t>8</w:t>
            </w:r>
            <w:r w:rsidR="00056B50" w:rsidRPr="00110D6C">
              <w:rPr>
                <w:rFonts w:cs="Times New Roman"/>
                <w:color w:val="auto"/>
                <w:szCs w:val="22"/>
                <w:lang w:val="pt-PT"/>
              </w:rPr>
              <w:t xml:space="preserve"> </w:t>
            </w:r>
            <w:r w:rsidRPr="00110D6C">
              <w:rPr>
                <w:rFonts w:cs="Times New Roman"/>
                <w:color w:val="auto"/>
                <w:szCs w:val="22"/>
                <w:lang w:val="pt-PT"/>
              </w:rPr>
              <w:t>(80,0%)</w:t>
            </w:r>
          </w:p>
        </w:tc>
      </w:tr>
      <w:tr w:rsidR="0077031F" w:rsidRPr="00110D6C" w14:paraId="134F4D31" w14:textId="77777777" w:rsidTr="00E77794">
        <w:tc>
          <w:tcPr>
            <w:tcW w:w="2789" w:type="dxa"/>
            <w:tcBorders>
              <w:top w:val="single" w:sz="4" w:space="0" w:color="auto"/>
              <w:left w:val="single" w:sz="4" w:space="0" w:color="auto"/>
            </w:tcBorders>
            <w:shd w:val="clear" w:color="auto" w:fill="auto"/>
          </w:tcPr>
          <w:p w14:paraId="2DC48B9D"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Respondedores PASI 90</w:t>
            </w:r>
          </w:p>
        </w:tc>
        <w:tc>
          <w:tcPr>
            <w:tcW w:w="2093" w:type="dxa"/>
            <w:tcBorders>
              <w:top w:val="single" w:sz="4" w:space="0" w:color="auto"/>
              <w:left w:val="single" w:sz="4" w:space="0" w:color="auto"/>
            </w:tcBorders>
            <w:shd w:val="clear" w:color="auto" w:fill="auto"/>
          </w:tcPr>
          <w:p w14:paraId="682CDAC7" w14:textId="77777777" w:rsidR="0077031F" w:rsidRPr="00110D6C" w:rsidRDefault="00B910F9" w:rsidP="00056B50">
            <w:pPr>
              <w:widowControl/>
              <w:jc w:val="center"/>
              <w:rPr>
                <w:rFonts w:cs="Times New Roman"/>
                <w:color w:val="auto"/>
                <w:szCs w:val="22"/>
                <w:lang w:val="pt-PT"/>
              </w:rPr>
            </w:pPr>
            <w:r w:rsidRPr="00110D6C">
              <w:rPr>
                <w:rFonts w:cs="Times New Roman"/>
                <w:color w:val="auto"/>
                <w:szCs w:val="22"/>
                <w:lang w:val="pt-PT"/>
              </w:rPr>
              <w:t>2</w:t>
            </w:r>
            <w:r w:rsidR="00056B50" w:rsidRPr="00110D6C">
              <w:rPr>
                <w:rFonts w:cs="Times New Roman"/>
                <w:color w:val="auto"/>
                <w:szCs w:val="22"/>
                <w:lang w:val="pt-PT"/>
              </w:rPr>
              <w:t xml:space="preserve"> </w:t>
            </w:r>
            <w:r w:rsidR="00030085" w:rsidRPr="00110D6C">
              <w:rPr>
                <w:rFonts w:cs="Times New Roman"/>
                <w:color w:val="auto"/>
                <w:szCs w:val="22"/>
                <w:lang w:val="pt-PT"/>
              </w:rPr>
              <w:t>(5,4%)</w:t>
            </w:r>
          </w:p>
        </w:tc>
        <w:tc>
          <w:tcPr>
            <w:tcW w:w="2098" w:type="dxa"/>
            <w:tcBorders>
              <w:top w:val="single" w:sz="4" w:space="0" w:color="auto"/>
              <w:left w:val="single" w:sz="4" w:space="0" w:color="auto"/>
            </w:tcBorders>
            <w:shd w:val="clear" w:color="auto" w:fill="auto"/>
          </w:tcPr>
          <w:p w14:paraId="1BD1EED8" w14:textId="77777777" w:rsidR="0077031F" w:rsidRPr="00110D6C" w:rsidRDefault="00030085" w:rsidP="00056B50">
            <w:pPr>
              <w:widowControl/>
              <w:jc w:val="center"/>
              <w:rPr>
                <w:rFonts w:cs="Times New Roman"/>
                <w:color w:val="auto"/>
                <w:szCs w:val="22"/>
                <w:lang w:val="pt-PT"/>
              </w:rPr>
            </w:pPr>
            <w:r w:rsidRPr="00110D6C">
              <w:rPr>
                <w:rFonts w:cs="Times New Roman"/>
                <w:color w:val="auto"/>
                <w:szCs w:val="22"/>
                <w:lang w:val="pt-PT"/>
              </w:rPr>
              <w:t>2</w:t>
            </w:r>
            <w:r w:rsidR="00B910F9" w:rsidRPr="00110D6C">
              <w:rPr>
                <w:rFonts w:cs="Times New Roman"/>
                <w:color w:val="auto"/>
                <w:szCs w:val="22"/>
                <w:lang w:val="pt-PT"/>
              </w:rPr>
              <w:t>2</w:t>
            </w:r>
            <w:r w:rsidR="00056B50" w:rsidRPr="00110D6C">
              <w:rPr>
                <w:rFonts w:cs="Times New Roman"/>
                <w:color w:val="auto"/>
                <w:szCs w:val="22"/>
                <w:lang w:val="pt-PT"/>
              </w:rPr>
              <w:t xml:space="preserve"> </w:t>
            </w:r>
            <w:r w:rsidRPr="00110D6C">
              <w:rPr>
                <w:rFonts w:cs="Times New Roman"/>
                <w:color w:val="auto"/>
                <w:szCs w:val="22"/>
                <w:lang w:val="pt-PT"/>
              </w:rPr>
              <w:t>(61,1%)</w:t>
            </w:r>
            <w:r w:rsidRPr="00110D6C">
              <w:rPr>
                <w:rFonts w:cs="Times New Roman"/>
                <w:color w:val="auto"/>
                <w:szCs w:val="22"/>
                <w:vertAlign w:val="superscript"/>
                <w:lang w:val="pt-PT"/>
              </w:rPr>
              <w:t>a</w:t>
            </w:r>
          </w:p>
        </w:tc>
        <w:tc>
          <w:tcPr>
            <w:tcW w:w="2098" w:type="dxa"/>
            <w:tcBorders>
              <w:top w:val="single" w:sz="4" w:space="0" w:color="auto"/>
              <w:left w:val="single" w:sz="4" w:space="0" w:color="auto"/>
              <w:right w:val="single" w:sz="4" w:space="0" w:color="auto"/>
            </w:tcBorders>
            <w:shd w:val="clear" w:color="auto" w:fill="auto"/>
          </w:tcPr>
          <w:p w14:paraId="5FC4932F" w14:textId="77777777" w:rsidR="0077031F" w:rsidRPr="00110D6C" w:rsidRDefault="00030085" w:rsidP="00056B50">
            <w:pPr>
              <w:widowControl/>
              <w:jc w:val="center"/>
              <w:rPr>
                <w:rFonts w:cs="Times New Roman"/>
                <w:color w:val="auto"/>
                <w:szCs w:val="22"/>
                <w:lang w:val="pt-PT"/>
              </w:rPr>
            </w:pPr>
            <w:r w:rsidRPr="00110D6C">
              <w:rPr>
                <w:rFonts w:cs="Times New Roman"/>
                <w:color w:val="auto"/>
                <w:szCs w:val="22"/>
                <w:lang w:val="pt-PT"/>
              </w:rPr>
              <w:t>2</w:t>
            </w:r>
            <w:r w:rsidR="00B910F9" w:rsidRPr="00110D6C">
              <w:rPr>
                <w:rFonts w:cs="Times New Roman"/>
                <w:color w:val="auto"/>
                <w:szCs w:val="22"/>
                <w:lang w:val="pt-PT"/>
              </w:rPr>
              <w:t>3</w:t>
            </w:r>
            <w:r w:rsidR="00056B50" w:rsidRPr="00110D6C">
              <w:rPr>
                <w:rFonts w:cs="Times New Roman"/>
                <w:color w:val="auto"/>
                <w:szCs w:val="22"/>
                <w:lang w:val="pt-PT"/>
              </w:rPr>
              <w:t xml:space="preserve"> </w:t>
            </w:r>
            <w:r w:rsidRPr="00110D6C">
              <w:rPr>
                <w:rFonts w:cs="Times New Roman"/>
                <w:color w:val="auto"/>
                <w:szCs w:val="22"/>
                <w:lang w:val="pt-PT"/>
              </w:rPr>
              <w:t>(65,7%)</w:t>
            </w:r>
          </w:p>
        </w:tc>
      </w:tr>
      <w:tr w:rsidR="0077031F" w:rsidRPr="00110D6C" w14:paraId="4B5B860C" w14:textId="77777777" w:rsidTr="00E77794">
        <w:tc>
          <w:tcPr>
            <w:tcW w:w="2789" w:type="dxa"/>
            <w:tcBorders>
              <w:top w:val="single" w:sz="4" w:space="0" w:color="auto"/>
              <w:left w:val="single" w:sz="4" w:space="0" w:color="auto"/>
            </w:tcBorders>
            <w:shd w:val="clear" w:color="auto" w:fill="auto"/>
          </w:tcPr>
          <w:p w14:paraId="6450FF7B"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Respondedores PASI 100</w:t>
            </w:r>
          </w:p>
        </w:tc>
        <w:tc>
          <w:tcPr>
            <w:tcW w:w="2093" w:type="dxa"/>
            <w:tcBorders>
              <w:top w:val="single" w:sz="4" w:space="0" w:color="auto"/>
              <w:left w:val="single" w:sz="4" w:space="0" w:color="auto"/>
            </w:tcBorders>
            <w:shd w:val="clear" w:color="auto" w:fill="auto"/>
          </w:tcPr>
          <w:p w14:paraId="1265F1BF" w14:textId="77777777" w:rsidR="0077031F" w:rsidRPr="00110D6C" w:rsidRDefault="00B910F9" w:rsidP="00056B50">
            <w:pPr>
              <w:widowControl/>
              <w:jc w:val="center"/>
              <w:rPr>
                <w:rFonts w:cs="Times New Roman"/>
                <w:color w:val="auto"/>
                <w:szCs w:val="22"/>
                <w:lang w:val="pt-PT"/>
              </w:rPr>
            </w:pPr>
            <w:r w:rsidRPr="00110D6C">
              <w:rPr>
                <w:rFonts w:cs="Times New Roman"/>
                <w:color w:val="auto"/>
                <w:szCs w:val="22"/>
                <w:lang w:val="pt-PT"/>
              </w:rPr>
              <w:t>1</w:t>
            </w:r>
            <w:r w:rsidR="00056B50" w:rsidRPr="00110D6C">
              <w:rPr>
                <w:rFonts w:cs="Times New Roman"/>
                <w:color w:val="auto"/>
                <w:szCs w:val="22"/>
                <w:lang w:val="pt-PT"/>
              </w:rPr>
              <w:t xml:space="preserve"> </w:t>
            </w:r>
            <w:r w:rsidR="00030085" w:rsidRPr="00110D6C">
              <w:rPr>
                <w:rFonts w:cs="Times New Roman"/>
                <w:color w:val="auto"/>
                <w:szCs w:val="22"/>
                <w:lang w:val="pt-PT"/>
              </w:rPr>
              <w:t>(2,7%)</w:t>
            </w:r>
          </w:p>
        </w:tc>
        <w:tc>
          <w:tcPr>
            <w:tcW w:w="2098" w:type="dxa"/>
            <w:tcBorders>
              <w:top w:val="single" w:sz="4" w:space="0" w:color="auto"/>
              <w:left w:val="single" w:sz="4" w:space="0" w:color="auto"/>
            </w:tcBorders>
            <w:shd w:val="clear" w:color="auto" w:fill="auto"/>
          </w:tcPr>
          <w:p w14:paraId="6BF7DA9D" w14:textId="77777777" w:rsidR="0077031F" w:rsidRPr="00110D6C" w:rsidRDefault="00030085" w:rsidP="00056B50">
            <w:pPr>
              <w:widowControl/>
              <w:jc w:val="center"/>
              <w:rPr>
                <w:rFonts w:cs="Times New Roman"/>
                <w:color w:val="auto"/>
                <w:szCs w:val="22"/>
                <w:lang w:val="pt-PT"/>
              </w:rPr>
            </w:pPr>
            <w:r w:rsidRPr="00110D6C">
              <w:rPr>
                <w:rFonts w:cs="Times New Roman"/>
                <w:color w:val="auto"/>
                <w:szCs w:val="22"/>
                <w:lang w:val="pt-PT"/>
              </w:rPr>
              <w:t>1</w:t>
            </w:r>
            <w:r w:rsidR="00B910F9" w:rsidRPr="00110D6C">
              <w:rPr>
                <w:rFonts w:cs="Times New Roman"/>
                <w:color w:val="auto"/>
                <w:szCs w:val="22"/>
                <w:lang w:val="pt-PT"/>
              </w:rPr>
              <w:t>4</w:t>
            </w:r>
            <w:r w:rsidR="00056B50" w:rsidRPr="00110D6C">
              <w:rPr>
                <w:rFonts w:cs="Times New Roman"/>
                <w:color w:val="auto"/>
                <w:szCs w:val="22"/>
                <w:lang w:val="pt-PT"/>
              </w:rPr>
              <w:t xml:space="preserve"> </w:t>
            </w:r>
            <w:r w:rsidRPr="00110D6C">
              <w:rPr>
                <w:rFonts w:cs="Times New Roman"/>
                <w:color w:val="auto"/>
                <w:szCs w:val="22"/>
                <w:lang w:val="pt-PT"/>
              </w:rPr>
              <w:t>(38,9%)</w:t>
            </w:r>
            <w:r w:rsidRPr="00110D6C">
              <w:rPr>
                <w:rFonts w:cs="Times New Roman"/>
                <w:color w:val="auto"/>
                <w:szCs w:val="22"/>
                <w:vertAlign w:val="superscript"/>
                <w:lang w:val="pt-PT"/>
              </w:rPr>
              <w:t>a</w:t>
            </w:r>
          </w:p>
        </w:tc>
        <w:tc>
          <w:tcPr>
            <w:tcW w:w="2098" w:type="dxa"/>
            <w:tcBorders>
              <w:top w:val="single" w:sz="4" w:space="0" w:color="auto"/>
              <w:left w:val="single" w:sz="4" w:space="0" w:color="auto"/>
              <w:right w:val="single" w:sz="4" w:space="0" w:color="auto"/>
            </w:tcBorders>
            <w:shd w:val="clear" w:color="auto" w:fill="auto"/>
          </w:tcPr>
          <w:p w14:paraId="1E8ABC03" w14:textId="77777777" w:rsidR="0077031F" w:rsidRPr="00110D6C" w:rsidRDefault="00030085" w:rsidP="00056B50">
            <w:pPr>
              <w:widowControl/>
              <w:jc w:val="center"/>
              <w:rPr>
                <w:rFonts w:cs="Times New Roman"/>
                <w:color w:val="auto"/>
                <w:szCs w:val="22"/>
                <w:lang w:val="pt-PT"/>
              </w:rPr>
            </w:pPr>
            <w:r w:rsidRPr="00110D6C">
              <w:rPr>
                <w:rFonts w:cs="Times New Roman"/>
                <w:color w:val="auto"/>
                <w:szCs w:val="22"/>
                <w:lang w:val="pt-PT"/>
              </w:rPr>
              <w:t>1</w:t>
            </w:r>
            <w:r w:rsidR="00B910F9" w:rsidRPr="00110D6C">
              <w:rPr>
                <w:rFonts w:cs="Times New Roman"/>
                <w:color w:val="auto"/>
                <w:szCs w:val="22"/>
                <w:lang w:val="pt-PT"/>
              </w:rPr>
              <w:t>3</w:t>
            </w:r>
            <w:r w:rsidR="00056B50" w:rsidRPr="00110D6C">
              <w:rPr>
                <w:rFonts w:cs="Times New Roman"/>
                <w:color w:val="auto"/>
                <w:szCs w:val="22"/>
                <w:lang w:val="pt-PT"/>
              </w:rPr>
              <w:t xml:space="preserve"> </w:t>
            </w:r>
            <w:r w:rsidRPr="00110D6C">
              <w:rPr>
                <w:rFonts w:cs="Times New Roman"/>
                <w:color w:val="auto"/>
                <w:szCs w:val="22"/>
                <w:lang w:val="pt-PT"/>
              </w:rPr>
              <w:t>(37,1%)</w:t>
            </w:r>
          </w:p>
        </w:tc>
      </w:tr>
      <w:tr w:rsidR="0077031F" w:rsidRPr="00110D6C" w14:paraId="52E9194B" w14:textId="77777777" w:rsidTr="00E77794">
        <w:tc>
          <w:tcPr>
            <w:tcW w:w="9078" w:type="dxa"/>
            <w:gridSpan w:val="4"/>
            <w:tcBorders>
              <w:top w:val="single" w:sz="4" w:space="0" w:color="auto"/>
              <w:left w:val="single" w:sz="4" w:space="0" w:color="auto"/>
              <w:right w:val="single" w:sz="4" w:space="0" w:color="auto"/>
            </w:tcBorders>
            <w:shd w:val="clear" w:color="auto" w:fill="auto"/>
          </w:tcPr>
          <w:p w14:paraId="113254BA" w14:textId="77777777" w:rsidR="0077031F" w:rsidRPr="00110D6C" w:rsidRDefault="00030085" w:rsidP="00E77794">
            <w:pPr>
              <w:widowControl/>
              <w:rPr>
                <w:rFonts w:cs="Times New Roman"/>
                <w:color w:val="auto"/>
                <w:szCs w:val="22"/>
                <w:lang w:val="pt-PT"/>
              </w:rPr>
            </w:pPr>
            <w:r w:rsidRPr="00110D6C">
              <w:rPr>
                <w:rFonts w:cs="Times New Roman"/>
                <w:b/>
                <w:bCs/>
                <w:color w:val="auto"/>
                <w:szCs w:val="22"/>
                <w:lang w:val="pt-PT"/>
              </w:rPr>
              <w:t>CDLQI</w:t>
            </w:r>
          </w:p>
        </w:tc>
      </w:tr>
      <w:tr w:rsidR="0077031F" w:rsidRPr="00110D6C" w14:paraId="7E36F24E" w14:textId="77777777" w:rsidTr="00E77794">
        <w:tc>
          <w:tcPr>
            <w:tcW w:w="2789" w:type="dxa"/>
            <w:tcBorders>
              <w:top w:val="single" w:sz="4" w:space="0" w:color="auto"/>
              <w:left w:val="single" w:sz="4" w:space="0" w:color="auto"/>
            </w:tcBorders>
            <w:shd w:val="clear" w:color="auto" w:fill="auto"/>
          </w:tcPr>
          <w:p w14:paraId="537C3527"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 xml:space="preserve">CDLQI de </w:t>
            </w:r>
            <w:r w:rsidR="00B910F9" w:rsidRPr="00110D6C">
              <w:rPr>
                <w:rFonts w:cs="Times New Roman"/>
                <w:color w:val="auto"/>
                <w:szCs w:val="22"/>
                <w:lang w:val="pt-PT"/>
              </w:rPr>
              <w:t>0 </w:t>
            </w:r>
            <w:r w:rsidRPr="00110D6C">
              <w:rPr>
                <w:rFonts w:cs="Times New Roman"/>
                <w:color w:val="auto"/>
                <w:szCs w:val="22"/>
                <w:lang w:val="pt-PT"/>
              </w:rPr>
              <w:t>ou 1</w:t>
            </w:r>
            <w:r w:rsidRPr="00110D6C">
              <w:rPr>
                <w:rFonts w:cs="Times New Roman"/>
                <w:color w:val="auto"/>
                <w:szCs w:val="22"/>
                <w:vertAlign w:val="superscript"/>
                <w:lang w:val="pt-PT"/>
              </w:rPr>
              <w:t>b</w:t>
            </w:r>
          </w:p>
        </w:tc>
        <w:tc>
          <w:tcPr>
            <w:tcW w:w="2093" w:type="dxa"/>
            <w:tcBorders>
              <w:top w:val="single" w:sz="4" w:space="0" w:color="auto"/>
              <w:left w:val="single" w:sz="4" w:space="0" w:color="auto"/>
            </w:tcBorders>
            <w:shd w:val="clear" w:color="auto" w:fill="auto"/>
          </w:tcPr>
          <w:p w14:paraId="5F0FEA04" w14:textId="77777777" w:rsidR="0077031F" w:rsidRPr="00110D6C" w:rsidRDefault="00B910F9" w:rsidP="00056B50">
            <w:pPr>
              <w:widowControl/>
              <w:jc w:val="center"/>
              <w:rPr>
                <w:rFonts w:cs="Times New Roman"/>
                <w:color w:val="auto"/>
                <w:szCs w:val="22"/>
                <w:lang w:val="pt-PT"/>
              </w:rPr>
            </w:pPr>
            <w:r w:rsidRPr="00110D6C">
              <w:rPr>
                <w:rFonts w:cs="Times New Roman"/>
                <w:color w:val="auto"/>
                <w:szCs w:val="22"/>
                <w:lang w:val="pt-PT"/>
              </w:rPr>
              <w:t>6</w:t>
            </w:r>
            <w:r w:rsidR="00056B50" w:rsidRPr="00110D6C">
              <w:rPr>
                <w:rFonts w:cs="Times New Roman"/>
                <w:color w:val="auto"/>
                <w:szCs w:val="22"/>
                <w:lang w:val="pt-PT"/>
              </w:rPr>
              <w:t xml:space="preserve"> </w:t>
            </w:r>
            <w:r w:rsidR="00030085" w:rsidRPr="00110D6C">
              <w:rPr>
                <w:rFonts w:cs="Times New Roman"/>
                <w:color w:val="auto"/>
                <w:szCs w:val="22"/>
                <w:lang w:val="pt-PT"/>
              </w:rPr>
              <w:t>(16,2%)</w:t>
            </w:r>
          </w:p>
        </w:tc>
        <w:tc>
          <w:tcPr>
            <w:tcW w:w="2098" w:type="dxa"/>
            <w:tcBorders>
              <w:top w:val="single" w:sz="4" w:space="0" w:color="auto"/>
              <w:left w:val="single" w:sz="4" w:space="0" w:color="auto"/>
            </w:tcBorders>
            <w:shd w:val="clear" w:color="auto" w:fill="auto"/>
          </w:tcPr>
          <w:p w14:paraId="009174EC" w14:textId="77777777" w:rsidR="0077031F" w:rsidRPr="00110D6C" w:rsidRDefault="00030085" w:rsidP="00056B50">
            <w:pPr>
              <w:widowControl/>
              <w:jc w:val="center"/>
              <w:rPr>
                <w:rFonts w:cs="Times New Roman"/>
                <w:color w:val="auto"/>
                <w:szCs w:val="22"/>
                <w:lang w:val="pt-PT"/>
              </w:rPr>
            </w:pPr>
            <w:r w:rsidRPr="00110D6C">
              <w:rPr>
                <w:rFonts w:cs="Times New Roman"/>
                <w:color w:val="auto"/>
                <w:szCs w:val="22"/>
                <w:lang w:val="pt-PT"/>
              </w:rPr>
              <w:t>1</w:t>
            </w:r>
            <w:r w:rsidR="00B910F9" w:rsidRPr="00110D6C">
              <w:rPr>
                <w:rFonts w:cs="Times New Roman"/>
                <w:color w:val="auto"/>
                <w:szCs w:val="22"/>
                <w:lang w:val="pt-PT"/>
              </w:rPr>
              <w:t>8</w:t>
            </w:r>
            <w:r w:rsidR="00056B50" w:rsidRPr="00110D6C">
              <w:rPr>
                <w:rFonts w:cs="Times New Roman"/>
                <w:color w:val="auto"/>
                <w:szCs w:val="22"/>
                <w:lang w:val="pt-PT"/>
              </w:rPr>
              <w:t xml:space="preserve"> </w:t>
            </w:r>
            <w:r w:rsidRPr="00110D6C">
              <w:rPr>
                <w:rFonts w:cs="Times New Roman"/>
                <w:color w:val="auto"/>
                <w:szCs w:val="22"/>
                <w:lang w:val="pt-PT"/>
              </w:rPr>
              <w:t>(50,0%)</w:t>
            </w:r>
            <w:r w:rsidRPr="00110D6C">
              <w:rPr>
                <w:rFonts w:cs="Times New Roman"/>
                <w:color w:val="auto"/>
                <w:szCs w:val="22"/>
                <w:vertAlign w:val="superscript"/>
                <w:lang w:val="pt-PT"/>
              </w:rPr>
              <w:t>c</w:t>
            </w:r>
          </w:p>
        </w:tc>
        <w:tc>
          <w:tcPr>
            <w:tcW w:w="2098" w:type="dxa"/>
            <w:tcBorders>
              <w:top w:val="single" w:sz="4" w:space="0" w:color="auto"/>
              <w:left w:val="single" w:sz="4" w:space="0" w:color="auto"/>
              <w:right w:val="single" w:sz="4" w:space="0" w:color="auto"/>
            </w:tcBorders>
            <w:shd w:val="clear" w:color="auto" w:fill="auto"/>
          </w:tcPr>
          <w:p w14:paraId="673F3090" w14:textId="77777777" w:rsidR="0077031F" w:rsidRPr="00110D6C" w:rsidRDefault="00030085" w:rsidP="00056B50">
            <w:pPr>
              <w:widowControl/>
              <w:jc w:val="center"/>
              <w:rPr>
                <w:rFonts w:cs="Times New Roman"/>
                <w:color w:val="auto"/>
                <w:szCs w:val="22"/>
                <w:lang w:val="pt-PT"/>
              </w:rPr>
            </w:pPr>
            <w:r w:rsidRPr="00110D6C">
              <w:rPr>
                <w:rFonts w:cs="Times New Roman"/>
                <w:color w:val="auto"/>
                <w:szCs w:val="22"/>
                <w:lang w:val="pt-PT"/>
              </w:rPr>
              <w:t>2</w:t>
            </w:r>
            <w:r w:rsidR="00B910F9" w:rsidRPr="00110D6C">
              <w:rPr>
                <w:rFonts w:cs="Times New Roman"/>
                <w:color w:val="auto"/>
                <w:szCs w:val="22"/>
                <w:lang w:val="pt-PT"/>
              </w:rPr>
              <w:t>0</w:t>
            </w:r>
            <w:r w:rsidR="00056B50" w:rsidRPr="00110D6C">
              <w:rPr>
                <w:rFonts w:cs="Times New Roman"/>
                <w:color w:val="auto"/>
                <w:szCs w:val="22"/>
                <w:lang w:val="pt-PT"/>
              </w:rPr>
              <w:t xml:space="preserve"> </w:t>
            </w:r>
            <w:r w:rsidRPr="00110D6C">
              <w:rPr>
                <w:rFonts w:cs="Times New Roman"/>
                <w:color w:val="auto"/>
                <w:szCs w:val="22"/>
                <w:lang w:val="pt-PT"/>
              </w:rPr>
              <w:t>(57,1%)</w:t>
            </w:r>
          </w:p>
        </w:tc>
      </w:tr>
      <w:tr w:rsidR="0077031F" w:rsidRPr="00110D6C" w14:paraId="54B9D54C" w14:textId="77777777" w:rsidTr="00E77794">
        <w:tc>
          <w:tcPr>
            <w:tcW w:w="9078" w:type="dxa"/>
            <w:gridSpan w:val="4"/>
            <w:tcBorders>
              <w:top w:val="single" w:sz="4" w:space="0" w:color="auto"/>
              <w:left w:val="single" w:sz="4" w:space="0" w:color="auto"/>
              <w:right w:val="single" w:sz="4" w:space="0" w:color="auto"/>
            </w:tcBorders>
            <w:shd w:val="clear" w:color="auto" w:fill="auto"/>
          </w:tcPr>
          <w:p w14:paraId="1CFA9885" w14:textId="77777777" w:rsidR="0077031F" w:rsidRPr="00110D6C" w:rsidRDefault="00030085" w:rsidP="00E77794">
            <w:pPr>
              <w:widowControl/>
              <w:rPr>
                <w:rFonts w:cs="Times New Roman"/>
                <w:color w:val="auto"/>
                <w:szCs w:val="22"/>
                <w:lang w:val="pt-PT"/>
              </w:rPr>
            </w:pPr>
            <w:r w:rsidRPr="00110D6C">
              <w:rPr>
                <w:rFonts w:cs="Times New Roman"/>
                <w:b/>
                <w:bCs/>
                <w:color w:val="auto"/>
                <w:szCs w:val="22"/>
                <w:lang w:val="pt-PT"/>
              </w:rPr>
              <w:t>PedsQL</w:t>
            </w:r>
          </w:p>
        </w:tc>
      </w:tr>
      <w:tr w:rsidR="0077031F" w:rsidRPr="00110D6C" w14:paraId="52A46571" w14:textId="77777777" w:rsidTr="00E77794">
        <w:tc>
          <w:tcPr>
            <w:tcW w:w="2789" w:type="dxa"/>
            <w:tcBorders>
              <w:top w:val="single" w:sz="4" w:space="0" w:color="auto"/>
              <w:left w:val="single" w:sz="4" w:space="0" w:color="auto"/>
              <w:bottom w:val="single" w:sz="4" w:space="0" w:color="auto"/>
            </w:tcBorders>
            <w:shd w:val="clear" w:color="auto" w:fill="auto"/>
          </w:tcPr>
          <w:p w14:paraId="78389A2D"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Alteração desde o valor basal</w:t>
            </w:r>
            <w:r w:rsidR="00E77794" w:rsidRPr="00110D6C">
              <w:rPr>
                <w:rFonts w:cs="Times New Roman"/>
                <w:color w:val="auto"/>
                <w:szCs w:val="22"/>
                <w:lang w:val="pt-PT"/>
              </w:rPr>
              <w:t xml:space="preserve"> </w:t>
            </w:r>
            <w:r w:rsidRPr="00110D6C">
              <w:rPr>
                <w:rFonts w:cs="Times New Roman"/>
                <w:color w:val="auto"/>
                <w:szCs w:val="22"/>
                <w:lang w:val="pt-PT"/>
              </w:rPr>
              <w:t>Média (SD)</w:t>
            </w:r>
            <w:r w:rsidRPr="00110D6C">
              <w:rPr>
                <w:rFonts w:cs="Times New Roman"/>
                <w:color w:val="auto"/>
                <w:szCs w:val="22"/>
                <w:vertAlign w:val="superscript"/>
                <w:lang w:val="pt-PT"/>
              </w:rPr>
              <w:t>d</w:t>
            </w:r>
          </w:p>
        </w:tc>
        <w:tc>
          <w:tcPr>
            <w:tcW w:w="2093" w:type="dxa"/>
            <w:tcBorders>
              <w:top w:val="single" w:sz="4" w:space="0" w:color="auto"/>
              <w:left w:val="single" w:sz="4" w:space="0" w:color="auto"/>
              <w:bottom w:val="single" w:sz="4" w:space="0" w:color="auto"/>
            </w:tcBorders>
            <w:shd w:val="clear" w:color="auto" w:fill="auto"/>
          </w:tcPr>
          <w:p w14:paraId="2E7F9AD2" w14:textId="77777777" w:rsidR="0077031F" w:rsidRPr="00110D6C" w:rsidRDefault="00030085" w:rsidP="00056B50">
            <w:pPr>
              <w:widowControl/>
              <w:jc w:val="center"/>
              <w:rPr>
                <w:rFonts w:cs="Times New Roman"/>
                <w:color w:val="auto"/>
                <w:szCs w:val="22"/>
                <w:lang w:val="pt-PT"/>
              </w:rPr>
            </w:pPr>
            <w:r w:rsidRPr="00110D6C">
              <w:rPr>
                <w:rFonts w:cs="Times New Roman"/>
                <w:color w:val="auto"/>
                <w:szCs w:val="22"/>
                <w:lang w:val="pt-PT"/>
              </w:rPr>
              <w:t>3,3</w:t>
            </w:r>
            <w:r w:rsidR="00B910F9" w:rsidRPr="00110D6C">
              <w:rPr>
                <w:rFonts w:cs="Times New Roman"/>
                <w:color w:val="auto"/>
                <w:szCs w:val="22"/>
                <w:lang w:val="pt-PT"/>
              </w:rPr>
              <w:t>5</w:t>
            </w:r>
            <w:r w:rsidR="00056B50" w:rsidRPr="00110D6C">
              <w:rPr>
                <w:rFonts w:cs="Times New Roman"/>
                <w:color w:val="auto"/>
                <w:szCs w:val="22"/>
                <w:lang w:val="pt-PT"/>
              </w:rPr>
              <w:t xml:space="preserve"> </w:t>
            </w:r>
            <w:r w:rsidRPr="00110D6C">
              <w:rPr>
                <w:rFonts w:cs="Times New Roman"/>
                <w:color w:val="auto"/>
                <w:szCs w:val="22"/>
                <w:lang w:val="pt-PT"/>
              </w:rPr>
              <w:t>(10,04)</w:t>
            </w:r>
          </w:p>
        </w:tc>
        <w:tc>
          <w:tcPr>
            <w:tcW w:w="2098" w:type="dxa"/>
            <w:tcBorders>
              <w:top w:val="single" w:sz="4" w:space="0" w:color="auto"/>
              <w:left w:val="single" w:sz="4" w:space="0" w:color="auto"/>
              <w:bottom w:val="single" w:sz="4" w:space="0" w:color="auto"/>
            </w:tcBorders>
            <w:shd w:val="clear" w:color="auto" w:fill="auto"/>
          </w:tcPr>
          <w:p w14:paraId="70634879" w14:textId="77777777" w:rsidR="0077031F" w:rsidRPr="00110D6C" w:rsidRDefault="00030085" w:rsidP="00056B50">
            <w:pPr>
              <w:widowControl/>
              <w:jc w:val="center"/>
              <w:rPr>
                <w:rFonts w:cs="Times New Roman"/>
                <w:color w:val="auto"/>
                <w:szCs w:val="22"/>
                <w:lang w:val="pt-PT"/>
              </w:rPr>
            </w:pPr>
            <w:r w:rsidRPr="00110D6C">
              <w:rPr>
                <w:rFonts w:cs="Times New Roman"/>
                <w:color w:val="auto"/>
                <w:szCs w:val="22"/>
                <w:lang w:val="pt-PT"/>
              </w:rPr>
              <w:t>8,0</w:t>
            </w:r>
            <w:r w:rsidR="00B910F9" w:rsidRPr="00110D6C">
              <w:rPr>
                <w:rFonts w:cs="Times New Roman"/>
                <w:color w:val="auto"/>
                <w:szCs w:val="22"/>
                <w:lang w:val="pt-PT"/>
              </w:rPr>
              <w:t>3</w:t>
            </w:r>
            <w:r w:rsidR="00056B50" w:rsidRPr="00110D6C">
              <w:rPr>
                <w:rFonts w:cs="Times New Roman"/>
                <w:color w:val="auto"/>
                <w:szCs w:val="22"/>
                <w:lang w:val="pt-PT"/>
              </w:rPr>
              <w:t xml:space="preserve"> </w:t>
            </w:r>
            <w:r w:rsidRPr="00110D6C">
              <w:rPr>
                <w:rFonts w:cs="Times New Roman"/>
                <w:color w:val="auto"/>
                <w:szCs w:val="22"/>
                <w:lang w:val="pt-PT"/>
              </w:rPr>
              <w:t>(10,44)</w:t>
            </w:r>
            <w:r w:rsidRPr="00110D6C">
              <w:rPr>
                <w:rFonts w:cs="Times New Roman"/>
                <w:color w:val="auto"/>
                <w:szCs w:val="22"/>
                <w:vertAlign w:val="superscript"/>
                <w:lang w:val="pt-PT"/>
              </w:rPr>
              <w:t>e</w:t>
            </w:r>
          </w:p>
        </w:tc>
        <w:tc>
          <w:tcPr>
            <w:tcW w:w="2098" w:type="dxa"/>
            <w:tcBorders>
              <w:top w:val="single" w:sz="4" w:space="0" w:color="auto"/>
              <w:left w:val="single" w:sz="4" w:space="0" w:color="auto"/>
              <w:bottom w:val="single" w:sz="4" w:space="0" w:color="auto"/>
              <w:right w:val="single" w:sz="4" w:space="0" w:color="auto"/>
            </w:tcBorders>
            <w:shd w:val="clear" w:color="auto" w:fill="auto"/>
          </w:tcPr>
          <w:p w14:paraId="2BE03029" w14:textId="77777777" w:rsidR="0077031F" w:rsidRPr="00110D6C" w:rsidRDefault="00030085" w:rsidP="00056B50">
            <w:pPr>
              <w:widowControl/>
              <w:jc w:val="center"/>
              <w:rPr>
                <w:rFonts w:cs="Times New Roman"/>
                <w:color w:val="auto"/>
                <w:szCs w:val="22"/>
                <w:lang w:val="pt-PT"/>
              </w:rPr>
            </w:pPr>
            <w:r w:rsidRPr="00110D6C">
              <w:rPr>
                <w:rFonts w:cs="Times New Roman"/>
                <w:color w:val="auto"/>
                <w:szCs w:val="22"/>
                <w:lang w:val="pt-PT"/>
              </w:rPr>
              <w:t>7,2</w:t>
            </w:r>
            <w:r w:rsidR="00B910F9" w:rsidRPr="00110D6C">
              <w:rPr>
                <w:rFonts w:cs="Times New Roman"/>
                <w:color w:val="auto"/>
                <w:szCs w:val="22"/>
                <w:lang w:val="pt-PT"/>
              </w:rPr>
              <w:t>6</w:t>
            </w:r>
            <w:r w:rsidR="00056B50" w:rsidRPr="00110D6C">
              <w:rPr>
                <w:rFonts w:cs="Times New Roman"/>
                <w:color w:val="auto"/>
                <w:szCs w:val="22"/>
                <w:lang w:val="pt-PT"/>
              </w:rPr>
              <w:t xml:space="preserve"> </w:t>
            </w:r>
            <w:r w:rsidRPr="00110D6C">
              <w:rPr>
                <w:rFonts w:cs="Times New Roman"/>
                <w:color w:val="auto"/>
                <w:szCs w:val="22"/>
                <w:lang w:val="pt-PT"/>
              </w:rPr>
              <w:t>(10,92)</w:t>
            </w:r>
          </w:p>
        </w:tc>
      </w:tr>
    </w:tbl>
    <w:p w14:paraId="07D48402" w14:textId="77777777" w:rsidR="0077031F" w:rsidRPr="00110D6C" w:rsidRDefault="00030085" w:rsidP="00E77794">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a</w:t>
      </w:r>
      <w:r w:rsidR="00E77794" w:rsidRPr="00110D6C">
        <w:rPr>
          <w:rFonts w:cs="Times New Roman"/>
          <w:color w:val="auto"/>
          <w:sz w:val="20"/>
          <w:szCs w:val="20"/>
          <w:lang w:val="pt-PT"/>
        </w:rPr>
        <w:tab/>
      </w:r>
      <w:r w:rsidRPr="00110D6C">
        <w:rPr>
          <w:rFonts w:cs="Times New Roman"/>
          <w:color w:val="auto"/>
          <w:sz w:val="20"/>
          <w:szCs w:val="20"/>
          <w:lang w:val="pt-PT"/>
        </w:rPr>
        <w:t>p</w:t>
      </w:r>
      <w:r w:rsidR="00F5387C" w:rsidRPr="00110D6C">
        <w:rPr>
          <w:rFonts w:cs="Times New Roman"/>
          <w:color w:val="auto"/>
          <w:sz w:val="20"/>
          <w:szCs w:val="20"/>
          <w:lang w:val="pt-PT"/>
        </w:rPr>
        <w:t> </w:t>
      </w:r>
      <w:r w:rsidRPr="00110D6C">
        <w:rPr>
          <w:rFonts w:cs="Times New Roman"/>
          <w:color w:val="auto"/>
          <w:sz w:val="20"/>
          <w:szCs w:val="20"/>
          <w:lang w:val="pt-PT"/>
        </w:rPr>
        <w:t>&lt;</w:t>
      </w:r>
      <w:r w:rsidR="00F5387C" w:rsidRPr="00110D6C">
        <w:rPr>
          <w:rFonts w:cs="Times New Roman"/>
          <w:color w:val="auto"/>
          <w:sz w:val="20"/>
          <w:szCs w:val="20"/>
          <w:lang w:val="pt-PT"/>
        </w:rPr>
        <w:t> </w:t>
      </w:r>
      <w:r w:rsidRPr="00110D6C">
        <w:rPr>
          <w:rFonts w:cs="Times New Roman"/>
          <w:color w:val="auto"/>
          <w:sz w:val="20"/>
          <w:szCs w:val="20"/>
          <w:lang w:val="pt-PT"/>
        </w:rPr>
        <w:t>0,001</w:t>
      </w:r>
    </w:p>
    <w:p w14:paraId="7ED9000A" w14:textId="77777777" w:rsidR="0077031F" w:rsidRPr="00110D6C" w:rsidRDefault="00030085" w:rsidP="00E77794">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b</w:t>
      </w:r>
      <w:r w:rsidR="00E77794" w:rsidRPr="00110D6C">
        <w:rPr>
          <w:rFonts w:cs="Times New Roman"/>
          <w:color w:val="auto"/>
          <w:sz w:val="20"/>
          <w:szCs w:val="20"/>
          <w:vertAlign w:val="superscript"/>
          <w:lang w:val="pt-PT"/>
        </w:rPr>
        <w:tab/>
      </w:r>
      <w:r w:rsidRPr="00110D6C">
        <w:rPr>
          <w:rFonts w:cs="Times New Roman"/>
          <w:color w:val="auto"/>
          <w:sz w:val="20"/>
          <w:szCs w:val="20"/>
          <w:lang w:val="pt-PT"/>
        </w:rPr>
        <w:t xml:space="preserve">CDLQI: CDLQI é um instrumento utilizado em dermatologia para avaliar o efeito de um problema da pele em relação à qualidade de vida relacionada com a saúde na população pediátrica. CDLQI de </w:t>
      </w:r>
      <w:r w:rsidR="00B910F9" w:rsidRPr="00110D6C">
        <w:rPr>
          <w:rFonts w:cs="Times New Roman"/>
          <w:color w:val="auto"/>
          <w:sz w:val="20"/>
          <w:szCs w:val="20"/>
          <w:lang w:val="pt-PT"/>
        </w:rPr>
        <w:t>0 </w:t>
      </w:r>
      <w:r w:rsidRPr="00110D6C">
        <w:rPr>
          <w:rFonts w:cs="Times New Roman"/>
          <w:color w:val="auto"/>
          <w:sz w:val="20"/>
          <w:szCs w:val="20"/>
          <w:lang w:val="pt-PT"/>
        </w:rPr>
        <w:t xml:space="preserve">ou </w:t>
      </w:r>
      <w:r w:rsidR="00B910F9" w:rsidRPr="00110D6C">
        <w:rPr>
          <w:rFonts w:cs="Times New Roman"/>
          <w:color w:val="auto"/>
          <w:sz w:val="20"/>
          <w:szCs w:val="20"/>
          <w:lang w:val="pt-PT"/>
        </w:rPr>
        <w:t>1 </w:t>
      </w:r>
      <w:r w:rsidRPr="00110D6C">
        <w:rPr>
          <w:rFonts w:cs="Times New Roman"/>
          <w:color w:val="auto"/>
          <w:sz w:val="20"/>
          <w:szCs w:val="20"/>
          <w:lang w:val="pt-PT"/>
        </w:rPr>
        <w:t>não indica qualquer efeito na qualidade de vida da criança.</w:t>
      </w:r>
    </w:p>
    <w:p w14:paraId="65E36C21" w14:textId="77777777" w:rsidR="0077031F" w:rsidRPr="00110D6C" w:rsidRDefault="00030085" w:rsidP="00E77794">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c</w:t>
      </w:r>
      <w:r w:rsidR="00E77794" w:rsidRPr="00110D6C">
        <w:rPr>
          <w:rFonts w:cs="Times New Roman"/>
          <w:color w:val="auto"/>
          <w:sz w:val="20"/>
          <w:szCs w:val="20"/>
          <w:lang w:val="pt-PT"/>
        </w:rPr>
        <w:tab/>
      </w:r>
      <w:r w:rsidRPr="00110D6C">
        <w:rPr>
          <w:rFonts w:cs="Times New Roman"/>
          <w:color w:val="auto"/>
          <w:sz w:val="20"/>
          <w:szCs w:val="20"/>
          <w:lang w:val="pt-PT"/>
        </w:rPr>
        <w:t>p</w:t>
      </w:r>
      <w:r w:rsidR="006A79E5" w:rsidRPr="00110D6C">
        <w:rPr>
          <w:rFonts w:cs="Times New Roman"/>
          <w:color w:val="auto"/>
          <w:sz w:val="20"/>
          <w:szCs w:val="20"/>
          <w:lang w:val="pt-PT"/>
        </w:rPr>
        <w:t> </w:t>
      </w:r>
      <w:r w:rsidRPr="00110D6C">
        <w:rPr>
          <w:rFonts w:cs="Times New Roman"/>
          <w:color w:val="auto"/>
          <w:sz w:val="20"/>
          <w:szCs w:val="20"/>
          <w:lang w:val="pt-PT"/>
        </w:rPr>
        <w:t>=</w:t>
      </w:r>
      <w:r w:rsidR="006A79E5" w:rsidRPr="00110D6C">
        <w:rPr>
          <w:rFonts w:cs="Times New Roman"/>
          <w:color w:val="auto"/>
          <w:sz w:val="20"/>
          <w:szCs w:val="20"/>
          <w:lang w:val="pt-PT"/>
        </w:rPr>
        <w:t> </w:t>
      </w:r>
      <w:r w:rsidRPr="00110D6C">
        <w:rPr>
          <w:rFonts w:cs="Times New Roman"/>
          <w:color w:val="auto"/>
          <w:sz w:val="20"/>
          <w:szCs w:val="20"/>
          <w:lang w:val="pt-PT"/>
        </w:rPr>
        <w:t>0,002</w:t>
      </w:r>
    </w:p>
    <w:p w14:paraId="60B8086D" w14:textId="77777777" w:rsidR="0077031F" w:rsidRPr="00110D6C" w:rsidRDefault="00030085" w:rsidP="00E77794">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d</w:t>
      </w:r>
      <w:r w:rsidR="00E77794" w:rsidRPr="00110D6C">
        <w:rPr>
          <w:rFonts w:cs="Times New Roman"/>
          <w:color w:val="auto"/>
          <w:sz w:val="20"/>
          <w:szCs w:val="20"/>
          <w:lang w:val="pt-PT"/>
        </w:rPr>
        <w:tab/>
      </w:r>
      <w:r w:rsidRPr="00110D6C">
        <w:rPr>
          <w:rFonts w:cs="Times New Roman"/>
          <w:color w:val="auto"/>
          <w:sz w:val="20"/>
          <w:szCs w:val="20"/>
          <w:lang w:val="pt-PT"/>
        </w:rPr>
        <w:t xml:space="preserve">PedsQL: </w:t>
      </w:r>
      <w:r w:rsidRPr="00110D6C">
        <w:rPr>
          <w:rFonts w:cs="Times New Roman"/>
          <w:i/>
          <w:iCs/>
          <w:color w:val="auto"/>
          <w:sz w:val="20"/>
          <w:szCs w:val="20"/>
          <w:lang w:val="pt-PT"/>
        </w:rPr>
        <w:t>PedsQL Total Scale Score</w:t>
      </w:r>
      <w:r w:rsidRPr="00110D6C">
        <w:rPr>
          <w:rFonts w:cs="Times New Roman"/>
          <w:color w:val="auto"/>
          <w:sz w:val="20"/>
          <w:szCs w:val="20"/>
          <w:lang w:val="pt-PT"/>
        </w:rPr>
        <w:t xml:space="preserve"> é uma medida desenvolvida para utilização em crianças e populações adolescentes. Para o grupo placebo na Semana</w:t>
      </w:r>
      <w:r w:rsidR="005562CC" w:rsidRPr="00110D6C">
        <w:rPr>
          <w:rFonts w:cs="Times New Roman"/>
          <w:color w:val="auto"/>
          <w:sz w:val="20"/>
          <w:szCs w:val="20"/>
          <w:lang w:val="pt-PT"/>
        </w:rPr>
        <w:t> </w:t>
      </w:r>
      <w:r w:rsidRPr="00110D6C">
        <w:rPr>
          <w:rFonts w:cs="Times New Roman"/>
          <w:color w:val="auto"/>
          <w:sz w:val="20"/>
          <w:szCs w:val="20"/>
          <w:lang w:val="pt-PT"/>
        </w:rPr>
        <w:t>12, N</w:t>
      </w:r>
      <w:r w:rsidR="006A79E5" w:rsidRPr="00110D6C">
        <w:rPr>
          <w:rFonts w:cs="Times New Roman"/>
          <w:color w:val="auto"/>
          <w:sz w:val="20"/>
          <w:szCs w:val="20"/>
          <w:lang w:val="pt-PT"/>
        </w:rPr>
        <w:t> </w:t>
      </w:r>
      <w:r w:rsidRPr="00110D6C">
        <w:rPr>
          <w:rFonts w:cs="Times New Roman"/>
          <w:color w:val="auto"/>
          <w:sz w:val="20"/>
          <w:szCs w:val="20"/>
          <w:lang w:val="pt-PT"/>
        </w:rPr>
        <w:t>=</w:t>
      </w:r>
      <w:r w:rsidR="006A79E5" w:rsidRPr="00110D6C">
        <w:rPr>
          <w:rFonts w:cs="Times New Roman"/>
          <w:color w:val="auto"/>
          <w:sz w:val="20"/>
          <w:szCs w:val="20"/>
          <w:lang w:val="pt-PT"/>
        </w:rPr>
        <w:t> </w:t>
      </w:r>
      <w:r w:rsidRPr="00110D6C">
        <w:rPr>
          <w:rFonts w:cs="Times New Roman"/>
          <w:color w:val="auto"/>
          <w:sz w:val="20"/>
          <w:szCs w:val="20"/>
          <w:lang w:val="pt-PT"/>
        </w:rPr>
        <w:t>36</w:t>
      </w:r>
    </w:p>
    <w:p w14:paraId="0F2820A8" w14:textId="77777777" w:rsidR="0077031F" w:rsidRPr="00110D6C" w:rsidRDefault="00030085" w:rsidP="00E77794">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e</w:t>
      </w:r>
      <w:r w:rsidR="00E77794" w:rsidRPr="00110D6C">
        <w:rPr>
          <w:rFonts w:cs="Times New Roman"/>
          <w:color w:val="auto"/>
          <w:sz w:val="20"/>
          <w:szCs w:val="20"/>
          <w:lang w:val="pt-PT"/>
        </w:rPr>
        <w:tab/>
      </w:r>
      <w:r w:rsidRPr="00110D6C">
        <w:rPr>
          <w:rFonts w:cs="Times New Roman"/>
          <w:color w:val="auto"/>
          <w:sz w:val="20"/>
          <w:szCs w:val="20"/>
          <w:lang w:val="pt-PT"/>
        </w:rPr>
        <w:t>p</w:t>
      </w:r>
      <w:r w:rsidR="006A79E5" w:rsidRPr="00110D6C">
        <w:rPr>
          <w:rFonts w:cs="Times New Roman"/>
          <w:color w:val="auto"/>
          <w:sz w:val="20"/>
          <w:szCs w:val="20"/>
          <w:lang w:val="pt-PT"/>
        </w:rPr>
        <w:t> </w:t>
      </w:r>
      <w:r w:rsidRPr="00110D6C">
        <w:rPr>
          <w:rFonts w:cs="Times New Roman"/>
          <w:color w:val="auto"/>
          <w:sz w:val="20"/>
          <w:szCs w:val="20"/>
          <w:lang w:val="pt-PT"/>
        </w:rPr>
        <w:t>=</w:t>
      </w:r>
      <w:r w:rsidR="006A79E5" w:rsidRPr="00110D6C">
        <w:rPr>
          <w:rFonts w:cs="Times New Roman"/>
          <w:color w:val="auto"/>
          <w:sz w:val="20"/>
          <w:szCs w:val="20"/>
          <w:lang w:val="pt-PT"/>
        </w:rPr>
        <w:t> </w:t>
      </w:r>
      <w:r w:rsidRPr="00110D6C">
        <w:rPr>
          <w:rFonts w:cs="Times New Roman"/>
          <w:color w:val="auto"/>
          <w:sz w:val="20"/>
          <w:szCs w:val="20"/>
          <w:lang w:val="pt-PT"/>
        </w:rPr>
        <w:t>0,028</w:t>
      </w:r>
    </w:p>
    <w:p w14:paraId="11798575" w14:textId="77777777" w:rsidR="00E77794" w:rsidRPr="00110D6C" w:rsidRDefault="00E77794" w:rsidP="00A17623">
      <w:pPr>
        <w:widowControl/>
        <w:rPr>
          <w:rFonts w:cs="Times New Roman"/>
          <w:color w:val="auto"/>
          <w:szCs w:val="22"/>
          <w:lang w:val="pt-PT"/>
        </w:rPr>
      </w:pPr>
    </w:p>
    <w:p w14:paraId="7E01845C" w14:textId="14C4CA98" w:rsidR="0077031F" w:rsidRPr="00110D6C" w:rsidRDefault="00030085" w:rsidP="00A17623">
      <w:pPr>
        <w:widowControl/>
        <w:rPr>
          <w:rFonts w:cs="Times New Roman"/>
          <w:color w:val="auto"/>
          <w:szCs w:val="22"/>
          <w:lang w:val="pt-PT"/>
        </w:rPr>
      </w:pPr>
      <w:r w:rsidRPr="00110D6C">
        <w:rPr>
          <w:rFonts w:cs="Times New Roman"/>
          <w:color w:val="auto"/>
          <w:szCs w:val="22"/>
          <w:lang w:val="pt-PT"/>
        </w:rPr>
        <w:t>Durante o período controlado por placebo até à Semana</w:t>
      </w:r>
      <w:r w:rsidR="005562CC" w:rsidRPr="00110D6C">
        <w:rPr>
          <w:rFonts w:cs="Times New Roman"/>
          <w:color w:val="auto"/>
          <w:szCs w:val="22"/>
          <w:lang w:val="pt-PT"/>
        </w:rPr>
        <w:t> </w:t>
      </w:r>
      <w:r w:rsidRPr="00110D6C">
        <w:rPr>
          <w:rFonts w:cs="Times New Roman"/>
          <w:color w:val="auto"/>
          <w:szCs w:val="22"/>
          <w:lang w:val="pt-PT"/>
        </w:rPr>
        <w:t>12, a eficácia dos grupos com a dose recomendada e dos grupos com metade da dose recomendada foram comparáveis no objetivo primário (69,4% e 67,6%, respetivamente) apesar de existir evidência de uma resposta à dose para os critérios de eficácia de nível superior (por exemplo, PGA ausente (0), PASI</w:t>
      </w:r>
      <w:r w:rsidR="00291A38">
        <w:rPr>
          <w:rFonts w:cs="Times New Roman"/>
          <w:color w:val="auto"/>
          <w:szCs w:val="22"/>
          <w:lang w:val="pt-PT"/>
        </w:rPr>
        <w:t> </w:t>
      </w:r>
      <w:r w:rsidRPr="00110D6C">
        <w:rPr>
          <w:rFonts w:cs="Times New Roman"/>
          <w:color w:val="auto"/>
          <w:szCs w:val="22"/>
          <w:lang w:val="pt-PT"/>
        </w:rPr>
        <w:t>90). Para além da Semana</w:t>
      </w:r>
      <w:r w:rsidR="005562CC" w:rsidRPr="00110D6C">
        <w:rPr>
          <w:rFonts w:cs="Times New Roman"/>
          <w:color w:val="auto"/>
          <w:szCs w:val="22"/>
          <w:lang w:val="pt-PT"/>
        </w:rPr>
        <w:t> </w:t>
      </w:r>
      <w:r w:rsidRPr="00110D6C">
        <w:rPr>
          <w:rFonts w:cs="Times New Roman"/>
          <w:color w:val="auto"/>
          <w:szCs w:val="22"/>
          <w:lang w:val="pt-PT"/>
        </w:rPr>
        <w:t>12, a eficácia foi geralmente superior e melhor sustentada no grupo com a dose recomendada comparado com o grupo com metade da dose recomendada em que uma perda de eficácia modesta foi mais frequentemente observada no final de cada intervalo de administração de 1</w:t>
      </w:r>
      <w:r w:rsidR="00B910F9" w:rsidRPr="00110D6C">
        <w:rPr>
          <w:rFonts w:cs="Times New Roman"/>
          <w:color w:val="auto"/>
          <w:szCs w:val="22"/>
          <w:lang w:val="pt-PT"/>
        </w:rPr>
        <w:t>2 </w:t>
      </w:r>
      <w:r w:rsidRPr="00110D6C">
        <w:rPr>
          <w:rFonts w:cs="Times New Roman"/>
          <w:color w:val="auto"/>
          <w:szCs w:val="22"/>
          <w:lang w:val="pt-PT"/>
        </w:rPr>
        <w:t>semanas. Os perfis de segurança da dose recomendada e de metade da dose recomendada foram comparáveis.</w:t>
      </w:r>
    </w:p>
    <w:p w14:paraId="1B3FB9BB" w14:textId="77777777" w:rsidR="00E77794" w:rsidRPr="00110D6C" w:rsidRDefault="00E77794" w:rsidP="00A17623">
      <w:pPr>
        <w:widowControl/>
        <w:rPr>
          <w:rFonts w:cs="Times New Roman"/>
          <w:iCs/>
          <w:color w:val="auto"/>
          <w:szCs w:val="22"/>
          <w:lang w:val="pt-PT"/>
        </w:rPr>
      </w:pPr>
    </w:p>
    <w:p w14:paraId="76C4FB98" w14:textId="77777777" w:rsidR="0077031F" w:rsidRPr="00110D6C" w:rsidRDefault="00030085" w:rsidP="00A17623">
      <w:pPr>
        <w:widowControl/>
        <w:rPr>
          <w:rFonts w:cs="Times New Roman"/>
          <w:color w:val="auto"/>
          <w:szCs w:val="22"/>
          <w:lang w:val="pt-PT"/>
        </w:rPr>
      </w:pPr>
      <w:r w:rsidRPr="00110D6C">
        <w:rPr>
          <w:rFonts w:cs="Times New Roman"/>
          <w:i/>
          <w:iCs/>
          <w:color w:val="auto"/>
          <w:szCs w:val="22"/>
          <w:lang w:val="pt-PT"/>
        </w:rPr>
        <w:t>Crianças (6-1</w:t>
      </w:r>
      <w:r w:rsidR="00B910F9" w:rsidRPr="00110D6C">
        <w:rPr>
          <w:rFonts w:cs="Times New Roman"/>
          <w:i/>
          <w:iCs/>
          <w:color w:val="auto"/>
          <w:szCs w:val="22"/>
          <w:lang w:val="pt-PT"/>
        </w:rPr>
        <w:t>1 </w:t>
      </w:r>
      <w:r w:rsidRPr="00110D6C">
        <w:rPr>
          <w:rFonts w:cs="Times New Roman"/>
          <w:i/>
          <w:iCs/>
          <w:color w:val="auto"/>
          <w:szCs w:val="22"/>
          <w:lang w:val="pt-PT"/>
        </w:rPr>
        <w:t>anos)</w:t>
      </w:r>
    </w:p>
    <w:p w14:paraId="7DF4ED0D"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 eficácia de ustecinumab foi estudada em 4</w:t>
      </w:r>
      <w:r w:rsidR="00B910F9" w:rsidRPr="00110D6C">
        <w:rPr>
          <w:rFonts w:cs="Times New Roman"/>
          <w:color w:val="auto"/>
          <w:szCs w:val="22"/>
          <w:lang w:val="pt-PT"/>
        </w:rPr>
        <w:t>4 </w:t>
      </w:r>
      <w:r w:rsidRPr="00110D6C">
        <w:rPr>
          <w:rFonts w:cs="Times New Roman"/>
          <w:color w:val="auto"/>
          <w:szCs w:val="22"/>
          <w:lang w:val="pt-PT"/>
        </w:rPr>
        <w:t xml:space="preserve">doentes pediátricos com idade entre os </w:t>
      </w:r>
      <w:r w:rsidR="00B910F9" w:rsidRPr="00110D6C">
        <w:rPr>
          <w:rFonts w:cs="Times New Roman"/>
          <w:color w:val="auto"/>
          <w:szCs w:val="22"/>
          <w:lang w:val="pt-PT"/>
        </w:rPr>
        <w:t>6 </w:t>
      </w:r>
      <w:r w:rsidRPr="00110D6C">
        <w:rPr>
          <w:rFonts w:cs="Times New Roman"/>
          <w:color w:val="auto"/>
          <w:szCs w:val="22"/>
          <w:lang w:val="pt-PT"/>
        </w:rPr>
        <w:t>e 1</w:t>
      </w:r>
      <w:r w:rsidR="00B910F9" w:rsidRPr="00110D6C">
        <w:rPr>
          <w:rFonts w:cs="Times New Roman"/>
          <w:color w:val="auto"/>
          <w:szCs w:val="22"/>
          <w:lang w:val="pt-PT"/>
        </w:rPr>
        <w:t>1 </w:t>
      </w:r>
      <w:r w:rsidRPr="00110D6C">
        <w:rPr>
          <w:rFonts w:cs="Times New Roman"/>
          <w:color w:val="auto"/>
          <w:szCs w:val="22"/>
          <w:lang w:val="pt-PT"/>
        </w:rPr>
        <w:t>anos com psoríase em placas moderada a grave num estudo aberto, de braço único, multicêntrico, de fase</w:t>
      </w:r>
      <w:r w:rsidR="005562CC" w:rsidRPr="00110D6C">
        <w:rPr>
          <w:rFonts w:cs="Times New Roman"/>
          <w:color w:val="auto"/>
          <w:szCs w:val="22"/>
          <w:lang w:val="pt-PT"/>
        </w:rPr>
        <w:t> </w:t>
      </w:r>
      <w:r w:rsidR="00B910F9" w:rsidRPr="00110D6C">
        <w:rPr>
          <w:rFonts w:cs="Times New Roman"/>
          <w:color w:val="auto"/>
          <w:szCs w:val="22"/>
          <w:lang w:val="pt-PT"/>
        </w:rPr>
        <w:t>3</w:t>
      </w:r>
      <w:r w:rsidR="005562CC" w:rsidRPr="00110D6C">
        <w:rPr>
          <w:rFonts w:cs="Times New Roman"/>
          <w:color w:val="auto"/>
          <w:szCs w:val="22"/>
          <w:lang w:val="pt-PT"/>
        </w:rPr>
        <w:t xml:space="preserve"> </w:t>
      </w:r>
      <w:r w:rsidRPr="00110D6C">
        <w:rPr>
          <w:rFonts w:cs="Times New Roman"/>
          <w:color w:val="auto"/>
          <w:szCs w:val="22"/>
          <w:lang w:val="pt-PT"/>
        </w:rPr>
        <w:t>(CADMUS Jr.). Os doentes foram tratados com a dose recomendada de ustecinumab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4.2; n</w:t>
      </w:r>
      <w:r w:rsidR="005562CC" w:rsidRPr="00110D6C">
        <w:rPr>
          <w:rFonts w:cs="Times New Roman"/>
          <w:color w:val="auto"/>
          <w:szCs w:val="22"/>
          <w:lang w:val="pt-PT"/>
        </w:rPr>
        <w:t> </w:t>
      </w:r>
      <w:r w:rsidRPr="00110D6C">
        <w:rPr>
          <w:rFonts w:cs="Times New Roman"/>
          <w:color w:val="auto"/>
          <w:szCs w:val="22"/>
          <w:lang w:val="pt-PT"/>
        </w:rPr>
        <w:t>=</w:t>
      </w:r>
      <w:r w:rsidR="005562CC" w:rsidRPr="00110D6C">
        <w:rPr>
          <w:rFonts w:cs="Times New Roman"/>
          <w:color w:val="auto"/>
          <w:szCs w:val="22"/>
          <w:lang w:val="pt-PT"/>
        </w:rPr>
        <w:t> </w:t>
      </w:r>
      <w:r w:rsidRPr="00110D6C">
        <w:rPr>
          <w:rFonts w:cs="Times New Roman"/>
          <w:color w:val="auto"/>
          <w:szCs w:val="22"/>
          <w:lang w:val="pt-PT"/>
        </w:rPr>
        <w:t xml:space="preserve">44) por injeção subcutânea nas semanas </w:t>
      </w:r>
      <w:r w:rsidR="00B910F9" w:rsidRPr="00110D6C">
        <w:rPr>
          <w:rFonts w:cs="Times New Roman"/>
          <w:color w:val="auto"/>
          <w:szCs w:val="22"/>
          <w:lang w:val="pt-PT"/>
        </w:rPr>
        <w:t>0 </w:t>
      </w:r>
      <w:r w:rsidRPr="00110D6C">
        <w:rPr>
          <w:rFonts w:cs="Times New Roman"/>
          <w:color w:val="auto"/>
          <w:szCs w:val="22"/>
          <w:lang w:val="pt-PT"/>
        </w:rPr>
        <w:t xml:space="preserve">e </w:t>
      </w:r>
      <w:r w:rsidR="00B910F9" w:rsidRPr="00110D6C">
        <w:rPr>
          <w:rFonts w:cs="Times New Roman"/>
          <w:color w:val="auto"/>
          <w:szCs w:val="22"/>
          <w:lang w:val="pt-PT"/>
        </w:rPr>
        <w:t>4 </w:t>
      </w:r>
      <w:r w:rsidRPr="00110D6C">
        <w:rPr>
          <w:rFonts w:cs="Times New Roman"/>
          <w:color w:val="auto"/>
          <w:szCs w:val="22"/>
          <w:lang w:val="pt-PT"/>
        </w:rPr>
        <w:t>seguida de administração a cada 1</w:t>
      </w:r>
      <w:r w:rsidR="00B910F9" w:rsidRPr="00110D6C">
        <w:rPr>
          <w:rFonts w:cs="Times New Roman"/>
          <w:color w:val="auto"/>
          <w:szCs w:val="22"/>
          <w:lang w:val="pt-PT"/>
        </w:rPr>
        <w:t>2 </w:t>
      </w:r>
      <w:r w:rsidRPr="00110D6C">
        <w:rPr>
          <w:rFonts w:cs="Times New Roman"/>
          <w:color w:val="auto"/>
          <w:szCs w:val="22"/>
          <w:lang w:val="pt-PT"/>
        </w:rPr>
        <w:t>semanas (q12W).</w:t>
      </w:r>
    </w:p>
    <w:p w14:paraId="38370F39" w14:textId="77777777" w:rsidR="00E77794" w:rsidRPr="00110D6C" w:rsidRDefault="00E77794" w:rsidP="00A17623">
      <w:pPr>
        <w:widowControl/>
        <w:rPr>
          <w:rFonts w:cs="Times New Roman"/>
          <w:color w:val="auto"/>
          <w:szCs w:val="22"/>
          <w:lang w:val="pt-PT"/>
        </w:rPr>
      </w:pPr>
    </w:p>
    <w:p w14:paraId="334FCF28" w14:textId="09DF5DED" w:rsidR="0077031F" w:rsidRPr="00110D6C" w:rsidRDefault="00030085" w:rsidP="00A17623">
      <w:pPr>
        <w:widowControl/>
        <w:rPr>
          <w:rFonts w:cs="Times New Roman"/>
          <w:color w:val="auto"/>
          <w:szCs w:val="22"/>
          <w:lang w:val="pt-PT"/>
        </w:rPr>
      </w:pPr>
      <w:r w:rsidRPr="00110D6C">
        <w:rPr>
          <w:rFonts w:cs="Times New Roman"/>
          <w:color w:val="auto"/>
          <w:szCs w:val="22"/>
          <w:lang w:val="pt-PT"/>
        </w:rPr>
        <w:t>Doentes com PASI</w:t>
      </w:r>
      <w:r w:rsidR="003E435E">
        <w:rPr>
          <w:rFonts w:cs="Times New Roman"/>
          <w:color w:val="auto"/>
          <w:szCs w:val="22"/>
          <w:lang w:val="pt-PT"/>
        </w:rPr>
        <w:t> </w:t>
      </w:r>
      <w:r w:rsidRPr="00110D6C">
        <w:rPr>
          <w:rFonts w:cs="Times New Roman"/>
          <w:color w:val="auto"/>
          <w:szCs w:val="22"/>
          <w:lang w:val="pt-PT"/>
        </w:rPr>
        <w:t>≥</w:t>
      </w:r>
      <w:r w:rsidR="00982985" w:rsidRPr="00110D6C">
        <w:rPr>
          <w:rFonts w:cs="Times New Roman"/>
          <w:color w:val="auto"/>
          <w:szCs w:val="22"/>
          <w:lang w:val="pt-PT"/>
        </w:rPr>
        <w:t> </w:t>
      </w:r>
      <w:r w:rsidRPr="00110D6C">
        <w:rPr>
          <w:rFonts w:cs="Times New Roman"/>
          <w:color w:val="auto"/>
          <w:szCs w:val="22"/>
          <w:lang w:val="pt-PT"/>
        </w:rPr>
        <w:t>12, PGA</w:t>
      </w:r>
      <w:r w:rsidR="003E435E">
        <w:rPr>
          <w:rFonts w:cs="Times New Roman"/>
          <w:color w:val="auto"/>
          <w:szCs w:val="22"/>
          <w:lang w:val="pt-PT"/>
        </w:rPr>
        <w:t> </w:t>
      </w:r>
      <w:r w:rsidRPr="00110D6C">
        <w:rPr>
          <w:rFonts w:cs="Times New Roman"/>
          <w:color w:val="auto"/>
          <w:szCs w:val="22"/>
          <w:lang w:val="pt-PT"/>
        </w:rPr>
        <w:t>≥</w:t>
      </w:r>
      <w:r w:rsidR="00982985" w:rsidRPr="00110D6C">
        <w:rPr>
          <w:rFonts w:cs="Times New Roman"/>
          <w:color w:val="auto"/>
          <w:szCs w:val="22"/>
          <w:lang w:val="pt-PT"/>
        </w:rPr>
        <w:t> </w:t>
      </w:r>
      <w:r w:rsidR="00B910F9" w:rsidRPr="00110D6C">
        <w:rPr>
          <w:rFonts w:cs="Times New Roman"/>
          <w:color w:val="auto"/>
          <w:szCs w:val="22"/>
          <w:lang w:val="pt-PT"/>
        </w:rPr>
        <w:t>3 </w:t>
      </w:r>
      <w:r w:rsidRPr="00110D6C">
        <w:rPr>
          <w:rFonts w:cs="Times New Roman"/>
          <w:color w:val="auto"/>
          <w:szCs w:val="22"/>
          <w:lang w:val="pt-PT"/>
        </w:rPr>
        <w:t>e envolvimento da BSA de, pelo menos, 10%, que foram candidatos para terapêutica sistémica ou fototerapia, foram elegíveis para o estudo. Aproximadamente 43% dos doentes tiveram exposição prévia à terapêutica sistémica convencional ou a fototerapia.</w:t>
      </w:r>
    </w:p>
    <w:p w14:paraId="17CAF605"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Aproximadamente 5% dos doentes tiveram exposição prévia a medicamentos biológicos.</w:t>
      </w:r>
    </w:p>
    <w:p w14:paraId="604CD20A" w14:textId="77777777" w:rsidR="00E77794" w:rsidRPr="00110D6C" w:rsidRDefault="00E77794" w:rsidP="00A17623">
      <w:pPr>
        <w:widowControl/>
        <w:rPr>
          <w:rFonts w:cs="Times New Roman"/>
          <w:color w:val="auto"/>
          <w:szCs w:val="22"/>
          <w:lang w:val="pt-PT"/>
        </w:rPr>
      </w:pPr>
    </w:p>
    <w:p w14:paraId="7E22BA9F" w14:textId="5922F422" w:rsidR="0077031F" w:rsidRPr="00110D6C" w:rsidRDefault="00030085" w:rsidP="00A17623">
      <w:pPr>
        <w:widowControl/>
        <w:rPr>
          <w:rFonts w:cs="Times New Roman"/>
          <w:color w:val="auto"/>
          <w:szCs w:val="22"/>
          <w:lang w:val="pt-PT"/>
        </w:rPr>
      </w:pPr>
      <w:r w:rsidRPr="00110D6C">
        <w:rPr>
          <w:rFonts w:cs="Times New Roman"/>
          <w:color w:val="auto"/>
          <w:szCs w:val="22"/>
          <w:lang w:val="pt-PT"/>
        </w:rPr>
        <w:lastRenderedPageBreak/>
        <w:t>O objetivo primário foi a proporção de doentes que conseguiram obter uma pontuação PGA ausente (0) ou mínima (1) na semana</w:t>
      </w:r>
      <w:r w:rsidR="005562CC" w:rsidRPr="00110D6C">
        <w:rPr>
          <w:rFonts w:cs="Times New Roman"/>
          <w:color w:val="auto"/>
          <w:szCs w:val="22"/>
          <w:lang w:val="pt-PT"/>
        </w:rPr>
        <w:t> </w:t>
      </w:r>
      <w:r w:rsidRPr="00110D6C">
        <w:rPr>
          <w:rFonts w:cs="Times New Roman"/>
          <w:color w:val="auto"/>
          <w:szCs w:val="22"/>
          <w:lang w:val="pt-PT"/>
        </w:rPr>
        <w:t>12. Os objetivos secundários incluíram PASI 75, PASI 9</w:t>
      </w:r>
      <w:r w:rsidR="00B910F9" w:rsidRPr="00110D6C">
        <w:rPr>
          <w:rFonts w:cs="Times New Roman"/>
          <w:color w:val="auto"/>
          <w:szCs w:val="22"/>
          <w:lang w:val="pt-PT"/>
        </w:rPr>
        <w:t>0 </w:t>
      </w:r>
      <w:r w:rsidRPr="00110D6C">
        <w:rPr>
          <w:rFonts w:cs="Times New Roman"/>
          <w:color w:val="auto"/>
          <w:szCs w:val="22"/>
          <w:lang w:val="pt-PT"/>
        </w:rPr>
        <w:t xml:space="preserve">e alteração desde o valor basal no </w:t>
      </w:r>
      <w:r w:rsidRPr="00110D6C">
        <w:rPr>
          <w:rFonts w:cs="Times New Roman"/>
          <w:i/>
          <w:iCs/>
          <w:color w:val="auto"/>
          <w:szCs w:val="22"/>
          <w:lang w:val="pt-PT"/>
        </w:rPr>
        <w:t>Children’s Dermatology Life Quality Index</w:t>
      </w:r>
      <w:r w:rsidRPr="00110D6C">
        <w:rPr>
          <w:rFonts w:cs="Times New Roman"/>
          <w:color w:val="auto"/>
          <w:szCs w:val="22"/>
          <w:lang w:val="pt-PT"/>
        </w:rPr>
        <w:t xml:space="preserve"> (CDLQI) na semana</w:t>
      </w:r>
      <w:r w:rsidR="005562CC" w:rsidRPr="00110D6C">
        <w:rPr>
          <w:rFonts w:cs="Times New Roman"/>
          <w:color w:val="auto"/>
          <w:szCs w:val="22"/>
          <w:lang w:val="pt-PT"/>
        </w:rPr>
        <w:t> </w:t>
      </w:r>
      <w:r w:rsidRPr="00110D6C">
        <w:rPr>
          <w:rFonts w:cs="Times New Roman"/>
          <w:color w:val="auto"/>
          <w:szCs w:val="22"/>
          <w:lang w:val="pt-PT"/>
        </w:rPr>
        <w:t>12. Na semana</w:t>
      </w:r>
      <w:r w:rsidR="005562CC" w:rsidRPr="00110D6C">
        <w:rPr>
          <w:rFonts w:cs="Times New Roman"/>
          <w:color w:val="auto"/>
          <w:szCs w:val="22"/>
          <w:lang w:val="pt-PT"/>
        </w:rPr>
        <w:t> </w:t>
      </w:r>
      <w:r w:rsidRPr="00110D6C">
        <w:rPr>
          <w:rFonts w:cs="Times New Roman"/>
          <w:color w:val="auto"/>
          <w:szCs w:val="22"/>
          <w:lang w:val="pt-PT"/>
        </w:rPr>
        <w:t>12, os indivíduos tratados com ustecinumab demonstraram melhoria clinicamente significativa na psoríase e qualidade de vida relacionada com a saúde (Tabela</w:t>
      </w:r>
      <w:r w:rsidR="00982985" w:rsidRPr="00110D6C">
        <w:rPr>
          <w:rFonts w:cs="Times New Roman"/>
          <w:color w:val="auto"/>
          <w:szCs w:val="22"/>
          <w:lang w:val="pt-PT"/>
        </w:rPr>
        <w:t> </w:t>
      </w:r>
      <w:r w:rsidR="002F6714">
        <w:rPr>
          <w:rFonts w:cs="Times New Roman"/>
          <w:color w:val="auto"/>
          <w:szCs w:val="22"/>
          <w:lang w:val="pt-PT"/>
        </w:rPr>
        <w:t>7</w:t>
      </w:r>
      <w:r w:rsidRPr="00110D6C">
        <w:rPr>
          <w:rFonts w:cs="Times New Roman"/>
          <w:color w:val="auto"/>
          <w:szCs w:val="22"/>
          <w:lang w:val="pt-PT"/>
        </w:rPr>
        <w:t>).</w:t>
      </w:r>
    </w:p>
    <w:p w14:paraId="155E62AC" w14:textId="77777777" w:rsidR="00E77794" w:rsidRPr="00110D6C" w:rsidRDefault="00E77794" w:rsidP="00A17623">
      <w:pPr>
        <w:widowControl/>
        <w:rPr>
          <w:rFonts w:cs="Times New Roman"/>
          <w:color w:val="auto"/>
          <w:szCs w:val="22"/>
          <w:lang w:val="pt-PT"/>
        </w:rPr>
      </w:pPr>
    </w:p>
    <w:p w14:paraId="60FC0C2A" w14:textId="25FC14D0" w:rsidR="0077031F" w:rsidRPr="00110D6C" w:rsidRDefault="00030085" w:rsidP="00A17623">
      <w:pPr>
        <w:widowControl/>
        <w:rPr>
          <w:rFonts w:cs="Times New Roman"/>
          <w:color w:val="auto"/>
          <w:szCs w:val="22"/>
          <w:lang w:val="pt-PT"/>
        </w:rPr>
      </w:pPr>
      <w:r w:rsidRPr="00110D6C">
        <w:rPr>
          <w:rFonts w:cs="Times New Roman"/>
          <w:color w:val="auto"/>
          <w:szCs w:val="22"/>
          <w:lang w:val="pt-PT"/>
        </w:rPr>
        <w:t>Todos os doentes foram acompanhados em relação à eficácia até às 5</w:t>
      </w:r>
      <w:r w:rsidR="00B910F9" w:rsidRPr="00110D6C">
        <w:rPr>
          <w:rFonts w:cs="Times New Roman"/>
          <w:color w:val="auto"/>
          <w:szCs w:val="22"/>
          <w:lang w:val="pt-PT"/>
        </w:rPr>
        <w:t>2 </w:t>
      </w:r>
      <w:r w:rsidRPr="00110D6C">
        <w:rPr>
          <w:rFonts w:cs="Times New Roman"/>
          <w:color w:val="auto"/>
          <w:szCs w:val="22"/>
          <w:lang w:val="pt-PT"/>
        </w:rPr>
        <w:t>semanas após a primeira administração do agente do estudo. A proporção de doentes com uma pontuação PGA ausente (0) ou mínima (1) na semana</w:t>
      </w:r>
      <w:r w:rsidR="005562CC" w:rsidRPr="00110D6C">
        <w:rPr>
          <w:rFonts w:cs="Times New Roman"/>
          <w:color w:val="auto"/>
          <w:szCs w:val="22"/>
          <w:lang w:val="pt-PT"/>
        </w:rPr>
        <w:t> </w:t>
      </w:r>
      <w:r w:rsidRPr="00110D6C">
        <w:rPr>
          <w:rFonts w:cs="Times New Roman"/>
          <w:color w:val="auto"/>
          <w:szCs w:val="22"/>
          <w:lang w:val="pt-PT"/>
        </w:rPr>
        <w:t>1</w:t>
      </w:r>
      <w:r w:rsidR="00B910F9" w:rsidRPr="00110D6C">
        <w:rPr>
          <w:rFonts w:cs="Times New Roman"/>
          <w:color w:val="auto"/>
          <w:szCs w:val="22"/>
          <w:lang w:val="pt-PT"/>
        </w:rPr>
        <w:t>2</w:t>
      </w:r>
      <w:r w:rsidR="005562CC" w:rsidRPr="00110D6C">
        <w:rPr>
          <w:rFonts w:cs="Times New Roman"/>
          <w:color w:val="auto"/>
          <w:szCs w:val="22"/>
          <w:lang w:val="pt-PT"/>
        </w:rPr>
        <w:t xml:space="preserve"> </w:t>
      </w:r>
      <w:r w:rsidRPr="00110D6C">
        <w:rPr>
          <w:rFonts w:cs="Times New Roman"/>
          <w:color w:val="auto"/>
          <w:szCs w:val="22"/>
          <w:lang w:val="pt-PT"/>
        </w:rPr>
        <w:t>foi de 77,3%. A eficácia (definida como PGA</w:t>
      </w:r>
      <w:r w:rsidR="00291A38">
        <w:rPr>
          <w:rFonts w:cs="Times New Roman"/>
          <w:color w:val="auto"/>
          <w:szCs w:val="22"/>
          <w:lang w:val="pt-PT"/>
        </w:rPr>
        <w:t> </w:t>
      </w:r>
      <w:r w:rsidR="00B910F9" w:rsidRPr="00110D6C">
        <w:rPr>
          <w:rFonts w:cs="Times New Roman"/>
          <w:color w:val="auto"/>
          <w:szCs w:val="22"/>
          <w:lang w:val="pt-PT"/>
        </w:rPr>
        <w:t>0</w:t>
      </w:r>
      <w:r w:rsidR="00291A38">
        <w:rPr>
          <w:rFonts w:cs="Times New Roman"/>
          <w:color w:val="auto"/>
          <w:szCs w:val="22"/>
          <w:lang w:val="pt-PT"/>
        </w:rPr>
        <w:t xml:space="preserve"> </w:t>
      </w:r>
      <w:r w:rsidRPr="00110D6C">
        <w:rPr>
          <w:rFonts w:cs="Times New Roman"/>
          <w:color w:val="auto"/>
          <w:szCs w:val="22"/>
          <w:lang w:val="pt-PT"/>
        </w:rPr>
        <w:t>ou 1) foi observada logo na primeira visita pós-basal na semana</w:t>
      </w:r>
      <w:r w:rsidR="005562CC" w:rsidRPr="00110D6C">
        <w:rPr>
          <w:rFonts w:cs="Times New Roman"/>
          <w:color w:val="auto"/>
          <w:szCs w:val="22"/>
          <w:lang w:val="pt-PT"/>
        </w:rPr>
        <w:t> </w:t>
      </w:r>
      <w:r w:rsidR="00B910F9" w:rsidRPr="00110D6C">
        <w:rPr>
          <w:rFonts w:cs="Times New Roman"/>
          <w:color w:val="auto"/>
          <w:szCs w:val="22"/>
          <w:lang w:val="pt-PT"/>
        </w:rPr>
        <w:t>4</w:t>
      </w:r>
      <w:r w:rsidR="005562CC" w:rsidRPr="00110D6C">
        <w:rPr>
          <w:rFonts w:cs="Times New Roman"/>
          <w:color w:val="auto"/>
          <w:szCs w:val="22"/>
          <w:lang w:val="pt-PT"/>
        </w:rPr>
        <w:t xml:space="preserve"> </w:t>
      </w:r>
      <w:r w:rsidRPr="00110D6C">
        <w:rPr>
          <w:rFonts w:cs="Times New Roman"/>
          <w:color w:val="auto"/>
          <w:szCs w:val="22"/>
          <w:lang w:val="pt-PT"/>
        </w:rPr>
        <w:t xml:space="preserve">e a proporção de doentes que atingiram uma pontuação PGA de </w:t>
      </w:r>
      <w:r w:rsidR="00B910F9" w:rsidRPr="00110D6C">
        <w:rPr>
          <w:rFonts w:cs="Times New Roman"/>
          <w:color w:val="auto"/>
          <w:szCs w:val="22"/>
          <w:lang w:val="pt-PT"/>
        </w:rPr>
        <w:t>0 </w:t>
      </w:r>
      <w:r w:rsidRPr="00110D6C">
        <w:rPr>
          <w:rFonts w:cs="Times New Roman"/>
          <w:color w:val="auto"/>
          <w:szCs w:val="22"/>
          <w:lang w:val="pt-PT"/>
        </w:rPr>
        <w:t xml:space="preserve">ou </w:t>
      </w:r>
      <w:r w:rsidR="00B910F9" w:rsidRPr="00110D6C">
        <w:rPr>
          <w:rFonts w:cs="Times New Roman"/>
          <w:color w:val="auto"/>
          <w:szCs w:val="22"/>
          <w:lang w:val="pt-PT"/>
        </w:rPr>
        <w:t>1 </w:t>
      </w:r>
      <w:r w:rsidRPr="00110D6C">
        <w:rPr>
          <w:rFonts w:cs="Times New Roman"/>
          <w:color w:val="auto"/>
          <w:szCs w:val="22"/>
          <w:lang w:val="pt-PT"/>
        </w:rPr>
        <w:t>aumentou ao longo da semana</w:t>
      </w:r>
      <w:r w:rsidR="005562CC" w:rsidRPr="00110D6C">
        <w:rPr>
          <w:rFonts w:cs="Times New Roman"/>
          <w:color w:val="auto"/>
          <w:szCs w:val="22"/>
          <w:lang w:val="pt-PT"/>
        </w:rPr>
        <w:t> </w:t>
      </w:r>
      <w:r w:rsidRPr="00110D6C">
        <w:rPr>
          <w:rFonts w:cs="Times New Roman"/>
          <w:color w:val="auto"/>
          <w:szCs w:val="22"/>
          <w:lang w:val="pt-PT"/>
        </w:rPr>
        <w:t>1</w:t>
      </w:r>
      <w:r w:rsidR="00B910F9" w:rsidRPr="00110D6C">
        <w:rPr>
          <w:rFonts w:cs="Times New Roman"/>
          <w:color w:val="auto"/>
          <w:szCs w:val="22"/>
          <w:lang w:val="pt-PT"/>
        </w:rPr>
        <w:t>6</w:t>
      </w:r>
      <w:r w:rsidR="005562CC" w:rsidRPr="00110D6C">
        <w:rPr>
          <w:rFonts w:cs="Times New Roman"/>
          <w:color w:val="auto"/>
          <w:szCs w:val="22"/>
          <w:lang w:val="pt-PT"/>
        </w:rPr>
        <w:t xml:space="preserve"> </w:t>
      </w:r>
      <w:r w:rsidRPr="00110D6C">
        <w:rPr>
          <w:rFonts w:cs="Times New Roman"/>
          <w:color w:val="auto"/>
          <w:szCs w:val="22"/>
          <w:lang w:val="pt-PT"/>
        </w:rPr>
        <w:t>e manteve-se relativamente estável até à semana</w:t>
      </w:r>
      <w:r w:rsidR="005562CC" w:rsidRPr="00110D6C">
        <w:rPr>
          <w:rFonts w:cs="Times New Roman"/>
          <w:color w:val="auto"/>
          <w:szCs w:val="22"/>
          <w:lang w:val="pt-PT"/>
        </w:rPr>
        <w:t> </w:t>
      </w:r>
      <w:r w:rsidRPr="00110D6C">
        <w:rPr>
          <w:rFonts w:cs="Times New Roman"/>
          <w:color w:val="auto"/>
          <w:szCs w:val="22"/>
          <w:lang w:val="pt-PT"/>
        </w:rPr>
        <w:t>52. As melhorias em PGA, PASI e CDLQI foram mantidas até à semana</w:t>
      </w:r>
      <w:r w:rsidR="005562CC" w:rsidRPr="00110D6C">
        <w:rPr>
          <w:rFonts w:cs="Times New Roman"/>
          <w:color w:val="auto"/>
          <w:szCs w:val="22"/>
          <w:lang w:val="pt-PT"/>
        </w:rPr>
        <w:t> </w:t>
      </w:r>
      <w:r w:rsidRPr="00110D6C">
        <w:rPr>
          <w:rFonts w:cs="Times New Roman"/>
          <w:color w:val="auto"/>
          <w:szCs w:val="22"/>
          <w:lang w:val="pt-PT"/>
        </w:rPr>
        <w:t>5</w:t>
      </w:r>
      <w:r w:rsidR="00B910F9" w:rsidRPr="00110D6C">
        <w:rPr>
          <w:rFonts w:cs="Times New Roman"/>
          <w:color w:val="auto"/>
          <w:szCs w:val="22"/>
          <w:lang w:val="pt-PT"/>
        </w:rPr>
        <w:t>2</w:t>
      </w:r>
      <w:r w:rsidR="005562CC" w:rsidRPr="00110D6C">
        <w:rPr>
          <w:rFonts w:cs="Times New Roman"/>
          <w:color w:val="auto"/>
          <w:szCs w:val="22"/>
          <w:lang w:val="pt-PT"/>
        </w:rPr>
        <w:t xml:space="preserve"> </w:t>
      </w:r>
      <w:r w:rsidRPr="00110D6C">
        <w:rPr>
          <w:rFonts w:cs="Times New Roman"/>
          <w:color w:val="auto"/>
          <w:szCs w:val="22"/>
          <w:lang w:val="pt-PT"/>
        </w:rPr>
        <w:t>(Tabela</w:t>
      </w:r>
      <w:r w:rsidR="00982985" w:rsidRPr="00110D6C">
        <w:rPr>
          <w:rFonts w:cs="Times New Roman"/>
          <w:color w:val="auto"/>
          <w:szCs w:val="22"/>
          <w:lang w:val="pt-PT"/>
        </w:rPr>
        <w:t> </w:t>
      </w:r>
      <w:r w:rsidR="00291A38">
        <w:rPr>
          <w:rFonts w:cs="Times New Roman"/>
          <w:color w:val="auto"/>
          <w:szCs w:val="22"/>
          <w:lang w:val="pt-PT"/>
        </w:rPr>
        <w:t>7</w:t>
      </w:r>
      <w:r w:rsidRPr="00110D6C">
        <w:rPr>
          <w:rFonts w:cs="Times New Roman"/>
          <w:color w:val="auto"/>
          <w:szCs w:val="22"/>
          <w:lang w:val="pt-PT"/>
        </w:rPr>
        <w:t>).</w:t>
      </w:r>
    </w:p>
    <w:p w14:paraId="406BA37D" w14:textId="77777777" w:rsidR="00E77794" w:rsidRPr="00110D6C" w:rsidRDefault="00E77794" w:rsidP="00A17623">
      <w:pPr>
        <w:widowControl/>
        <w:rPr>
          <w:rFonts w:cs="Times New Roman"/>
          <w:color w:val="auto"/>
          <w:szCs w:val="22"/>
          <w:lang w:val="pt-PT"/>
        </w:rPr>
      </w:pPr>
    </w:p>
    <w:p w14:paraId="7C6BD264" w14:textId="52B7449B" w:rsidR="0077031F" w:rsidRPr="00110D6C" w:rsidRDefault="00030085" w:rsidP="00E77794">
      <w:pPr>
        <w:widowControl/>
        <w:ind w:left="1134" w:hanging="1134"/>
        <w:rPr>
          <w:rFonts w:cs="Times New Roman"/>
          <w:color w:val="auto"/>
          <w:szCs w:val="22"/>
          <w:lang w:val="pt-PT"/>
        </w:rPr>
      </w:pPr>
      <w:r w:rsidRPr="00110D6C">
        <w:rPr>
          <w:rFonts w:cs="Times New Roman"/>
          <w:i/>
          <w:iCs/>
          <w:color w:val="auto"/>
          <w:szCs w:val="22"/>
          <w:lang w:val="pt-PT"/>
        </w:rPr>
        <w:t>Tabela</w:t>
      </w:r>
      <w:r w:rsidR="00982985" w:rsidRPr="00110D6C">
        <w:rPr>
          <w:rFonts w:cs="Times New Roman"/>
          <w:i/>
          <w:iCs/>
          <w:color w:val="auto"/>
          <w:szCs w:val="22"/>
          <w:lang w:val="pt-PT"/>
        </w:rPr>
        <w:t> </w:t>
      </w:r>
      <w:r w:rsidR="00291A38">
        <w:rPr>
          <w:rFonts w:cs="Times New Roman"/>
          <w:i/>
          <w:iCs/>
          <w:color w:val="auto"/>
          <w:szCs w:val="22"/>
          <w:lang w:val="pt-PT"/>
        </w:rPr>
        <w:t>7</w:t>
      </w:r>
      <w:r w:rsidR="00E77794" w:rsidRPr="00110D6C">
        <w:rPr>
          <w:rFonts w:cs="Times New Roman"/>
          <w:i/>
          <w:iCs/>
          <w:color w:val="auto"/>
          <w:szCs w:val="22"/>
          <w:lang w:val="pt-PT"/>
        </w:rPr>
        <w:tab/>
      </w:r>
      <w:r w:rsidRPr="00110D6C">
        <w:rPr>
          <w:rFonts w:cs="Times New Roman"/>
          <w:i/>
          <w:iCs/>
          <w:color w:val="auto"/>
          <w:szCs w:val="22"/>
          <w:lang w:val="pt-PT"/>
        </w:rPr>
        <w:t>Resumo dos objetivos primários e secundários na semana</w:t>
      </w:r>
      <w:r w:rsidR="005562CC" w:rsidRPr="00110D6C">
        <w:rPr>
          <w:rFonts w:cs="Times New Roman"/>
          <w:i/>
          <w:iCs/>
          <w:color w:val="auto"/>
          <w:szCs w:val="22"/>
          <w:lang w:val="pt-PT"/>
        </w:rPr>
        <w:t> </w:t>
      </w:r>
      <w:r w:rsidRPr="00110D6C">
        <w:rPr>
          <w:rFonts w:cs="Times New Roman"/>
          <w:i/>
          <w:iCs/>
          <w:color w:val="auto"/>
          <w:szCs w:val="22"/>
          <w:lang w:val="pt-PT"/>
        </w:rPr>
        <w:t>1</w:t>
      </w:r>
      <w:r w:rsidR="00B910F9" w:rsidRPr="00110D6C">
        <w:rPr>
          <w:rFonts w:cs="Times New Roman"/>
          <w:i/>
          <w:iCs/>
          <w:color w:val="auto"/>
          <w:szCs w:val="22"/>
          <w:lang w:val="pt-PT"/>
        </w:rPr>
        <w:t>2</w:t>
      </w:r>
      <w:r w:rsidR="005562CC" w:rsidRPr="00110D6C">
        <w:rPr>
          <w:rFonts w:cs="Times New Roman"/>
          <w:i/>
          <w:iCs/>
          <w:color w:val="auto"/>
          <w:szCs w:val="22"/>
          <w:lang w:val="pt-PT"/>
        </w:rPr>
        <w:t xml:space="preserve"> </w:t>
      </w:r>
      <w:r w:rsidRPr="00110D6C">
        <w:rPr>
          <w:rFonts w:cs="Times New Roman"/>
          <w:i/>
          <w:iCs/>
          <w:color w:val="auto"/>
          <w:szCs w:val="22"/>
          <w:lang w:val="pt-PT"/>
        </w:rPr>
        <w:t>e semana</w:t>
      </w:r>
      <w:r w:rsidR="005562CC" w:rsidRPr="00110D6C">
        <w:rPr>
          <w:rFonts w:cs="Times New Roman"/>
          <w:i/>
          <w:iCs/>
          <w:color w:val="auto"/>
          <w:szCs w:val="22"/>
          <w:lang w:val="pt-PT"/>
        </w:rPr>
        <w:t> </w:t>
      </w:r>
      <w:r w:rsidRPr="00110D6C">
        <w:rPr>
          <w:rFonts w:cs="Times New Roman"/>
          <w:i/>
          <w:iCs/>
          <w:color w:val="auto"/>
          <w:szCs w:val="22"/>
          <w:lang w:val="pt-PT"/>
        </w:rPr>
        <w:t>52</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4"/>
        <w:gridCol w:w="3307"/>
        <w:gridCol w:w="2986"/>
      </w:tblGrid>
      <w:tr w:rsidR="005B7CFE" w:rsidRPr="00110D6C" w14:paraId="12911629" w14:textId="77777777" w:rsidTr="002057DA">
        <w:tc>
          <w:tcPr>
            <w:tcW w:w="9087" w:type="dxa"/>
            <w:gridSpan w:val="3"/>
            <w:shd w:val="clear" w:color="auto" w:fill="auto"/>
          </w:tcPr>
          <w:p w14:paraId="4F733A51" w14:textId="77777777" w:rsidR="005B7CFE" w:rsidRPr="00110D6C" w:rsidRDefault="005B7CFE" w:rsidP="005B7CFE">
            <w:pPr>
              <w:widowControl/>
              <w:jc w:val="center"/>
              <w:rPr>
                <w:rFonts w:cs="Times New Roman"/>
                <w:color w:val="auto"/>
                <w:szCs w:val="22"/>
                <w:lang w:val="pt-PT"/>
              </w:rPr>
            </w:pPr>
            <w:r w:rsidRPr="00110D6C">
              <w:rPr>
                <w:rFonts w:cs="Times New Roman"/>
                <w:b/>
                <w:bCs/>
                <w:color w:val="auto"/>
                <w:szCs w:val="22"/>
                <w:lang w:val="pt-PT"/>
              </w:rPr>
              <w:t xml:space="preserve">Estudo da psoríase pediátrica </w:t>
            </w:r>
            <w:r w:rsidRPr="00110D6C">
              <w:rPr>
                <w:rFonts w:cs="Times New Roman"/>
                <w:b/>
                <w:bCs/>
                <w:color w:val="auto"/>
                <w:szCs w:val="22"/>
                <w:u w:val="single"/>
                <w:lang w:val="pt-PT"/>
              </w:rPr>
              <w:t>(CADMUS Jr.) (6-11 anos)</w:t>
            </w:r>
          </w:p>
        </w:tc>
      </w:tr>
      <w:tr w:rsidR="0077031F" w:rsidRPr="00110D6C" w14:paraId="72338729" w14:textId="77777777" w:rsidTr="005B7CFE">
        <w:tc>
          <w:tcPr>
            <w:tcW w:w="2794" w:type="dxa"/>
            <w:vMerge w:val="restart"/>
            <w:shd w:val="clear" w:color="auto" w:fill="auto"/>
          </w:tcPr>
          <w:p w14:paraId="630BE97A" w14:textId="77777777" w:rsidR="0077031F" w:rsidRPr="00110D6C" w:rsidRDefault="0077031F" w:rsidP="00E77794">
            <w:pPr>
              <w:widowControl/>
              <w:rPr>
                <w:rFonts w:cs="Times New Roman"/>
                <w:color w:val="auto"/>
                <w:szCs w:val="22"/>
                <w:lang w:val="pt-PT"/>
              </w:rPr>
            </w:pPr>
          </w:p>
        </w:tc>
        <w:tc>
          <w:tcPr>
            <w:tcW w:w="3307" w:type="dxa"/>
            <w:shd w:val="clear" w:color="auto" w:fill="auto"/>
            <w:vAlign w:val="center"/>
          </w:tcPr>
          <w:p w14:paraId="5B08CB34" w14:textId="77777777" w:rsidR="0077031F" w:rsidRPr="00110D6C" w:rsidRDefault="00030085" w:rsidP="005562CC">
            <w:pPr>
              <w:widowControl/>
              <w:jc w:val="center"/>
              <w:rPr>
                <w:rFonts w:cs="Times New Roman"/>
                <w:color w:val="auto"/>
                <w:szCs w:val="22"/>
                <w:lang w:val="pt-PT"/>
              </w:rPr>
            </w:pPr>
            <w:r w:rsidRPr="00110D6C">
              <w:rPr>
                <w:rFonts w:cs="Times New Roman"/>
                <w:b/>
                <w:bCs/>
                <w:color w:val="auto"/>
                <w:szCs w:val="22"/>
                <w:lang w:val="pt-PT"/>
              </w:rPr>
              <w:t>Semana</w:t>
            </w:r>
            <w:r w:rsidR="005562CC" w:rsidRPr="00110D6C">
              <w:rPr>
                <w:rFonts w:cs="Times New Roman"/>
                <w:b/>
                <w:bCs/>
                <w:color w:val="auto"/>
                <w:szCs w:val="22"/>
                <w:lang w:val="pt-PT"/>
              </w:rPr>
              <w:t> </w:t>
            </w:r>
            <w:r w:rsidRPr="00110D6C">
              <w:rPr>
                <w:rFonts w:cs="Times New Roman"/>
                <w:b/>
                <w:bCs/>
                <w:color w:val="auto"/>
                <w:szCs w:val="22"/>
                <w:lang w:val="pt-PT"/>
              </w:rPr>
              <w:t>12</w:t>
            </w:r>
          </w:p>
        </w:tc>
        <w:tc>
          <w:tcPr>
            <w:tcW w:w="2986" w:type="dxa"/>
            <w:shd w:val="clear" w:color="auto" w:fill="auto"/>
            <w:vAlign w:val="center"/>
          </w:tcPr>
          <w:p w14:paraId="7B687A94" w14:textId="77777777" w:rsidR="0077031F" w:rsidRPr="00110D6C" w:rsidRDefault="00030085" w:rsidP="005562CC">
            <w:pPr>
              <w:widowControl/>
              <w:jc w:val="center"/>
              <w:rPr>
                <w:rFonts w:cs="Times New Roman"/>
                <w:color w:val="auto"/>
                <w:szCs w:val="22"/>
                <w:lang w:val="pt-PT"/>
              </w:rPr>
            </w:pPr>
            <w:r w:rsidRPr="00110D6C">
              <w:rPr>
                <w:rFonts w:cs="Times New Roman"/>
                <w:b/>
                <w:bCs/>
                <w:color w:val="auto"/>
                <w:szCs w:val="22"/>
                <w:lang w:val="pt-PT"/>
              </w:rPr>
              <w:t>Semana</w:t>
            </w:r>
            <w:r w:rsidR="005562CC" w:rsidRPr="00110D6C">
              <w:rPr>
                <w:rFonts w:cs="Times New Roman"/>
                <w:b/>
                <w:bCs/>
                <w:color w:val="auto"/>
                <w:szCs w:val="22"/>
                <w:lang w:val="pt-PT"/>
              </w:rPr>
              <w:t> </w:t>
            </w:r>
            <w:r w:rsidRPr="00110D6C">
              <w:rPr>
                <w:rFonts w:cs="Times New Roman"/>
                <w:b/>
                <w:bCs/>
                <w:color w:val="auto"/>
                <w:szCs w:val="22"/>
                <w:lang w:val="pt-PT"/>
              </w:rPr>
              <w:t>52</w:t>
            </w:r>
          </w:p>
        </w:tc>
      </w:tr>
      <w:tr w:rsidR="0077031F" w:rsidRPr="00110D6C" w14:paraId="3DC00DAF" w14:textId="77777777" w:rsidTr="005B7CFE">
        <w:tc>
          <w:tcPr>
            <w:tcW w:w="2794" w:type="dxa"/>
            <w:vMerge/>
            <w:shd w:val="clear" w:color="auto" w:fill="auto"/>
          </w:tcPr>
          <w:p w14:paraId="3DD5126D" w14:textId="77777777" w:rsidR="0077031F" w:rsidRPr="00110D6C" w:rsidRDefault="0077031F" w:rsidP="00E77794">
            <w:pPr>
              <w:widowControl/>
              <w:rPr>
                <w:rFonts w:cs="Times New Roman"/>
                <w:color w:val="auto"/>
                <w:szCs w:val="22"/>
                <w:lang w:val="pt-PT"/>
              </w:rPr>
            </w:pPr>
          </w:p>
        </w:tc>
        <w:tc>
          <w:tcPr>
            <w:tcW w:w="3307" w:type="dxa"/>
            <w:shd w:val="clear" w:color="auto" w:fill="auto"/>
            <w:vAlign w:val="center"/>
          </w:tcPr>
          <w:p w14:paraId="3230B40B"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Dose recomendada de Ustecinumab</w:t>
            </w:r>
          </w:p>
        </w:tc>
        <w:tc>
          <w:tcPr>
            <w:tcW w:w="2986" w:type="dxa"/>
            <w:shd w:val="clear" w:color="auto" w:fill="auto"/>
            <w:vAlign w:val="center"/>
          </w:tcPr>
          <w:p w14:paraId="1177D8AD"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Dose recomendada de Ustecinumab</w:t>
            </w:r>
          </w:p>
        </w:tc>
      </w:tr>
      <w:tr w:rsidR="0077031F" w:rsidRPr="00110D6C" w14:paraId="229A1910" w14:textId="77777777" w:rsidTr="005B7CFE">
        <w:tc>
          <w:tcPr>
            <w:tcW w:w="2794" w:type="dxa"/>
            <w:vMerge/>
            <w:shd w:val="clear" w:color="auto" w:fill="auto"/>
          </w:tcPr>
          <w:p w14:paraId="0BD9CC31" w14:textId="77777777" w:rsidR="0077031F" w:rsidRPr="00110D6C" w:rsidRDefault="0077031F" w:rsidP="00E77794">
            <w:pPr>
              <w:widowControl/>
              <w:rPr>
                <w:rFonts w:cs="Times New Roman"/>
                <w:color w:val="auto"/>
                <w:szCs w:val="22"/>
                <w:lang w:val="pt-PT"/>
              </w:rPr>
            </w:pPr>
          </w:p>
        </w:tc>
        <w:tc>
          <w:tcPr>
            <w:tcW w:w="3307" w:type="dxa"/>
            <w:shd w:val="clear" w:color="auto" w:fill="auto"/>
            <w:vAlign w:val="center"/>
          </w:tcPr>
          <w:p w14:paraId="3D7B3091"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N (%)</w:t>
            </w:r>
          </w:p>
        </w:tc>
        <w:tc>
          <w:tcPr>
            <w:tcW w:w="2986" w:type="dxa"/>
            <w:shd w:val="clear" w:color="auto" w:fill="auto"/>
            <w:vAlign w:val="center"/>
          </w:tcPr>
          <w:p w14:paraId="3A03106E"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N (%)</w:t>
            </w:r>
          </w:p>
        </w:tc>
      </w:tr>
      <w:tr w:rsidR="0077031F" w:rsidRPr="00110D6C" w14:paraId="56B3A155" w14:textId="77777777" w:rsidTr="005B7CFE">
        <w:tc>
          <w:tcPr>
            <w:tcW w:w="2794" w:type="dxa"/>
            <w:shd w:val="clear" w:color="auto" w:fill="auto"/>
          </w:tcPr>
          <w:p w14:paraId="0CC05122"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Doentes aleatorizados</w:t>
            </w:r>
          </w:p>
        </w:tc>
        <w:tc>
          <w:tcPr>
            <w:tcW w:w="3307" w:type="dxa"/>
            <w:shd w:val="clear" w:color="auto" w:fill="auto"/>
            <w:vAlign w:val="center"/>
          </w:tcPr>
          <w:p w14:paraId="48F5426B"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44</w:t>
            </w:r>
          </w:p>
        </w:tc>
        <w:tc>
          <w:tcPr>
            <w:tcW w:w="2986" w:type="dxa"/>
            <w:shd w:val="clear" w:color="auto" w:fill="auto"/>
            <w:vAlign w:val="center"/>
          </w:tcPr>
          <w:p w14:paraId="0401DE23"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41</w:t>
            </w:r>
          </w:p>
        </w:tc>
      </w:tr>
      <w:tr w:rsidR="0077031F" w:rsidRPr="00110D6C" w14:paraId="0F50AF03" w14:textId="77777777" w:rsidTr="005B7CFE">
        <w:tc>
          <w:tcPr>
            <w:tcW w:w="9087" w:type="dxa"/>
            <w:gridSpan w:val="3"/>
            <w:shd w:val="clear" w:color="auto" w:fill="auto"/>
          </w:tcPr>
          <w:p w14:paraId="444111B2" w14:textId="77777777" w:rsidR="0077031F" w:rsidRPr="00110D6C" w:rsidRDefault="00030085" w:rsidP="00E77794">
            <w:pPr>
              <w:widowControl/>
              <w:rPr>
                <w:rFonts w:cs="Times New Roman"/>
                <w:color w:val="auto"/>
                <w:szCs w:val="22"/>
                <w:lang w:val="pt-PT"/>
              </w:rPr>
            </w:pPr>
            <w:r w:rsidRPr="00110D6C">
              <w:rPr>
                <w:rFonts w:cs="Times New Roman"/>
                <w:b/>
                <w:bCs/>
                <w:color w:val="auto"/>
                <w:szCs w:val="22"/>
                <w:lang w:val="pt-PT"/>
              </w:rPr>
              <w:t>PGA</w:t>
            </w:r>
          </w:p>
        </w:tc>
      </w:tr>
      <w:tr w:rsidR="0077031F" w:rsidRPr="00110D6C" w14:paraId="545D47E0" w14:textId="77777777" w:rsidTr="005B7CFE">
        <w:tc>
          <w:tcPr>
            <w:tcW w:w="2794" w:type="dxa"/>
            <w:shd w:val="clear" w:color="auto" w:fill="auto"/>
          </w:tcPr>
          <w:p w14:paraId="2556B54C"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PGA ausente (0) ou mínimo (1)</w:t>
            </w:r>
          </w:p>
        </w:tc>
        <w:tc>
          <w:tcPr>
            <w:tcW w:w="3307" w:type="dxa"/>
            <w:shd w:val="clear" w:color="auto" w:fill="auto"/>
            <w:vAlign w:val="center"/>
          </w:tcPr>
          <w:p w14:paraId="0A75E8B9" w14:textId="77777777" w:rsidR="0077031F" w:rsidRPr="00110D6C" w:rsidRDefault="00030085" w:rsidP="00056B50">
            <w:pPr>
              <w:widowControl/>
              <w:jc w:val="center"/>
              <w:rPr>
                <w:rFonts w:cs="Times New Roman"/>
                <w:color w:val="auto"/>
                <w:szCs w:val="22"/>
                <w:lang w:val="pt-PT"/>
              </w:rPr>
            </w:pPr>
            <w:r w:rsidRPr="00110D6C">
              <w:rPr>
                <w:rFonts w:cs="Times New Roman"/>
                <w:color w:val="auto"/>
                <w:szCs w:val="22"/>
                <w:lang w:val="pt-PT"/>
              </w:rPr>
              <w:t>3</w:t>
            </w:r>
            <w:r w:rsidR="00B910F9" w:rsidRPr="00110D6C">
              <w:rPr>
                <w:rFonts w:cs="Times New Roman"/>
                <w:color w:val="auto"/>
                <w:szCs w:val="22"/>
                <w:lang w:val="pt-PT"/>
              </w:rPr>
              <w:t>4</w:t>
            </w:r>
            <w:r w:rsidR="00056B50" w:rsidRPr="00110D6C">
              <w:rPr>
                <w:rFonts w:cs="Times New Roman"/>
                <w:color w:val="auto"/>
                <w:szCs w:val="22"/>
                <w:lang w:val="pt-PT"/>
              </w:rPr>
              <w:t xml:space="preserve"> </w:t>
            </w:r>
            <w:r w:rsidRPr="00110D6C">
              <w:rPr>
                <w:rFonts w:cs="Times New Roman"/>
                <w:color w:val="auto"/>
                <w:szCs w:val="22"/>
                <w:lang w:val="pt-PT"/>
              </w:rPr>
              <w:t>(77,3%)</w:t>
            </w:r>
          </w:p>
        </w:tc>
        <w:tc>
          <w:tcPr>
            <w:tcW w:w="2986" w:type="dxa"/>
            <w:shd w:val="clear" w:color="auto" w:fill="auto"/>
            <w:vAlign w:val="center"/>
          </w:tcPr>
          <w:p w14:paraId="686DB8F4"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3</w:t>
            </w:r>
            <w:r w:rsidR="00B910F9" w:rsidRPr="00110D6C">
              <w:rPr>
                <w:rFonts w:cs="Times New Roman"/>
                <w:color w:val="auto"/>
                <w:szCs w:val="22"/>
                <w:lang w:val="pt-PT"/>
              </w:rPr>
              <w:t>1 </w:t>
            </w:r>
            <w:r w:rsidRPr="00110D6C">
              <w:rPr>
                <w:rFonts w:cs="Times New Roman"/>
                <w:color w:val="auto"/>
                <w:szCs w:val="22"/>
                <w:lang w:val="pt-PT"/>
              </w:rPr>
              <w:t>(75,6%)</w:t>
            </w:r>
          </w:p>
        </w:tc>
      </w:tr>
      <w:tr w:rsidR="0077031F" w:rsidRPr="00110D6C" w14:paraId="7853A4AE" w14:textId="77777777" w:rsidTr="005B7CFE">
        <w:tc>
          <w:tcPr>
            <w:tcW w:w="2794" w:type="dxa"/>
            <w:shd w:val="clear" w:color="auto" w:fill="auto"/>
          </w:tcPr>
          <w:p w14:paraId="199B310C"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PGA ausente (0)</w:t>
            </w:r>
          </w:p>
        </w:tc>
        <w:tc>
          <w:tcPr>
            <w:tcW w:w="3307" w:type="dxa"/>
            <w:shd w:val="clear" w:color="auto" w:fill="auto"/>
            <w:vAlign w:val="center"/>
          </w:tcPr>
          <w:p w14:paraId="71B55693" w14:textId="77777777" w:rsidR="0077031F" w:rsidRPr="00110D6C" w:rsidRDefault="00030085" w:rsidP="00056B50">
            <w:pPr>
              <w:widowControl/>
              <w:jc w:val="center"/>
              <w:rPr>
                <w:rFonts w:cs="Times New Roman"/>
                <w:color w:val="auto"/>
                <w:szCs w:val="22"/>
                <w:lang w:val="pt-PT"/>
              </w:rPr>
            </w:pPr>
            <w:r w:rsidRPr="00110D6C">
              <w:rPr>
                <w:rFonts w:cs="Times New Roman"/>
                <w:color w:val="auto"/>
                <w:szCs w:val="22"/>
                <w:lang w:val="pt-PT"/>
              </w:rPr>
              <w:t>1</w:t>
            </w:r>
            <w:r w:rsidR="00B910F9" w:rsidRPr="00110D6C">
              <w:rPr>
                <w:rFonts w:cs="Times New Roman"/>
                <w:color w:val="auto"/>
                <w:szCs w:val="22"/>
                <w:lang w:val="pt-PT"/>
              </w:rPr>
              <w:t>7</w:t>
            </w:r>
            <w:r w:rsidR="00056B50" w:rsidRPr="00110D6C">
              <w:rPr>
                <w:rFonts w:cs="Times New Roman"/>
                <w:color w:val="auto"/>
                <w:szCs w:val="22"/>
                <w:lang w:val="pt-PT"/>
              </w:rPr>
              <w:t xml:space="preserve"> </w:t>
            </w:r>
            <w:r w:rsidRPr="00110D6C">
              <w:rPr>
                <w:rFonts w:cs="Times New Roman"/>
                <w:color w:val="auto"/>
                <w:szCs w:val="22"/>
                <w:lang w:val="pt-PT"/>
              </w:rPr>
              <w:t>(38,6%)</w:t>
            </w:r>
          </w:p>
        </w:tc>
        <w:tc>
          <w:tcPr>
            <w:tcW w:w="2986" w:type="dxa"/>
            <w:shd w:val="clear" w:color="auto" w:fill="auto"/>
            <w:vAlign w:val="center"/>
          </w:tcPr>
          <w:p w14:paraId="54C72E9A"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2</w:t>
            </w:r>
            <w:r w:rsidR="00056B50" w:rsidRPr="00110D6C">
              <w:rPr>
                <w:rFonts w:cs="Times New Roman"/>
                <w:color w:val="auto"/>
                <w:szCs w:val="22"/>
                <w:lang w:val="pt-PT"/>
              </w:rPr>
              <w:t xml:space="preserve">3 </w:t>
            </w:r>
            <w:r w:rsidRPr="00110D6C">
              <w:rPr>
                <w:rFonts w:cs="Times New Roman"/>
                <w:color w:val="auto"/>
                <w:szCs w:val="22"/>
                <w:lang w:val="pt-PT"/>
              </w:rPr>
              <w:t>(56,1%)</w:t>
            </w:r>
          </w:p>
        </w:tc>
      </w:tr>
      <w:tr w:rsidR="0077031F" w:rsidRPr="00110D6C" w14:paraId="5AAF8187" w14:textId="77777777" w:rsidTr="005B7CFE">
        <w:tc>
          <w:tcPr>
            <w:tcW w:w="9087" w:type="dxa"/>
            <w:gridSpan w:val="3"/>
            <w:shd w:val="clear" w:color="auto" w:fill="auto"/>
          </w:tcPr>
          <w:p w14:paraId="3BE1A624" w14:textId="77777777" w:rsidR="0077031F" w:rsidRPr="00110D6C" w:rsidRDefault="00030085" w:rsidP="00E77794">
            <w:pPr>
              <w:widowControl/>
              <w:rPr>
                <w:rFonts w:cs="Times New Roman"/>
                <w:color w:val="auto"/>
                <w:szCs w:val="22"/>
                <w:lang w:val="pt-PT"/>
              </w:rPr>
            </w:pPr>
            <w:r w:rsidRPr="00110D6C">
              <w:rPr>
                <w:rFonts w:cs="Times New Roman"/>
                <w:b/>
                <w:bCs/>
                <w:color w:val="auto"/>
                <w:szCs w:val="22"/>
                <w:lang w:val="pt-PT"/>
              </w:rPr>
              <w:t>PASI</w:t>
            </w:r>
          </w:p>
        </w:tc>
      </w:tr>
      <w:tr w:rsidR="0077031F" w:rsidRPr="00110D6C" w14:paraId="76B90777" w14:textId="77777777" w:rsidTr="005B7CFE">
        <w:tc>
          <w:tcPr>
            <w:tcW w:w="2794" w:type="dxa"/>
            <w:shd w:val="clear" w:color="auto" w:fill="auto"/>
          </w:tcPr>
          <w:p w14:paraId="1A08F8B4"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Respondedores PASI 75</w:t>
            </w:r>
          </w:p>
        </w:tc>
        <w:tc>
          <w:tcPr>
            <w:tcW w:w="3307" w:type="dxa"/>
            <w:shd w:val="clear" w:color="auto" w:fill="auto"/>
            <w:vAlign w:val="center"/>
          </w:tcPr>
          <w:p w14:paraId="6539D101" w14:textId="77777777" w:rsidR="0077031F" w:rsidRPr="00110D6C" w:rsidRDefault="00030085" w:rsidP="00056B50">
            <w:pPr>
              <w:widowControl/>
              <w:jc w:val="center"/>
              <w:rPr>
                <w:rFonts w:cs="Times New Roman"/>
                <w:color w:val="auto"/>
                <w:szCs w:val="22"/>
                <w:lang w:val="pt-PT"/>
              </w:rPr>
            </w:pPr>
            <w:r w:rsidRPr="00110D6C">
              <w:rPr>
                <w:rFonts w:cs="Times New Roman"/>
                <w:color w:val="auto"/>
                <w:szCs w:val="22"/>
                <w:lang w:val="pt-PT"/>
              </w:rPr>
              <w:t>3</w:t>
            </w:r>
            <w:r w:rsidR="00B910F9" w:rsidRPr="00110D6C">
              <w:rPr>
                <w:rFonts w:cs="Times New Roman"/>
                <w:color w:val="auto"/>
                <w:szCs w:val="22"/>
                <w:lang w:val="pt-PT"/>
              </w:rPr>
              <w:t>7</w:t>
            </w:r>
            <w:r w:rsidR="00056B50" w:rsidRPr="00110D6C">
              <w:rPr>
                <w:rFonts w:cs="Times New Roman"/>
                <w:color w:val="auto"/>
                <w:szCs w:val="22"/>
                <w:lang w:val="pt-PT"/>
              </w:rPr>
              <w:t xml:space="preserve"> </w:t>
            </w:r>
            <w:r w:rsidRPr="00110D6C">
              <w:rPr>
                <w:rFonts w:cs="Times New Roman"/>
                <w:color w:val="auto"/>
                <w:szCs w:val="22"/>
                <w:lang w:val="pt-PT"/>
              </w:rPr>
              <w:t>(84,1%)</w:t>
            </w:r>
          </w:p>
        </w:tc>
        <w:tc>
          <w:tcPr>
            <w:tcW w:w="2986" w:type="dxa"/>
            <w:shd w:val="clear" w:color="auto" w:fill="auto"/>
            <w:vAlign w:val="center"/>
          </w:tcPr>
          <w:p w14:paraId="7613F55E" w14:textId="77777777" w:rsidR="0077031F" w:rsidRPr="00110D6C" w:rsidRDefault="00030085" w:rsidP="00056B50">
            <w:pPr>
              <w:widowControl/>
              <w:jc w:val="center"/>
              <w:rPr>
                <w:rFonts w:cs="Times New Roman"/>
                <w:color w:val="auto"/>
                <w:szCs w:val="22"/>
                <w:lang w:val="pt-PT"/>
              </w:rPr>
            </w:pPr>
            <w:r w:rsidRPr="00110D6C">
              <w:rPr>
                <w:rFonts w:cs="Times New Roman"/>
                <w:color w:val="auto"/>
                <w:szCs w:val="22"/>
                <w:lang w:val="pt-PT"/>
              </w:rPr>
              <w:t>3</w:t>
            </w:r>
            <w:r w:rsidR="00B910F9" w:rsidRPr="00110D6C">
              <w:rPr>
                <w:rFonts w:cs="Times New Roman"/>
                <w:color w:val="auto"/>
                <w:szCs w:val="22"/>
                <w:lang w:val="pt-PT"/>
              </w:rPr>
              <w:t>6</w:t>
            </w:r>
            <w:r w:rsidR="00056B50" w:rsidRPr="00110D6C">
              <w:rPr>
                <w:rFonts w:cs="Times New Roman"/>
                <w:color w:val="auto"/>
                <w:szCs w:val="22"/>
                <w:lang w:val="pt-PT"/>
              </w:rPr>
              <w:t xml:space="preserve"> </w:t>
            </w:r>
            <w:r w:rsidRPr="00110D6C">
              <w:rPr>
                <w:rFonts w:cs="Times New Roman"/>
                <w:color w:val="auto"/>
                <w:szCs w:val="22"/>
                <w:lang w:val="pt-PT"/>
              </w:rPr>
              <w:t>(87,8%)</w:t>
            </w:r>
          </w:p>
        </w:tc>
      </w:tr>
      <w:tr w:rsidR="0077031F" w:rsidRPr="00110D6C" w14:paraId="0275F50B" w14:textId="77777777" w:rsidTr="005B7CFE">
        <w:tc>
          <w:tcPr>
            <w:tcW w:w="2794" w:type="dxa"/>
            <w:shd w:val="clear" w:color="auto" w:fill="auto"/>
          </w:tcPr>
          <w:p w14:paraId="336044DC"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Respondedores PASI 90</w:t>
            </w:r>
          </w:p>
        </w:tc>
        <w:tc>
          <w:tcPr>
            <w:tcW w:w="3307" w:type="dxa"/>
            <w:shd w:val="clear" w:color="auto" w:fill="auto"/>
            <w:vAlign w:val="center"/>
          </w:tcPr>
          <w:p w14:paraId="0F3E83AB" w14:textId="77777777" w:rsidR="0077031F" w:rsidRPr="00110D6C" w:rsidRDefault="00030085" w:rsidP="00056B50">
            <w:pPr>
              <w:widowControl/>
              <w:jc w:val="center"/>
              <w:rPr>
                <w:rFonts w:cs="Times New Roman"/>
                <w:color w:val="auto"/>
                <w:szCs w:val="22"/>
                <w:lang w:val="pt-PT"/>
              </w:rPr>
            </w:pPr>
            <w:r w:rsidRPr="00110D6C">
              <w:rPr>
                <w:rFonts w:cs="Times New Roman"/>
                <w:color w:val="auto"/>
                <w:szCs w:val="22"/>
                <w:lang w:val="pt-PT"/>
              </w:rPr>
              <w:t>2</w:t>
            </w:r>
            <w:r w:rsidR="00B910F9" w:rsidRPr="00110D6C">
              <w:rPr>
                <w:rFonts w:cs="Times New Roman"/>
                <w:color w:val="auto"/>
                <w:szCs w:val="22"/>
                <w:lang w:val="pt-PT"/>
              </w:rPr>
              <w:t>8</w:t>
            </w:r>
            <w:r w:rsidR="00056B50" w:rsidRPr="00110D6C">
              <w:rPr>
                <w:rFonts w:cs="Times New Roman"/>
                <w:color w:val="auto"/>
                <w:szCs w:val="22"/>
                <w:lang w:val="pt-PT"/>
              </w:rPr>
              <w:t xml:space="preserve"> </w:t>
            </w:r>
            <w:r w:rsidRPr="00110D6C">
              <w:rPr>
                <w:rFonts w:cs="Times New Roman"/>
                <w:color w:val="auto"/>
                <w:szCs w:val="22"/>
                <w:lang w:val="pt-PT"/>
              </w:rPr>
              <w:t>(63,6%)</w:t>
            </w:r>
          </w:p>
        </w:tc>
        <w:tc>
          <w:tcPr>
            <w:tcW w:w="2986" w:type="dxa"/>
            <w:shd w:val="clear" w:color="auto" w:fill="auto"/>
            <w:vAlign w:val="center"/>
          </w:tcPr>
          <w:p w14:paraId="6C4DDF21" w14:textId="77777777" w:rsidR="0077031F" w:rsidRPr="00110D6C" w:rsidRDefault="00030085" w:rsidP="00056B50">
            <w:pPr>
              <w:widowControl/>
              <w:jc w:val="center"/>
              <w:rPr>
                <w:rFonts w:cs="Times New Roman"/>
                <w:color w:val="auto"/>
                <w:szCs w:val="22"/>
                <w:lang w:val="pt-PT"/>
              </w:rPr>
            </w:pPr>
            <w:r w:rsidRPr="00110D6C">
              <w:rPr>
                <w:rFonts w:cs="Times New Roman"/>
                <w:color w:val="auto"/>
                <w:szCs w:val="22"/>
                <w:lang w:val="pt-PT"/>
              </w:rPr>
              <w:t>2</w:t>
            </w:r>
            <w:r w:rsidR="00B910F9" w:rsidRPr="00110D6C">
              <w:rPr>
                <w:rFonts w:cs="Times New Roman"/>
                <w:color w:val="auto"/>
                <w:szCs w:val="22"/>
                <w:lang w:val="pt-PT"/>
              </w:rPr>
              <w:t>9</w:t>
            </w:r>
            <w:r w:rsidR="00056B50" w:rsidRPr="00110D6C">
              <w:rPr>
                <w:rFonts w:cs="Times New Roman"/>
                <w:color w:val="auto"/>
                <w:szCs w:val="22"/>
                <w:lang w:val="pt-PT"/>
              </w:rPr>
              <w:t xml:space="preserve"> </w:t>
            </w:r>
            <w:r w:rsidRPr="00110D6C">
              <w:rPr>
                <w:rFonts w:cs="Times New Roman"/>
                <w:color w:val="auto"/>
                <w:szCs w:val="22"/>
                <w:lang w:val="pt-PT"/>
              </w:rPr>
              <w:t>(70,7%)</w:t>
            </w:r>
          </w:p>
        </w:tc>
      </w:tr>
      <w:tr w:rsidR="0077031F" w:rsidRPr="00110D6C" w14:paraId="68651E75" w14:textId="77777777" w:rsidTr="00E77794">
        <w:tc>
          <w:tcPr>
            <w:tcW w:w="2794" w:type="dxa"/>
            <w:shd w:val="clear" w:color="auto" w:fill="auto"/>
          </w:tcPr>
          <w:p w14:paraId="02466ACF"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Respondedores PASI 100</w:t>
            </w:r>
          </w:p>
        </w:tc>
        <w:tc>
          <w:tcPr>
            <w:tcW w:w="3307" w:type="dxa"/>
            <w:shd w:val="clear" w:color="auto" w:fill="auto"/>
            <w:vAlign w:val="center"/>
          </w:tcPr>
          <w:p w14:paraId="627C4970" w14:textId="77777777" w:rsidR="0077031F" w:rsidRPr="00110D6C" w:rsidRDefault="00030085" w:rsidP="00056B50">
            <w:pPr>
              <w:widowControl/>
              <w:jc w:val="center"/>
              <w:rPr>
                <w:rFonts w:cs="Times New Roman"/>
                <w:color w:val="auto"/>
                <w:szCs w:val="22"/>
                <w:lang w:val="pt-PT"/>
              </w:rPr>
            </w:pPr>
            <w:r w:rsidRPr="00110D6C">
              <w:rPr>
                <w:rFonts w:cs="Times New Roman"/>
                <w:color w:val="auto"/>
                <w:szCs w:val="22"/>
                <w:lang w:val="pt-PT"/>
              </w:rPr>
              <w:t>1</w:t>
            </w:r>
            <w:r w:rsidR="00B910F9" w:rsidRPr="00110D6C">
              <w:rPr>
                <w:rFonts w:cs="Times New Roman"/>
                <w:color w:val="auto"/>
                <w:szCs w:val="22"/>
                <w:lang w:val="pt-PT"/>
              </w:rPr>
              <w:t>5</w:t>
            </w:r>
            <w:r w:rsidR="00056B50" w:rsidRPr="00110D6C">
              <w:rPr>
                <w:rFonts w:cs="Times New Roman"/>
                <w:color w:val="auto"/>
                <w:szCs w:val="22"/>
                <w:lang w:val="pt-PT"/>
              </w:rPr>
              <w:t xml:space="preserve"> </w:t>
            </w:r>
            <w:r w:rsidRPr="00110D6C">
              <w:rPr>
                <w:rFonts w:cs="Times New Roman"/>
                <w:color w:val="auto"/>
                <w:szCs w:val="22"/>
                <w:lang w:val="pt-PT"/>
              </w:rPr>
              <w:t>(34,1%)</w:t>
            </w:r>
          </w:p>
        </w:tc>
        <w:tc>
          <w:tcPr>
            <w:tcW w:w="2986" w:type="dxa"/>
            <w:shd w:val="clear" w:color="auto" w:fill="auto"/>
            <w:vAlign w:val="center"/>
          </w:tcPr>
          <w:p w14:paraId="551A2E0A" w14:textId="77777777" w:rsidR="0077031F" w:rsidRPr="00110D6C" w:rsidRDefault="00030085" w:rsidP="00056B50">
            <w:pPr>
              <w:widowControl/>
              <w:jc w:val="center"/>
              <w:rPr>
                <w:rFonts w:cs="Times New Roman"/>
                <w:color w:val="auto"/>
                <w:szCs w:val="22"/>
                <w:lang w:val="pt-PT"/>
              </w:rPr>
            </w:pPr>
            <w:r w:rsidRPr="00110D6C">
              <w:rPr>
                <w:rFonts w:cs="Times New Roman"/>
                <w:color w:val="auto"/>
                <w:szCs w:val="22"/>
                <w:lang w:val="pt-PT"/>
              </w:rPr>
              <w:t>2</w:t>
            </w:r>
            <w:r w:rsidR="00B910F9" w:rsidRPr="00110D6C">
              <w:rPr>
                <w:rFonts w:cs="Times New Roman"/>
                <w:color w:val="auto"/>
                <w:szCs w:val="22"/>
                <w:lang w:val="pt-PT"/>
              </w:rPr>
              <w:t>2</w:t>
            </w:r>
            <w:r w:rsidR="00056B50" w:rsidRPr="00110D6C">
              <w:rPr>
                <w:rFonts w:cs="Times New Roman"/>
                <w:color w:val="auto"/>
                <w:szCs w:val="22"/>
                <w:lang w:val="pt-PT"/>
              </w:rPr>
              <w:t xml:space="preserve"> </w:t>
            </w:r>
            <w:r w:rsidRPr="00110D6C">
              <w:rPr>
                <w:rFonts w:cs="Times New Roman"/>
                <w:color w:val="auto"/>
                <w:szCs w:val="22"/>
                <w:lang w:val="pt-PT"/>
              </w:rPr>
              <w:t>(53,7%)</w:t>
            </w:r>
          </w:p>
        </w:tc>
      </w:tr>
      <w:tr w:rsidR="0077031F" w:rsidRPr="00110D6C" w14:paraId="78E3C202" w14:textId="77777777" w:rsidTr="00E77794">
        <w:tc>
          <w:tcPr>
            <w:tcW w:w="9087" w:type="dxa"/>
            <w:gridSpan w:val="3"/>
            <w:shd w:val="clear" w:color="auto" w:fill="auto"/>
          </w:tcPr>
          <w:p w14:paraId="0A4E4CC4" w14:textId="77777777" w:rsidR="0077031F" w:rsidRPr="00110D6C" w:rsidRDefault="00030085" w:rsidP="005B7CFE">
            <w:pPr>
              <w:widowControl/>
              <w:rPr>
                <w:rFonts w:cs="Times New Roman"/>
                <w:color w:val="auto"/>
                <w:szCs w:val="22"/>
                <w:lang w:val="pt-PT"/>
              </w:rPr>
            </w:pPr>
            <w:r w:rsidRPr="00110D6C">
              <w:rPr>
                <w:rFonts w:cs="Times New Roman"/>
                <w:b/>
                <w:bCs/>
                <w:color w:val="auto"/>
                <w:szCs w:val="22"/>
                <w:lang w:val="pt-PT"/>
              </w:rPr>
              <w:t>CDLQI</w:t>
            </w:r>
          </w:p>
        </w:tc>
      </w:tr>
      <w:tr w:rsidR="0077031F" w:rsidRPr="00110D6C" w14:paraId="1856F9F5" w14:textId="77777777" w:rsidTr="00E77794">
        <w:tc>
          <w:tcPr>
            <w:tcW w:w="2794" w:type="dxa"/>
            <w:shd w:val="clear" w:color="auto" w:fill="auto"/>
          </w:tcPr>
          <w:p w14:paraId="5496B984" w14:textId="77777777" w:rsidR="0077031F" w:rsidRPr="00110D6C" w:rsidRDefault="00030085" w:rsidP="00F5387C">
            <w:pPr>
              <w:widowControl/>
              <w:rPr>
                <w:rFonts w:cs="Times New Roman"/>
                <w:color w:val="auto"/>
                <w:szCs w:val="22"/>
                <w:lang w:val="pt-PT"/>
              </w:rPr>
            </w:pPr>
            <w:r w:rsidRPr="00110D6C">
              <w:rPr>
                <w:rFonts w:cs="Times New Roman"/>
                <w:color w:val="auto"/>
                <w:szCs w:val="22"/>
                <w:lang w:val="pt-PT"/>
              </w:rPr>
              <w:t>Doentes com CDLQI &gt;</w:t>
            </w:r>
            <w:r w:rsidR="00F5387C" w:rsidRPr="00110D6C">
              <w:rPr>
                <w:rFonts w:cs="Times New Roman"/>
                <w:color w:val="auto"/>
                <w:szCs w:val="22"/>
                <w:lang w:val="pt-PT"/>
              </w:rPr>
              <w:t> </w:t>
            </w:r>
            <w:r w:rsidR="00B910F9" w:rsidRPr="00110D6C">
              <w:rPr>
                <w:rFonts w:cs="Times New Roman"/>
                <w:color w:val="auto"/>
                <w:szCs w:val="22"/>
                <w:lang w:val="pt-PT"/>
              </w:rPr>
              <w:t>1 </w:t>
            </w:r>
            <w:r w:rsidRPr="00110D6C">
              <w:rPr>
                <w:rFonts w:cs="Times New Roman"/>
                <w:color w:val="auto"/>
                <w:szCs w:val="22"/>
                <w:lang w:val="pt-PT"/>
              </w:rPr>
              <w:t>no nível basal</w:t>
            </w:r>
          </w:p>
        </w:tc>
        <w:tc>
          <w:tcPr>
            <w:tcW w:w="3307" w:type="dxa"/>
            <w:shd w:val="clear" w:color="auto" w:fill="auto"/>
            <w:vAlign w:val="center"/>
          </w:tcPr>
          <w:p w14:paraId="3557E148" w14:textId="711A986A"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(N</w:t>
            </w:r>
            <w:r w:rsidR="00291A38">
              <w:rPr>
                <w:rFonts w:cs="Times New Roman"/>
                <w:color w:val="auto"/>
                <w:szCs w:val="22"/>
                <w:lang w:val="pt-PT"/>
              </w:rPr>
              <w:t> </w:t>
            </w:r>
            <w:r w:rsidRPr="00110D6C">
              <w:rPr>
                <w:rFonts w:cs="Times New Roman"/>
                <w:color w:val="auto"/>
                <w:szCs w:val="22"/>
                <w:lang w:val="pt-PT"/>
              </w:rPr>
              <w:t>=</w:t>
            </w:r>
            <w:r w:rsidR="00291A38">
              <w:rPr>
                <w:rFonts w:cs="Times New Roman"/>
                <w:color w:val="auto"/>
                <w:szCs w:val="22"/>
                <w:lang w:val="pt-PT"/>
              </w:rPr>
              <w:t> </w:t>
            </w:r>
            <w:r w:rsidRPr="00110D6C">
              <w:rPr>
                <w:rFonts w:cs="Times New Roman"/>
                <w:color w:val="auto"/>
                <w:szCs w:val="22"/>
                <w:lang w:val="pt-PT"/>
              </w:rPr>
              <w:t>39)</w:t>
            </w:r>
          </w:p>
        </w:tc>
        <w:tc>
          <w:tcPr>
            <w:tcW w:w="2986" w:type="dxa"/>
            <w:shd w:val="clear" w:color="auto" w:fill="auto"/>
            <w:vAlign w:val="center"/>
          </w:tcPr>
          <w:p w14:paraId="076A6951" w14:textId="56F1DE7C"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(N</w:t>
            </w:r>
            <w:r w:rsidR="00291A38">
              <w:rPr>
                <w:rFonts w:cs="Times New Roman"/>
                <w:color w:val="auto"/>
                <w:szCs w:val="22"/>
                <w:lang w:val="pt-PT"/>
              </w:rPr>
              <w:t> </w:t>
            </w:r>
            <w:r w:rsidRPr="00110D6C">
              <w:rPr>
                <w:rFonts w:cs="Times New Roman"/>
                <w:color w:val="auto"/>
                <w:szCs w:val="22"/>
                <w:lang w:val="pt-PT"/>
              </w:rPr>
              <w:t>=</w:t>
            </w:r>
            <w:r w:rsidR="00291A38">
              <w:rPr>
                <w:rFonts w:cs="Times New Roman"/>
                <w:color w:val="auto"/>
                <w:szCs w:val="22"/>
                <w:lang w:val="pt-PT"/>
              </w:rPr>
              <w:t> </w:t>
            </w:r>
            <w:r w:rsidRPr="00110D6C">
              <w:rPr>
                <w:rFonts w:cs="Times New Roman"/>
                <w:color w:val="auto"/>
                <w:szCs w:val="22"/>
                <w:lang w:val="pt-PT"/>
              </w:rPr>
              <w:t>36)</w:t>
            </w:r>
          </w:p>
        </w:tc>
      </w:tr>
      <w:tr w:rsidR="0077031F" w:rsidRPr="00110D6C" w14:paraId="6ABC07D7" w14:textId="77777777" w:rsidTr="00E77794">
        <w:tc>
          <w:tcPr>
            <w:tcW w:w="2794" w:type="dxa"/>
            <w:shd w:val="clear" w:color="auto" w:fill="auto"/>
          </w:tcPr>
          <w:p w14:paraId="5BBFE1F3"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 xml:space="preserve">CDLQI de </w:t>
            </w:r>
            <w:r w:rsidR="00B910F9" w:rsidRPr="00110D6C">
              <w:rPr>
                <w:rFonts w:cs="Times New Roman"/>
                <w:color w:val="auto"/>
                <w:szCs w:val="22"/>
                <w:lang w:val="pt-PT"/>
              </w:rPr>
              <w:t>0 </w:t>
            </w:r>
            <w:r w:rsidRPr="00110D6C">
              <w:rPr>
                <w:rFonts w:cs="Times New Roman"/>
                <w:color w:val="auto"/>
                <w:szCs w:val="22"/>
                <w:lang w:val="pt-PT"/>
              </w:rPr>
              <w:t>ou 1</w:t>
            </w:r>
          </w:p>
        </w:tc>
        <w:tc>
          <w:tcPr>
            <w:tcW w:w="3307" w:type="dxa"/>
            <w:shd w:val="clear" w:color="auto" w:fill="auto"/>
            <w:vAlign w:val="center"/>
          </w:tcPr>
          <w:p w14:paraId="6B4C1F16"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2</w:t>
            </w:r>
            <w:r w:rsidR="00B910F9" w:rsidRPr="00110D6C">
              <w:rPr>
                <w:rFonts w:cs="Times New Roman"/>
                <w:color w:val="auto"/>
                <w:szCs w:val="22"/>
                <w:lang w:val="pt-PT"/>
              </w:rPr>
              <w:t>4 </w:t>
            </w:r>
            <w:r w:rsidRPr="00110D6C">
              <w:rPr>
                <w:rFonts w:cs="Times New Roman"/>
                <w:color w:val="auto"/>
                <w:szCs w:val="22"/>
                <w:lang w:val="pt-PT"/>
              </w:rPr>
              <w:t>(61,5%)</w:t>
            </w:r>
          </w:p>
        </w:tc>
        <w:tc>
          <w:tcPr>
            <w:tcW w:w="2986" w:type="dxa"/>
            <w:shd w:val="clear" w:color="auto" w:fill="auto"/>
            <w:vAlign w:val="center"/>
          </w:tcPr>
          <w:p w14:paraId="625179D7"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2</w:t>
            </w:r>
            <w:r w:rsidR="00B910F9" w:rsidRPr="00110D6C">
              <w:rPr>
                <w:rFonts w:cs="Times New Roman"/>
                <w:color w:val="auto"/>
                <w:szCs w:val="22"/>
                <w:lang w:val="pt-PT"/>
              </w:rPr>
              <w:t>1 </w:t>
            </w:r>
            <w:r w:rsidRPr="00110D6C">
              <w:rPr>
                <w:rFonts w:cs="Times New Roman"/>
                <w:color w:val="auto"/>
                <w:szCs w:val="22"/>
                <w:lang w:val="pt-PT"/>
              </w:rPr>
              <w:t>(58,3%)</w:t>
            </w:r>
          </w:p>
        </w:tc>
      </w:tr>
    </w:tbl>
    <w:p w14:paraId="4A85C209" w14:textId="77777777" w:rsidR="0077031F" w:rsidRPr="00110D6C" w:rsidRDefault="00030085" w:rsidP="00E77794">
      <w:pPr>
        <w:widowControl/>
        <w:ind w:left="284" w:hanging="284"/>
        <w:rPr>
          <w:rFonts w:cs="Times New Roman"/>
          <w:color w:val="auto"/>
          <w:sz w:val="20"/>
          <w:szCs w:val="22"/>
          <w:lang w:val="pt-PT"/>
        </w:rPr>
      </w:pPr>
      <w:r w:rsidRPr="00110D6C">
        <w:rPr>
          <w:rFonts w:cs="Times New Roman"/>
          <w:color w:val="auto"/>
          <w:sz w:val="20"/>
          <w:szCs w:val="22"/>
          <w:vertAlign w:val="superscript"/>
          <w:lang w:val="pt-PT"/>
        </w:rPr>
        <w:t>a</w:t>
      </w:r>
      <w:r w:rsidR="00E77794" w:rsidRPr="00110D6C">
        <w:rPr>
          <w:rFonts w:cs="Times New Roman"/>
          <w:color w:val="auto"/>
          <w:sz w:val="20"/>
          <w:szCs w:val="22"/>
          <w:lang w:val="pt-PT"/>
        </w:rPr>
        <w:tab/>
      </w:r>
      <w:r w:rsidRPr="00110D6C">
        <w:rPr>
          <w:rFonts w:cs="Times New Roman"/>
          <w:color w:val="auto"/>
          <w:sz w:val="20"/>
          <w:szCs w:val="22"/>
          <w:lang w:val="pt-PT"/>
        </w:rPr>
        <w:t xml:space="preserve">CDLQI: CDLQI é um instrumento utilizado em dermatologia para avaliar o efeito de um problema da pele em relação à qualidade de vida relacionada com a saúde na população pediátrica. CDLQI de </w:t>
      </w:r>
      <w:r w:rsidR="00B910F9" w:rsidRPr="00110D6C">
        <w:rPr>
          <w:rFonts w:cs="Times New Roman"/>
          <w:color w:val="auto"/>
          <w:sz w:val="20"/>
          <w:szCs w:val="22"/>
          <w:lang w:val="pt-PT"/>
        </w:rPr>
        <w:t>0 </w:t>
      </w:r>
      <w:r w:rsidRPr="00110D6C">
        <w:rPr>
          <w:rFonts w:cs="Times New Roman"/>
          <w:color w:val="auto"/>
          <w:sz w:val="20"/>
          <w:szCs w:val="22"/>
          <w:lang w:val="pt-PT"/>
        </w:rPr>
        <w:t xml:space="preserve">ou </w:t>
      </w:r>
      <w:r w:rsidR="00B910F9" w:rsidRPr="00110D6C">
        <w:rPr>
          <w:rFonts w:cs="Times New Roman"/>
          <w:color w:val="auto"/>
          <w:sz w:val="20"/>
          <w:szCs w:val="22"/>
          <w:lang w:val="pt-PT"/>
        </w:rPr>
        <w:t>1 </w:t>
      </w:r>
      <w:r w:rsidRPr="00110D6C">
        <w:rPr>
          <w:rFonts w:cs="Times New Roman"/>
          <w:color w:val="auto"/>
          <w:sz w:val="20"/>
          <w:szCs w:val="22"/>
          <w:lang w:val="pt-PT"/>
        </w:rPr>
        <w:t>não indica qualquer efeito na qualidade de vida da criança.</w:t>
      </w:r>
    </w:p>
    <w:p w14:paraId="0871A193" w14:textId="77777777" w:rsidR="00E77794" w:rsidRPr="00110D6C" w:rsidRDefault="00E77794" w:rsidP="00A17623">
      <w:pPr>
        <w:widowControl/>
        <w:rPr>
          <w:rFonts w:cs="Times New Roman"/>
          <w:color w:val="auto"/>
          <w:szCs w:val="22"/>
          <w:lang w:val="pt-PT"/>
        </w:rPr>
      </w:pPr>
    </w:p>
    <w:p w14:paraId="0A5030C3"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Doença de Crohn</w:t>
      </w:r>
    </w:p>
    <w:p w14:paraId="416B70B2"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 eficácia e segurança do ustecinumab foram avaliadas em três estudos multicêntricos, aleatorizados, com dupla ocultação, controlados por placebo, realizados em doentes adultos com doença de Crohn ativa moderada a grave (pontuação do </w:t>
      </w:r>
      <w:r w:rsidRPr="00110D6C">
        <w:rPr>
          <w:rFonts w:cs="Times New Roman"/>
          <w:i/>
          <w:iCs/>
          <w:color w:val="auto"/>
          <w:szCs w:val="22"/>
          <w:lang w:val="pt-PT"/>
        </w:rPr>
        <w:t>Crohn’s Disease Activity Index</w:t>
      </w:r>
      <w:r w:rsidRPr="00110D6C">
        <w:rPr>
          <w:rFonts w:cs="Times New Roman"/>
          <w:color w:val="auto"/>
          <w:szCs w:val="22"/>
          <w:lang w:val="pt-PT"/>
        </w:rPr>
        <w:t xml:space="preserve"> [CDAI] de ≥</w:t>
      </w:r>
      <w:r w:rsidR="00F5387C" w:rsidRPr="00110D6C">
        <w:rPr>
          <w:rFonts w:cs="Times New Roman"/>
          <w:color w:val="auto"/>
          <w:szCs w:val="22"/>
          <w:lang w:val="pt-PT"/>
        </w:rPr>
        <w:t> </w:t>
      </w:r>
      <w:r w:rsidRPr="00110D6C">
        <w:rPr>
          <w:rFonts w:cs="Times New Roman"/>
          <w:color w:val="auto"/>
          <w:szCs w:val="22"/>
          <w:lang w:val="pt-PT"/>
        </w:rPr>
        <w:t>22</w:t>
      </w:r>
      <w:r w:rsidR="00B910F9" w:rsidRPr="00110D6C">
        <w:rPr>
          <w:rFonts w:cs="Times New Roman"/>
          <w:color w:val="auto"/>
          <w:szCs w:val="22"/>
          <w:lang w:val="pt-PT"/>
        </w:rPr>
        <w:t>0 </w:t>
      </w:r>
      <w:r w:rsidRPr="00110D6C">
        <w:rPr>
          <w:rFonts w:cs="Times New Roman"/>
          <w:color w:val="auto"/>
          <w:szCs w:val="22"/>
          <w:lang w:val="pt-PT"/>
        </w:rPr>
        <w:t>e ≤</w:t>
      </w:r>
      <w:r w:rsidR="00F5387C" w:rsidRPr="00110D6C">
        <w:rPr>
          <w:rFonts w:cs="Times New Roman"/>
          <w:color w:val="auto"/>
          <w:szCs w:val="22"/>
          <w:lang w:val="pt-PT"/>
        </w:rPr>
        <w:t> </w:t>
      </w:r>
      <w:r w:rsidRPr="00110D6C">
        <w:rPr>
          <w:rFonts w:cs="Times New Roman"/>
          <w:color w:val="auto"/>
          <w:szCs w:val="22"/>
          <w:lang w:val="pt-PT"/>
        </w:rPr>
        <w:t xml:space="preserve">450). O programa de desenvolvimento clínico consistiu em dois estudos de indução intravenosa de </w:t>
      </w:r>
      <w:r w:rsidR="00B910F9" w:rsidRPr="00110D6C">
        <w:rPr>
          <w:rFonts w:cs="Times New Roman"/>
          <w:color w:val="auto"/>
          <w:szCs w:val="22"/>
          <w:lang w:val="pt-PT"/>
        </w:rPr>
        <w:t>8 </w:t>
      </w:r>
      <w:r w:rsidRPr="00110D6C">
        <w:rPr>
          <w:rFonts w:cs="Times New Roman"/>
          <w:color w:val="auto"/>
          <w:szCs w:val="22"/>
          <w:lang w:val="pt-PT"/>
        </w:rPr>
        <w:t>semanas (UNITI-</w:t>
      </w:r>
      <w:r w:rsidR="00B910F9" w:rsidRPr="00110D6C">
        <w:rPr>
          <w:rFonts w:cs="Times New Roman"/>
          <w:color w:val="auto"/>
          <w:szCs w:val="22"/>
          <w:lang w:val="pt-PT"/>
        </w:rPr>
        <w:t>1 </w:t>
      </w:r>
      <w:r w:rsidRPr="00110D6C">
        <w:rPr>
          <w:rFonts w:cs="Times New Roman"/>
          <w:color w:val="auto"/>
          <w:szCs w:val="22"/>
          <w:lang w:val="pt-PT"/>
        </w:rPr>
        <w:t>e UNITI-2), seguidos de um estudo de manutenção de remissão aleatorizado (IM-UNITI) de 4</w:t>
      </w:r>
      <w:r w:rsidR="00B910F9" w:rsidRPr="00110D6C">
        <w:rPr>
          <w:rFonts w:cs="Times New Roman"/>
          <w:color w:val="auto"/>
          <w:szCs w:val="22"/>
          <w:lang w:val="pt-PT"/>
        </w:rPr>
        <w:t>4 </w:t>
      </w:r>
      <w:r w:rsidRPr="00110D6C">
        <w:rPr>
          <w:rFonts w:cs="Times New Roman"/>
          <w:color w:val="auto"/>
          <w:szCs w:val="22"/>
          <w:lang w:val="pt-PT"/>
        </w:rPr>
        <w:t>semanas, por via subcutânea, o que representa 5</w:t>
      </w:r>
      <w:r w:rsidR="00B910F9" w:rsidRPr="00110D6C">
        <w:rPr>
          <w:rFonts w:cs="Times New Roman"/>
          <w:color w:val="auto"/>
          <w:szCs w:val="22"/>
          <w:lang w:val="pt-PT"/>
        </w:rPr>
        <w:t>2 </w:t>
      </w:r>
      <w:r w:rsidRPr="00110D6C">
        <w:rPr>
          <w:rFonts w:cs="Times New Roman"/>
          <w:color w:val="auto"/>
          <w:szCs w:val="22"/>
          <w:lang w:val="pt-PT"/>
        </w:rPr>
        <w:t>semanas de terapêutica.</w:t>
      </w:r>
    </w:p>
    <w:p w14:paraId="51CF3DEC" w14:textId="77777777" w:rsidR="00E77794" w:rsidRPr="00110D6C" w:rsidRDefault="00E77794" w:rsidP="00A17623">
      <w:pPr>
        <w:widowControl/>
        <w:rPr>
          <w:rFonts w:cs="Times New Roman"/>
          <w:color w:val="auto"/>
          <w:szCs w:val="22"/>
          <w:lang w:val="pt-PT"/>
        </w:rPr>
      </w:pPr>
    </w:p>
    <w:p w14:paraId="168757BC" w14:textId="5BCFCE5E" w:rsidR="0077031F" w:rsidRPr="00110D6C" w:rsidRDefault="00030085" w:rsidP="00A17623">
      <w:pPr>
        <w:widowControl/>
        <w:rPr>
          <w:rFonts w:cs="Times New Roman"/>
          <w:color w:val="auto"/>
          <w:szCs w:val="22"/>
          <w:lang w:val="pt-PT"/>
        </w:rPr>
      </w:pPr>
      <w:r w:rsidRPr="00110D6C">
        <w:rPr>
          <w:rFonts w:cs="Times New Roman"/>
          <w:color w:val="auto"/>
          <w:szCs w:val="22"/>
          <w:lang w:val="pt-PT"/>
        </w:rPr>
        <w:t>Os estudos de indução incluíram 140</w:t>
      </w:r>
      <w:r w:rsidR="00B910F9" w:rsidRPr="00110D6C">
        <w:rPr>
          <w:rFonts w:cs="Times New Roman"/>
          <w:color w:val="auto"/>
          <w:szCs w:val="22"/>
          <w:lang w:val="pt-PT"/>
        </w:rPr>
        <w:t>9 </w:t>
      </w:r>
      <w:r w:rsidRPr="00110D6C">
        <w:rPr>
          <w:rFonts w:cs="Times New Roman"/>
          <w:color w:val="auto"/>
          <w:szCs w:val="22"/>
          <w:lang w:val="pt-PT"/>
        </w:rPr>
        <w:t>(UNITI-1, n</w:t>
      </w:r>
      <w:r w:rsidR="005562CC" w:rsidRPr="00110D6C">
        <w:rPr>
          <w:rFonts w:cs="Times New Roman"/>
          <w:color w:val="auto"/>
          <w:szCs w:val="22"/>
          <w:lang w:val="pt-PT"/>
        </w:rPr>
        <w:t> </w:t>
      </w:r>
      <w:r w:rsidRPr="00110D6C">
        <w:rPr>
          <w:rFonts w:cs="Times New Roman"/>
          <w:color w:val="auto"/>
          <w:szCs w:val="22"/>
          <w:lang w:val="pt-PT"/>
        </w:rPr>
        <w:t>=</w:t>
      </w:r>
      <w:r w:rsidR="005562CC" w:rsidRPr="00110D6C">
        <w:rPr>
          <w:rFonts w:cs="Times New Roman"/>
          <w:color w:val="auto"/>
          <w:szCs w:val="22"/>
          <w:lang w:val="pt-PT"/>
        </w:rPr>
        <w:t> </w:t>
      </w:r>
      <w:r w:rsidRPr="00110D6C">
        <w:rPr>
          <w:rFonts w:cs="Times New Roman"/>
          <w:color w:val="auto"/>
          <w:szCs w:val="22"/>
          <w:lang w:val="pt-PT"/>
        </w:rPr>
        <w:t>769; UNITI-</w:t>
      </w:r>
      <w:r w:rsidR="00B910F9" w:rsidRPr="00110D6C">
        <w:rPr>
          <w:rFonts w:cs="Times New Roman"/>
          <w:color w:val="auto"/>
          <w:szCs w:val="22"/>
          <w:lang w:val="pt-PT"/>
        </w:rPr>
        <w:t>2</w:t>
      </w:r>
      <w:r w:rsidR="005562CC" w:rsidRPr="00110D6C">
        <w:rPr>
          <w:rFonts w:cs="Times New Roman"/>
          <w:color w:val="auto"/>
          <w:szCs w:val="22"/>
          <w:lang w:val="pt-PT"/>
        </w:rPr>
        <w:t xml:space="preserve"> </w:t>
      </w:r>
      <w:r w:rsidRPr="00110D6C">
        <w:rPr>
          <w:rFonts w:cs="Times New Roman"/>
          <w:color w:val="auto"/>
          <w:szCs w:val="22"/>
          <w:lang w:val="pt-PT"/>
        </w:rPr>
        <w:t>n</w:t>
      </w:r>
      <w:r w:rsidR="005562CC" w:rsidRPr="00110D6C">
        <w:rPr>
          <w:rFonts w:cs="Times New Roman"/>
          <w:color w:val="auto"/>
          <w:szCs w:val="22"/>
          <w:lang w:val="pt-PT"/>
        </w:rPr>
        <w:t> </w:t>
      </w:r>
      <w:r w:rsidRPr="00110D6C">
        <w:rPr>
          <w:rFonts w:cs="Times New Roman"/>
          <w:color w:val="auto"/>
          <w:szCs w:val="22"/>
          <w:lang w:val="pt-PT"/>
        </w:rPr>
        <w:t>=</w:t>
      </w:r>
      <w:r w:rsidR="005562CC" w:rsidRPr="00110D6C">
        <w:rPr>
          <w:rFonts w:cs="Times New Roman"/>
          <w:color w:val="auto"/>
          <w:szCs w:val="22"/>
          <w:lang w:val="pt-PT"/>
        </w:rPr>
        <w:t> </w:t>
      </w:r>
      <w:r w:rsidRPr="00110D6C">
        <w:rPr>
          <w:rFonts w:cs="Times New Roman"/>
          <w:color w:val="auto"/>
          <w:szCs w:val="22"/>
          <w:lang w:val="pt-PT"/>
        </w:rPr>
        <w:t>640) doentes. O parâmetro de avaliação primário para ambos os estudos de indução foi a proporção de indivíduos com resposta clínica (definida como uma diminuição ≥</w:t>
      </w:r>
      <w:r w:rsidR="00982985" w:rsidRPr="00110D6C">
        <w:rPr>
          <w:rFonts w:cs="Times New Roman"/>
          <w:color w:val="auto"/>
          <w:szCs w:val="22"/>
          <w:lang w:val="pt-PT"/>
        </w:rPr>
        <w:t> </w:t>
      </w:r>
      <w:r w:rsidRPr="00110D6C">
        <w:rPr>
          <w:rFonts w:cs="Times New Roman"/>
          <w:color w:val="auto"/>
          <w:szCs w:val="22"/>
          <w:lang w:val="pt-PT"/>
        </w:rPr>
        <w:t>10</w:t>
      </w:r>
      <w:r w:rsidR="00B910F9" w:rsidRPr="00110D6C">
        <w:rPr>
          <w:rFonts w:cs="Times New Roman"/>
          <w:color w:val="auto"/>
          <w:szCs w:val="22"/>
          <w:lang w:val="pt-PT"/>
        </w:rPr>
        <w:t>0 </w:t>
      </w:r>
      <w:r w:rsidRPr="00110D6C">
        <w:rPr>
          <w:rFonts w:cs="Times New Roman"/>
          <w:color w:val="auto"/>
          <w:szCs w:val="22"/>
          <w:lang w:val="pt-PT"/>
        </w:rPr>
        <w:t>pontos na pontuação do CDAI) na semana</w:t>
      </w:r>
      <w:r w:rsidR="005562CC" w:rsidRPr="00110D6C">
        <w:rPr>
          <w:rFonts w:cs="Times New Roman"/>
          <w:color w:val="auto"/>
          <w:szCs w:val="22"/>
          <w:lang w:val="pt-PT"/>
        </w:rPr>
        <w:t> </w:t>
      </w:r>
      <w:r w:rsidRPr="00110D6C">
        <w:rPr>
          <w:rFonts w:cs="Times New Roman"/>
          <w:color w:val="auto"/>
          <w:szCs w:val="22"/>
          <w:lang w:val="pt-PT"/>
        </w:rPr>
        <w:t>6. Os dados de eficácia foram recolhidos e analisados até à semana</w:t>
      </w:r>
      <w:r w:rsidR="005562CC" w:rsidRPr="00110D6C">
        <w:rPr>
          <w:rFonts w:cs="Times New Roman"/>
          <w:color w:val="auto"/>
          <w:szCs w:val="22"/>
          <w:lang w:val="pt-PT"/>
        </w:rPr>
        <w:t> </w:t>
      </w:r>
      <w:r w:rsidR="00B910F9" w:rsidRPr="00110D6C">
        <w:rPr>
          <w:rFonts w:cs="Times New Roman"/>
          <w:color w:val="auto"/>
          <w:szCs w:val="22"/>
          <w:lang w:val="pt-PT"/>
        </w:rPr>
        <w:t>8</w:t>
      </w:r>
      <w:r w:rsidR="005562CC" w:rsidRPr="00110D6C">
        <w:rPr>
          <w:rFonts w:cs="Times New Roman"/>
          <w:color w:val="auto"/>
          <w:szCs w:val="22"/>
          <w:lang w:val="pt-PT"/>
        </w:rPr>
        <w:t xml:space="preserve"> </w:t>
      </w:r>
      <w:r w:rsidRPr="00110D6C">
        <w:rPr>
          <w:rFonts w:cs="Times New Roman"/>
          <w:color w:val="auto"/>
          <w:szCs w:val="22"/>
          <w:lang w:val="pt-PT"/>
        </w:rPr>
        <w:t xml:space="preserve">para ambos os estudos. Foram permitidas doses concomitantes de corticosteroides orais, imunomoduladores, aminosalicilatos e antibióticos, e 75% dos doentes continuaram a receber, pelo menos, um desses medicamentos. Em ambos os estudos, os doentes foram aleatorizados para receber uma administração intravenosa única de uma dose recomendada ajustada ao peso de, aproximadamente, </w:t>
      </w:r>
      <w:r w:rsidR="00B910F9" w:rsidRPr="00110D6C">
        <w:rPr>
          <w:rFonts w:cs="Times New Roman"/>
          <w:color w:val="auto"/>
          <w:szCs w:val="22"/>
          <w:lang w:val="pt-PT"/>
        </w:rPr>
        <w:t>6 </w:t>
      </w:r>
      <w:r w:rsidRPr="00110D6C">
        <w:rPr>
          <w:rFonts w:cs="Times New Roman"/>
          <w:color w:val="auto"/>
          <w:szCs w:val="22"/>
          <w:lang w:val="pt-PT"/>
        </w:rPr>
        <w:t>mg/kg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w:t>
      </w:r>
      <w:r w:rsidR="00B910F9" w:rsidRPr="00110D6C">
        <w:rPr>
          <w:rFonts w:cs="Times New Roman"/>
          <w:color w:val="auto"/>
          <w:szCs w:val="22"/>
          <w:lang w:val="pt-PT"/>
        </w:rPr>
        <w:t>2 </w:t>
      </w:r>
      <w:r w:rsidRPr="00110D6C">
        <w:rPr>
          <w:rFonts w:cs="Times New Roman"/>
          <w:color w:val="auto"/>
          <w:szCs w:val="22"/>
          <w:lang w:val="pt-PT"/>
        </w:rPr>
        <w:t xml:space="preserve">do RCM de </w:t>
      </w:r>
      <w:r w:rsidR="00D05FE6" w:rsidRPr="00110D6C">
        <w:rPr>
          <w:rFonts w:cs="Times New Roman"/>
          <w:color w:val="auto"/>
          <w:szCs w:val="22"/>
          <w:lang w:val="pt-PT"/>
        </w:rPr>
        <w:t>F</w:t>
      </w:r>
      <w:r w:rsidR="00291A38" w:rsidRPr="00110D6C">
        <w:rPr>
          <w:rFonts w:cs="Times New Roman"/>
          <w:color w:val="auto"/>
          <w:szCs w:val="22"/>
          <w:lang w:val="pt-PT"/>
        </w:rPr>
        <w:t>ymskina</w:t>
      </w:r>
      <w:r w:rsidRPr="00110D6C">
        <w:rPr>
          <w:rFonts w:cs="Times New Roman"/>
          <w:color w:val="auto"/>
          <w:szCs w:val="22"/>
          <w:lang w:val="pt-PT"/>
        </w:rPr>
        <w:t xml:space="preserve"> 13</w:t>
      </w:r>
      <w:r w:rsidR="00B910F9" w:rsidRPr="00110D6C">
        <w:rPr>
          <w:rFonts w:cs="Times New Roman"/>
          <w:color w:val="auto"/>
          <w:szCs w:val="22"/>
          <w:lang w:val="pt-PT"/>
        </w:rPr>
        <w:t>0 </w:t>
      </w:r>
      <w:r w:rsidRPr="00110D6C">
        <w:rPr>
          <w:rFonts w:cs="Times New Roman"/>
          <w:color w:val="auto"/>
          <w:szCs w:val="22"/>
          <w:lang w:val="pt-PT"/>
        </w:rPr>
        <w:t>mg Concentrado para solução para perfusão), uma dose fixa de 13</w:t>
      </w:r>
      <w:r w:rsidR="00B910F9" w:rsidRPr="00110D6C">
        <w:rPr>
          <w:rFonts w:cs="Times New Roman"/>
          <w:color w:val="auto"/>
          <w:szCs w:val="22"/>
          <w:lang w:val="pt-PT"/>
        </w:rPr>
        <w:t>0 </w:t>
      </w:r>
      <w:r w:rsidRPr="00110D6C">
        <w:rPr>
          <w:rFonts w:cs="Times New Roman"/>
          <w:color w:val="auto"/>
          <w:szCs w:val="22"/>
          <w:lang w:val="pt-PT"/>
        </w:rPr>
        <w:t>mg de ustecinumab ou placebo na semana</w:t>
      </w:r>
      <w:r w:rsidR="005562CC" w:rsidRPr="00110D6C">
        <w:rPr>
          <w:rFonts w:cs="Times New Roman"/>
          <w:color w:val="auto"/>
          <w:szCs w:val="22"/>
          <w:lang w:val="pt-PT"/>
        </w:rPr>
        <w:t> </w:t>
      </w:r>
      <w:r w:rsidRPr="00110D6C">
        <w:rPr>
          <w:rFonts w:cs="Times New Roman"/>
          <w:color w:val="auto"/>
          <w:szCs w:val="22"/>
          <w:lang w:val="pt-PT"/>
        </w:rPr>
        <w:t>0.</w:t>
      </w:r>
    </w:p>
    <w:p w14:paraId="613D8855" w14:textId="77777777" w:rsidR="00E77794" w:rsidRPr="00110D6C" w:rsidRDefault="00E77794" w:rsidP="00A17623">
      <w:pPr>
        <w:widowControl/>
        <w:rPr>
          <w:rFonts w:cs="Times New Roman"/>
          <w:color w:val="auto"/>
          <w:szCs w:val="22"/>
          <w:lang w:val="pt-PT"/>
        </w:rPr>
      </w:pPr>
    </w:p>
    <w:p w14:paraId="10A41832"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Os doentes no estudo UNITI-</w:t>
      </w:r>
      <w:r w:rsidR="00B910F9" w:rsidRPr="00110D6C">
        <w:rPr>
          <w:rFonts w:cs="Times New Roman"/>
          <w:color w:val="auto"/>
          <w:szCs w:val="22"/>
          <w:lang w:val="pt-PT"/>
        </w:rPr>
        <w:t>1 </w:t>
      </w:r>
      <w:r w:rsidRPr="00110D6C">
        <w:rPr>
          <w:rFonts w:cs="Times New Roman"/>
          <w:color w:val="auto"/>
          <w:szCs w:val="22"/>
          <w:lang w:val="pt-PT"/>
        </w:rPr>
        <w:t>apresentaram falência ou foram intolerantes à terapêutica prévia anti-TNF</w:t>
      </w:r>
      <w:r w:rsidR="00E77794" w:rsidRPr="00110D6C">
        <w:rPr>
          <w:rFonts w:cs="Times New Roman"/>
          <w:color w:val="auto"/>
          <w:szCs w:val="22"/>
          <w:lang w:val="pt-PT"/>
        </w:rPr>
        <w:t>α</w:t>
      </w:r>
      <w:r w:rsidRPr="00110D6C">
        <w:rPr>
          <w:rFonts w:cs="Times New Roman"/>
          <w:color w:val="auto"/>
          <w:szCs w:val="22"/>
          <w:lang w:val="pt-PT"/>
        </w:rPr>
        <w:t xml:space="preserve">. Aproximadamente 48% dos doentes apresentaram falência a </w:t>
      </w:r>
      <w:r w:rsidR="00B910F9" w:rsidRPr="00110D6C">
        <w:rPr>
          <w:rFonts w:cs="Times New Roman"/>
          <w:color w:val="auto"/>
          <w:szCs w:val="22"/>
          <w:lang w:val="pt-PT"/>
        </w:rPr>
        <w:t>1 </w:t>
      </w:r>
      <w:r w:rsidRPr="00110D6C">
        <w:rPr>
          <w:rFonts w:cs="Times New Roman"/>
          <w:color w:val="auto"/>
          <w:szCs w:val="22"/>
          <w:lang w:val="pt-PT"/>
        </w:rPr>
        <w:t>terapêutica prévia anti-TNF</w:t>
      </w:r>
      <w:r w:rsidR="00E77794" w:rsidRPr="00110D6C">
        <w:rPr>
          <w:rFonts w:cs="Times New Roman"/>
          <w:color w:val="auto"/>
          <w:szCs w:val="22"/>
          <w:lang w:val="pt-PT"/>
        </w:rPr>
        <w:t>α</w:t>
      </w:r>
      <w:r w:rsidRPr="00110D6C">
        <w:rPr>
          <w:rFonts w:cs="Times New Roman"/>
          <w:color w:val="auto"/>
          <w:szCs w:val="22"/>
          <w:lang w:val="pt-PT"/>
        </w:rPr>
        <w:t xml:space="preserve"> e </w:t>
      </w:r>
      <w:r w:rsidRPr="00110D6C">
        <w:rPr>
          <w:rFonts w:cs="Times New Roman"/>
          <w:color w:val="auto"/>
          <w:szCs w:val="22"/>
          <w:lang w:val="pt-PT"/>
        </w:rPr>
        <w:lastRenderedPageBreak/>
        <w:t xml:space="preserve">52% apresentaram falência a </w:t>
      </w:r>
      <w:r w:rsidR="00B910F9" w:rsidRPr="00110D6C">
        <w:rPr>
          <w:rFonts w:cs="Times New Roman"/>
          <w:color w:val="auto"/>
          <w:szCs w:val="22"/>
          <w:lang w:val="pt-PT"/>
        </w:rPr>
        <w:t>2 </w:t>
      </w:r>
      <w:r w:rsidRPr="00110D6C">
        <w:rPr>
          <w:rFonts w:cs="Times New Roman"/>
          <w:color w:val="auto"/>
          <w:szCs w:val="22"/>
          <w:lang w:val="pt-PT"/>
        </w:rPr>
        <w:t xml:space="preserve">ou </w:t>
      </w:r>
      <w:r w:rsidR="00B910F9" w:rsidRPr="00110D6C">
        <w:rPr>
          <w:rFonts w:cs="Times New Roman"/>
          <w:color w:val="auto"/>
          <w:szCs w:val="22"/>
          <w:lang w:val="pt-PT"/>
        </w:rPr>
        <w:t>3 </w:t>
      </w:r>
      <w:r w:rsidRPr="00110D6C">
        <w:rPr>
          <w:rFonts w:cs="Times New Roman"/>
          <w:color w:val="auto"/>
          <w:szCs w:val="22"/>
          <w:lang w:val="pt-PT"/>
        </w:rPr>
        <w:t>terapêuticas prévias anti-TNF</w:t>
      </w:r>
      <w:r w:rsidR="00A121D2" w:rsidRPr="00110D6C">
        <w:rPr>
          <w:rFonts w:cs="Times New Roman"/>
          <w:color w:val="auto"/>
          <w:szCs w:val="22"/>
          <w:lang w:val="pt-PT"/>
        </w:rPr>
        <w:t>α</w:t>
      </w:r>
      <w:r w:rsidRPr="00110D6C">
        <w:rPr>
          <w:rFonts w:cs="Times New Roman"/>
          <w:color w:val="auto"/>
          <w:szCs w:val="22"/>
          <w:lang w:val="pt-PT"/>
        </w:rPr>
        <w:t>. Neste estudo, 29,1% dos doentes tiveram uma resposta inicial inadequada (não respondedores primários), 69,4% responderam mas perderam a resposta (não respondedores secundários) e 36,4% foram intolerantes a terapêuticas anti-TNF</w:t>
      </w:r>
      <w:r w:rsidR="00E77794" w:rsidRPr="00110D6C">
        <w:rPr>
          <w:rFonts w:cs="Times New Roman"/>
          <w:color w:val="auto"/>
          <w:szCs w:val="22"/>
          <w:lang w:val="pt-PT"/>
        </w:rPr>
        <w:t>α</w:t>
      </w:r>
      <w:r w:rsidRPr="00110D6C">
        <w:rPr>
          <w:rFonts w:cs="Times New Roman"/>
          <w:color w:val="auto"/>
          <w:szCs w:val="22"/>
          <w:lang w:val="pt-PT"/>
        </w:rPr>
        <w:t>.</w:t>
      </w:r>
    </w:p>
    <w:p w14:paraId="0240FE8D" w14:textId="77777777" w:rsidR="00E77794" w:rsidRPr="00110D6C" w:rsidRDefault="00E77794" w:rsidP="00E77794">
      <w:pPr>
        <w:widowControl/>
        <w:rPr>
          <w:rFonts w:cs="Times New Roman"/>
          <w:color w:val="auto"/>
          <w:szCs w:val="22"/>
          <w:lang w:val="pt-PT"/>
        </w:rPr>
      </w:pPr>
    </w:p>
    <w:p w14:paraId="1272062C"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Os doentes no estudo UNITI-</w:t>
      </w:r>
      <w:r w:rsidR="00B910F9" w:rsidRPr="00110D6C">
        <w:rPr>
          <w:rFonts w:cs="Times New Roman"/>
          <w:color w:val="auto"/>
          <w:szCs w:val="22"/>
          <w:lang w:val="pt-PT"/>
        </w:rPr>
        <w:t>2 </w:t>
      </w:r>
      <w:r w:rsidRPr="00110D6C">
        <w:rPr>
          <w:rFonts w:cs="Times New Roman"/>
          <w:color w:val="auto"/>
          <w:szCs w:val="22"/>
          <w:lang w:val="pt-PT"/>
        </w:rPr>
        <w:t>tinham apresentado falência a, pelo menos, uma terapêutica convencional, incluindo corticosteroides ou imunomoduladores, e não tinham sido submetidos a uma terapêutica anti-TNF</w:t>
      </w:r>
      <w:r w:rsidR="00E77794" w:rsidRPr="00110D6C">
        <w:rPr>
          <w:rFonts w:cs="Times New Roman"/>
          <w:color w:val="auto"/>
          <w:szCs w:val="22"/>
          <w:lang w:val="pt-PT"/>
        </w:rPr>
        <w:t>α</w:t>
      </w:r>
      <w:r w:rsidRPr="00110D6C">
        <w:rPr>
          <w:rFonts w:cs="Times New Roman"/>
          <w:color w:val="auto"/>
          <w:szCs w:val="22"/>
          <w:lang w:val="pt-PT"/>
        </w:rPr>
        <w:t xml:space="preserve"> anteriormente (68,6%) ou tinham recebido terapêutica anti-TNF</w:t>
      </w:r>
      <w:r w:rsidR="00E77794" w:rsidRPr="00110D6C">
        <w:rPr>
          <w:rFonts w:cs="Times New Roman"/>
          <w:color w:val="auto"/>
          <w:szCs w:val="22"/>
          <w:lang w:val="pt-PT"/>
        </w:rPr>
        <w:t>α</w:t>
      </w:r>
      <w:r w:rsidRPr="00110D6C">
        <w:rPr>
          <w:rFonts w:cs="Times New Roman"/>
          <w:color w:val="auto"/>
          <w:szCs w:val="22"/>
          <w:lang w:val="pt-PT"/>
        </w:rPr>
        <w:t xml:space="preserve"> anteriormente mas não apresentaram falência à mesma (31,4%).</w:t>
      </w:r>
    </w:p>
    <w:p w14:paraId="3B637A23" w14:textId="77777777" w:rsidR="00E77794" w:rsidRPr="00110D6C" w:rsidRDefault="00E77794" w:rsidP="00E77794">
      <w:pPr>
        <w:widowControl/>
        <w:rPr>
          <w:rFonts w:cs="Times New Roman"/>
          <w:color w:val="auto"/>
          <w:szCs w:val="22"/>
          <w:lang w:val="pt-PT"/>
        </w:rPr>
      </w:pPr>
    </w:p>
    <w:p w14:paraId="72516B60" w14:textId="4E2CC0BE" w:rsidR="0077031F" w:rsidRPr="00110D6C" w:rsidRDefault="00030085" w:rsidP="00A17623">
      <w:pPr>
        <w:widowControl/>
        <w:rPr>
          <w:rFonts w:cs="Times New Roman"/>
          <w:color w:val="auto"/>
          <w:szCs w:val="22"/>
          <w:lang w:val="pt-PT"/>
        </w:rPr>
      </w:pPr>
      <w:r w:rsidRPr="00110D6C">
        <w:rPr>
          <w:rFonts w:cs="Times New Roman"/>
          <w:color w:val="auto"/>
          <w:szCs w:val="22"/>
          <w:lang w:val="pt-PT"/>
        </w:rPr>
        <w:t>Em ambos os estudos UNITI-</w:t>
      </w:r>
      <w:r w:rsidR="00B910F9" w:rsidRPr="00110D6C">
        <w:rPr>
          <w:rFonts w:cs="Times New Roman"/>
          <w:color w:val="auto"/>
          <w:szCs w:val="22"/>
          <w:lang w:val="pt-PT"/>
        </w:rPr>
        <w:t>1 </w:t>
      </w:r>
      <w:r w:rsidRPr="00110D6C">
        <w:rPr>
          <w:rFonts w:cs="Times New Roman"/>
          <w:color w:val="auto"/>
          <w:szCs w:val="22"/>
          <w:lang w:val="pt-PT"/>
        </w:rPr>
        <w:t>e UNITI-2, uma proporção significativamente maior de doentes apresentaram resposta e remissão clínica no grupo tratado com ustecinumab em comparação com o placebo (Tabela</w:t>
      </w:r>
      <w:r w:rsidR="00982985" w:rsidRPr="00110D6C">
        <w:rPr>
          <w:rFonts w:cs="Times New Roman"/>
          <w:color w:val="auto"/>
          <w:szCs w:val="22"/>
          <w:lang w:val="pt-PT"/>
        </w:rPr>
        <w:t> </w:t>
      </w:r>
      <w:r w:rsidR="00291A38">
        <w:rPr>
          <w:rFonts w:cs="Times New Roman"/>
          <w:color w:val="auto"/>
          <w:szCs w:val="22"/>
          <w:lang w:val="pt-PT"/>
        </w:rPr>
        <w:t>8</w:t>
      </w:r>
      <w:r w:rsidRPr="00110D6C">
        <w:rPr>
          <w:rFonts w:cs="Times New Roman"/>
          <w:color w:val="auto"/>
          <w:szCs w:val="22"/>
          <w:lang w:val="pt-PT"/>
        </w:rPr>
        <w:t>). A resposta e a remissão clínica foram significativas logo na semana</w:t>
      </w:r>
      <w:r w:rsidR="005562CC" w:rsidRPr="00110D6C">
        <w:rPr>
          <w:rFonts w:cs="Times New Roman"/>
          <w:color w:val="auto"/>
          <w:szCs w:val="22"/>
          <w:lang w:val="pt-PT"/>
        </w:rPr>
        <w:t> </w:t>
      </w:r>
      <w:r w:rsidR="00B910F9" w:rsidRPr="00110D6C">
        <w:rPr>
          <w:rFonts w:cs="Times New Roman"/>
          <w:color w:val="auto"/>
          <w:szCs w:val="22"/>
          <w:lang w:val="pt-PT"/>
        </w:rPr>
        <w:t>3</w:t>
      </w:r>
      <w:r w:rsidR="005562CC" w:rsidRPr="00110D6C">
        <w:rPr>
          <w:rFonts w:cs="Times New Roman"/>
          <w:color w:val="auto"/>
          <w:szCs w:val="22"/>
          <w:lang w:val="pt-PT"/>
        </w:rPr>
        <w:t xml:space="preserve"> </w:t>
      </w:r>
      <w:r w:rsidRPr="00110D6C">
        <w:rPr>
          <w:rFonts w:cs="Times New Roman"/>
          <w:color w:val="auto"/>
          <w:szCs w:val="22"/>
          <w:lang w:val="pt-PT"/>
        </w:rPr>
        <w:t>nos doentes tratados com ustecinumab e continuaram a melhorar até à semana</w:t>
      </w:r>
      <w:r w:rsidR="005562CC" w:rsidRPr="00110D6C">
        <w:rPr>
          <w:rFonts w:cs="Times New Roman"/>
          <w:color w:val="auto"/>
          <w:szCs w:val="22"/>
          <w:lang w:val="pt-PT"/>
        </w:rPr>
        <w:t> </w:t>
      </w:r>
      <w:r w:rsidRPr="00110D6C">
        <w:rPr>
          <w:rFonts w:cs="Times New Roman"/>
          <w:color w:val="auto"/>
          <w:szCs w:val="22"/>
          <w:lang w:val="pt-PT"/>
        </w:rPr>
        <w:t>8. Nestes estudos de indução, a eficácia foi mais elevada e melhor sustentada no grupo de dose ajustada ao peso em comparação com o grupo de dose de 13</w:t>
      </w:r>
      <w:r w:rsidR="00B910F9" w:rsidRPr="00110D6C">
        <w:rPr>
          <w:rFonts w:cs="Times New Roman"/>
          <w:color w:val="auto"/>
          <w:szCs w:val="22"/>
          <w:lang w:val="pt-PT"/>
        </w:rPr>
        <w:t>0 </w:t>
      </w:r>
      <w:r w:rsidRPr="00110D6C">
        <w:rPr>
          <w:rFonts w:cs="Times New Roman"/>
          <w:color w:val="auto"/>
          <w:szCs w:val="22"/>
          <w:lang w:val="pt-PT"/>
        </w:rPr>
        <w:t>mg, por conseguinte, a dose ajustada ao peso é a dose de indução intravenosa recomendada.</w:t>
      </w:r>
    </w:p>
    <w:p w14:paraId="389139D6" w14:textId="77777777" w:rsidR="00E77794" w:rsidRPr="00110D6C" w:rsidRDefault="00E77794" w:rsidP="00A17623">
      <w:pPr>
        <w:widowControl/>
        <w:rPr>
          <w:rFonts w:cs="Times New Roman"/>
          <w:color w:val="auto"/>
          <w:szCs w:val="22"/>
          <w:lang w:val="pt-PT"/>
        </w:rPr>
      </w:pPr>
    </w:p>
    <w:p w14:paraId="3664993D" w14:textId="25EB15A3" w:rsidR="0077031F" w:rsidRPr="00110D6C" w:rsidRDefault="00030085" w:rsidP="00E77794">
      <w:pPr>
        <w:keepNext/>
        <w:keepLines/>
        <w:widowControl/>
        <w:ind w:left="1134" w:hanging="1134"/>
        <w:rPr>
          <w:rFonts w:cs="Times New Roman"/>
          <w:color w:val="auto"/>
          <w:szCs w:val="22"/>
          <w:lang w:val="pt-PT"/>
        </w:rPr>
      </w:pPr>
      <w:r w:rsidRPr="00110D6C">
        <w:rPr>
          <w:rFonts w:cs="Times New Roman"/>
          <w:i/>
          <w:iCs/>
          <w:color w:val="auto"/>
          <w:szCs w:val="22"/>
          <w:lang w:val="pt-PT"/>
        </w:rPr>
        <w:t>Tabela</w:t>
      </w:r>
      <w:r w:rsidR="00982985" w:rsidRPr="00110D6C">
        <w:rPr>
          <w:rFonts w:cs="Times New Roman"/>
          <w:i/>
          <w:iCs/>
          <w:color w:val="auto"/>
          <w:szCs w:val="22"/>
          <w:lang w:val="pt-PT"/>
        </w:rPr>
        <w:t> </w:t>
      </w:r>
      <w:r w:rsidR="00291A38">
        <w:rPr>
          <w:rFonts w:cs="Times New Roman"/>
          <w:i/>
          <w:iCs/>
          <w:color w:val="auto"/>
          <w:szCs w:val="22"/>
          <w:lang w:val="pt-PT"/>
        </w:rPr>
        <w:t>8</w:t>
      </w:r>
      <w:r w:rsidRPr="00110D6C">
        <w:rPr>
          <w:rFonts w:cs="Times New Roman"/>
          <w:i/>
          <w:iCs/>
          <w:color w:val="auto"/>
          <w:szCs w:val="22"/>
          <w:lang w:val="pt-PT"/>
        </w:rPr>
        <w:t>:</w:t>
      </w:r>
      <w:r w:rsidRPr="00110D6C">
        <w:rPr>
          <w:rFonts w:cs="Times New Roman"/>
          <w:i/>
          <w:iCs/>
          <w:color w:val="auto"/>
          <w:szCs w:val="22"/>
          <w:lang w:val="pt-PT"/>
        </w:rPr>
        <w:tab/>
        <w:t>Indução de Resposta e Remissão Clínica nos Estudos UNITI-</w:t>
      </w:r>
      <w:r w:rsidR="00B910F9" w:rsidRPr="00110D6C">
        <w:rPr>
          <w:rFonts w:cs="Times New Roman"/>
          <w:i/>
          <w:iCs/>
          <w:color w:val="auto"/>
          <w:szCs w:val="22"/>
          <w:lang w:val="pt-PT"/>
        </w:rPr>
        <w:t>1 </w:t>
      </w:r>
      <w:r w:rsidRPr="00110D6C">
        <w:rPr>
          <w:rFonts w:cs="Times New Roman"/>
          <w:i/>
          <w:iCs/>
          <w:color w:val="auto"/>
          <w:szCs w:val="22"/>
          <w:lang w:val="pt-PT"/>
        </w:rPr>
        <w:t>e UNITI</w:t>
      </w:r>
      <w:r w:rsidR="006A79E5" w:rsidRPr="00110D6C">
        <w:rPr>
          <w:rFonts w:cs="Times New Roman"/>
          <w:i/>
          <w:iCs/>
          <w:color w:val="auto"/>
          <w:szCs w:val="22"/>
          <w:lang w:val="pt-PT"/>
        </w:rPr>
        <w:t> </w:t>
      </w:r>
      <w:r w:rsidRPr="00110D6C">
        <w:rPr>
          <w:rFonts w:cs="Times New Roman"/>
          <w:i/>
          <w:iCs/>
          <w:color w:val="auto"/>
          <w:szCs w:val="22"/>
          <w:lang w:val="pt-PT"/>
        </w:rPr>
        <w:t>2</w:t>
      </w:r>
    </w:p>
    <w:tbl>
      <w:tblPr>
        <w:tblOverlap w:val="never"/>
        <w:tblW w:w="0" w:type="auto"/>
        <w:tblLayout w:type="fixed"/>
        <w:tblLook w:val="04A0" w:firstRow="1" w:lastRow="0" w:firstColumn="1" w:lastColumn="0" w:noHBand="0" w:noVBand="1"/>
      </w:tblPr>
      <w:tblGrid>
        <w:gridCol w:w="3272"/>
        <w:gridCol w:w="1455"/>
        <w:gridCol w:w="1456"/>
        <w:gridCol w:w="1455"/>
        <w:gridCol w:w="1454"/>
        <w:gridCol w:w="6"/>
      </w:tblGrid>
      <w:tr w:rsidR="00056B50" w:rsidRPr="00110D6C" w14:paraId="50A4E92E" w14:textId="77777777" w:rsidTr="00056B50">
        <w:tc>
          <w:tcPr>
            <w:tcW w:w="3272" w:type="dxa"/>
            <w:tcBorders>
              <w:top w:val="single" w:sz="4" w:space="0" w:color="auto"/>
              <w:left w:val="single" w:sz="4" w:space="0" w:color="auto"/>
            </w:tcBorders>
            <w:shd w:val="clear" w:color="auto" w:fill="auto"/>
          </w:tcPr>
          <w:p w14:paraId="4C579279" w14:textId="77777777" w:rsidR="00056B50" w:rsidRPr="00110D6C" w:rsidRDefault="00056B50" w:rsidP="00E77794">
            <w:pPr>
              <w:keepNext/>
              <w:keepLines/>
              <w:widowControl/>
              <w:rPr>
                <w:rFonts w:cs="Times New Roman"/>
                <w:color w:val="auto"/>
                <w:szCs w:val="22"/>
                <w:lang w:val="pt-PT"/>
              </w:rPr>
            </w:pPr>
          </w:p>
        </w:tc>
        <w:tc>
          <w:tcPr>
            <w:tcW w:w="2911" w:type="dxa"/>
            <w:gridSpan w:val="2"/>
            <w:tcBorders>
              <w:top w:val="single" w:sz="4" w:space="0" w:color="auto"/>
              <w:left w:val="single" w:sz="4" w:space="0" w:color="auto"/>
            </w:tcBorders>
            <w:shd w:val="clear" w:color="auto" w:fill="auto"/>
          </w:tcPr>
          <w:p w14:paraId="569B1993" w14:textId="77777777" w:rsidR="00056B50" w:rsidRPr="00110D6C" w:rsidRDefault="00056B50" w:rsidP="00E77794">
            <w:pPr>
              <w:keepNext/>
              <w:keepLines/>
              <w:widowControl/>
              <w:jc w:val="center"/>
              <w:rPr>
                <w:rFonts w:cs="Times New Roman"/>
                <w:color w:val="auto"/>
                <w:szCs w:val="22"/>
                <w:lang w:val="pt-PT"/>
              </w:rPr>
            </w:pPr>
            <w:r w:rsidRPr="00110D6C">
              <w:rPr>
                <w:rFonts w:cs="Times New Roman"/>
                <w:b/>
                <w:bCs/>
                <w:color w:val="auto"/>
                <w:szCs w:val="22"/>
                <w:lang w:val="pt-PT"/>
              </w:rPr>
              <w:t>UNITI-1</w:t>
            </w:r>
            <w:r w:rsidRPr="00110D6C">
              <w:rPr>
                <w:rFonts w:cs="Times New Roman"/>
                <w:i/>
                <w:iCs/>
                <w:color w:val="auto"/>
                <w:szCs w:val="22"/>
                <w:lang w:val="pt-PT"/>
              </w:rPr>
              <w:t>*</w:t>
            </w:r>
          </w:p>
        </w:tc>
        <w:tc>
          <w:tcPr>
            <w:tcW w:w="2914" w:type="dxa"/>
            <w:gridSpan w:val="3"/>
            <w:tcBorders>
              <w:top w:val="single" w:sz="4" w:space="0" w:color="auto"/>
              <w:left w:val="single" w:sz="4" w:space="0" w:color="auto"/>
              <w:right w:val="single" w:sz="4" w:space="0" w:color="auto"/>
            </w:tcBorders>
            <w:shd w:val="clear" w:color="auto" w:fill="auto"/>
          </w:tcPr>
          <w:p w14:paraId="173112A4" w14:textId="77777777" w:rsidR="00056B50" w:rsidRPr="00110D6C" w:rsidRDefault="00056B50" w:rsidP="00056B50">
            <w:pPr>
              <w:keepNext/>
              <w:keepLines/>
              <w:widowControl/>
              <w:jc w:val="center"/>
              <w:rPr>
                <w:rFonts w:cs="Times New Roman"/>
                <w:color w:val="auto"/>
                <w:szCs w:val="22"/>
                <w:lang w:val="pt-PT"/>
              </w:rPr>
            </w:pPr>
            <w:r w:rsidRPr="00110D6C">
              <w:rPr>
                <w:rFonts w:cs="Times New Roman"/>
                <w:b/>
                <w:bCs/>
                <w:color w:val="auto"/>
                <w:szCs w:val="22"/>
                <w:lang w:val="pt-PT"/>
              </w:rPr>
              <w:t>UNITI-2</w:t>
            </w:r>
            <w:r w:rsidRPr="00110D6C">
              <w:rPr>
                <w:rFonts w:cs="Times New Roman"/>
                <w:i/>
                <w:iCs/>
                <w:color w:val="auto"/>
                <w:szCs w:val="22"/>
                <w:lang w:val="pt-PT"/>
              </w:rPr>
              <w:t>**</w:t>
            </w:r>
          </w:p>
        </w:tc>
      </w:tr>
      <w:tr w:rsidR="0077031F" w:rsidRPr="00110D6C" w14:paraId="0A26845A" w14:textId="77777777" w:rsidTr="00056B50">
        <w:tc>
          <w:tcPr>
            <w:tcW w:w="3272" w:type="dxa"/>
            <w:tcBorders>
              <w:top w:val="single" w:sz="4" w:space="0" w:color="auto"/>
              <w:left w:val="single" w:sz="4" w:space="0" w:color="auto"/>
            </w:tcBorders>
            <w:shd w:val="clear" w:color="auto" w:fill="auto"/>
          </w:tcPr>
          <w:p w14:paraId="61926E1D" w14:textId="77777777" w:rsidR="0077031F" w:rsidRPr="00110D6C" w:rsidRDefault="0077031F" w:rsidP="00E77794">
            <w:pPr>
              <w:keepNext/>
              <w:keepLines/>
              <w:widowControl/>
              <w:rPr>
                <w:rFonts w:cs="Times New Roman"/>
                <w:color w:val="auto"/>
                <w:szCs w:val="22"/>
                <w:lang w:val="pt-PT"/>
              </w:rPr>
            </w:pPr>
          </w:p>
        </w:tc>
        <w:tc>
          <w:tcPr>
            <w:tcW w:w="1455" w:type="dxa"/>
            <w:tcBorders>
              <w:top w:val="single" w:sz="4" w:space="0" w:color="auto"/>
              <w:left w:val="single" w:sz="4" w:space="0" w:color="auto"/>
            </w:tcBorders>
            <w:shd w:val="clear" w:color="auto" w:fill="auto"/>
          </w:tcPr>
          <w:p w14:paraId="499737A9" w14:textId="77777777" w:rsidR="0077031F" w:rsidRPr="00110D6C" w:rsidRDefault="00030085" w:rsidP="00E77794">
            <w:pPr>
              <w:keepNext/>
              <w:keepLines/>
              <w:widowControl/>
              <w:jc w:val="center"/>
              <w:rPr>
                <w:rFonts w:cs="Times New Roman"/>
                <w:color w:val="auto"/>
                <w:szCs w:val="22"/>
                <w:lang w:val="pt-PT"/>
              </w:rPr>
            </w:pPr>
            <w:r w:rsidRPr="00110D6C">
              <w:rPr>
                <w:rFonts w:cs="Times New Roman"/>
                <w:b/>
                <w:bCs/>
                <w:color w:val="auto"/>
                <w:szCs w:val="22"/>
                <w:lang w:val="pt-PT"/>
              </w:rPr>
              <w:t>Placebo N</w:t>
            </w:r>
            <w:r w:rsidR="005562CC" w:rsidRPr="00110D6C">
              <w:rPr>
                <w:rFonts w:cs="Times New Roman"/>
                <w:b/>
                <w:bCs/>
                <w:color w:val="auto"/>
                <w:szCs w:val="22"/>
                <w:lang w:val="pt-PT"/>
              </w:rPr>
              <w:t> </w:t>
            </w:r>
            <w:r w:rsidRPr="00110D6C">
              <w:rPr>
                <w:rFonts w:cs="Times New Roman"/>
                <w:b/>
                <w:bCs/>
                <w:color w:val="auto"/>
                <w:szCs w:val="22"/>
                <w:lang w:val="pt-PT"/>
              </w:rPr>
              <w:t>=</w:t>
            </w:r>
            <w:r w:rsidR="005562CC" w:rsidRPr="00110D6C">
              <w:rPr>
                <w:rFonts w:cs="Times New Roman"/>
                <w:b/>
                <w:bCs/>
                <w:color w:val="auto"/>
                <w:szCs w:val="22"/>
                <w:lang w:val="pt-PT"/>
              </w:rPr>
              <w:t> </w:t>
            </w:r>
            <w:r w:rsidRPr="00110D6C">
              <w:rPr>
                <w:rFonts w:cs="Times New Roman"/>
                <w:b/>
                <w:bCs/>
                <w:color w:val="auto"/>
                <w:szCs w:val="22"/>
                <w:lang w:val="pt-PT"/>
              </w:rPr>
              <w:t>247</w:t>
            </w:r>
          </w:p>
        </w:tc>
        <w:tc>
          <w:tcPr>
            <w:tcW w:w="1455" w:type="dxa"/>
            <w:tcBorders>
              <w:top w:val="single" w:sz="4" w:space="0" w:color="auto"/>
              <w:left w:val="single" w:sz="4" w:space="0" w:color="auto"/>
            </w:tcBorders>
            <w:shd w:val="clear" w:color="auto" w:fill="auto"/>
          </w:tcPr>
          <w:p w14:paraId="493F222A" w14:textId="77777777" w:rsidR="0077031F" w:rsidRPr="00110D6C" w:rsidRDefault="00030085" w:rsidP="00E77794">
            <w:pPr>
              <w:keepNext/>
              <w:keepLines/>
              <w:widowControl/>
              <w:jc w:val="center"/>
              <w:rPr>
                <w:rFonts w:cs="Times New Roman"/>
                <w:color w:val="auto"/>
                <w:szCs w:val="22"/>
                <w:lang w:val="pt-PT"/>
              </w:rPr>
            </w:pPr>
            <w:r w:rsidRPr="00110D6C">
              <w:rPr>
                <w:rFonts w:cs="Times New Roman"/>
                <w:b/>
                <w:bCs/>
                <w:color w:val="auto"/>
                <w:szCs w:val="22"/>
                <w:lang w:val="pt-PT"/>
              </w:rPr>
              <w:t>Dose recomendada de ustecinumab N</w:t>
            </w:r>
            <w:r w:rsidR="005562CC" w:rsidRPr="00110D6C">
              <w:rPr>
                <w:rFonts w:cs="Times New Roman"/>
                <w:b/>
                <w:bCs/>
                <w:color w:val="auto"/>
                <w:szCs w:val="22"/>
                <w:lang w:val="pt-PT"/>
              </w:rPr>
              <w:t> </w:t>
            </w:r>
            <w:r w:rsidRPr="00110D6C">
              <w:rPr>
                <w:rFonts w:cs="Times New Roman"/>
                <w:b/>
                <w:bCs/>
                <w:color w:val="auto"/>
                <w:szCs w:val="22"/>
                <w:lang w:val="pt-PT"/>
              </w:rPr>
              <w:t>=</w:t>
            </w:r>
            <w:r w:rsidR="005562CC" w:rsidRPr="00110D6C">
              <w:rPr>
                <w:rFonts w:cs="Times New Roman"/>
                <w:b/>
                <w:bCs/>
                <w:color w:val="auto"/>
                <w:szCs w:val="22"/>
                <w:lang w:val="pt-PT"/>
              </w:rPr>
              <w:t> </w:t>
            </w:r>
            <w:r w:rsidRPr="00110D6C">
              <w:rPr>
                <w:rFonts w:cs="Times New Roman"/>
                <w:b/>
                <w:bCs/>
                <w:color w:val="auto"/>
                <w:szCs w:val="22"/>
                <w:lang w:val="pt-PT"/>
              </w:rPr>
              <w:t>249</w:t>
            </w:r>
          </w:p>
        </w:tc>
        <w:tc>
          <w:tcPr>
            <w:tcW w:w="1455" w:type="dxa"/>
            <w:tcBorders>
              <w:top w:val="single" w:sz="4" w:space="0" w:color="auto"/>
              <w:left w:val="single" w:sz="4" w:space="0" w:color="auto"/>
            </w:tcBorders>
            <w:shd w:val="clear" w:color="auto" w:fill="auto"/>
          </w:tcPr>
          <w:p w14:paraId="160E81F2" w14:textId="77777777" w:rsidR="0077031F" w:rsidRPr="00110D6C" w:rsidRDefault="00030085" w:rsidP="00E77794">
            <w:pPr>
              <w:keepNext/>
              <w:keepLines/>
              <w:widowControl/>
              <w:jc w:val="center"/>
              <w:rPr>
                <w:rFonts w:cs="Times New Roman"/>
                <w:color w:val="auto"/>
                <w:szCs w:val="22"/>
                <w:lang w:val="pt-PT"/>
              </w:rPr>
            </w:pPr>
            <w:r w:rsidRPr="00110D6C">
              <w:rPr>
                <w:rFonts w:cs="Times New Roman"/>
                <w:b/>
                <w:bCs/>
                <w:color w:val="auto"/>
                <w:szCs w:val="22"/>
                <w:lang w:val="pt-PT"/>
              </w:rPr>
              <w:t>Placebo N</w:t>
            </w:r>
            <w:r w:rsidR="005562CC" w:rsidRPr="00110D6C">
              <w:rPr>
                <w:rFonts w:cs="Times New Roman"/>
                <w:b/>
                <w:bCs/>
                <w:color w:val="auto"/>
                <w:szCs w:val="22"/>
                <w:lang w:val="pt-PT"/>
              </w:rPr>
              <w:t> </w:t>
            </w:r>
            <w:r w:rsidRPr="00110D6C">
              <w:rPr>
                <w:rFonts w:cs="Times New Roman"/>
                <w:b/>
                <w:bCs/>
                <w:color w:val="auto"/>
                <w:szCs w:val="22"/>
                <w:lang w:val="pt-PT"/>
              </w:rPr>
              <w:t>=</w:t>
            </w:r>
            <w:r w:rsidR="005562CC" w:rsidRPr="00110D6C">
              <w:rPr>
                <w:rFonts w:cs="Times New Roman"/>
                <w:b/>
                <w:bCs/>
                <w:color w:val="auto"/>
                <w:szCs w:val="22"/>
                <w:lang w:val="pt-PT"/>
              </w:rPr>
              <w:t> </w:t>
            </w:r>
            <w:r w:rsidRPr="00110D6C">
              <w:rPr>
                <w:rFonts w:cs="Times New Roman"/>
                <w:b/>
                <w:bCs/>
                <w:color w:val="auto"/>
                <w:szCs w:val="22"/>
                <w:lang w:val="pt-PT"/>
              </w:rPr>
              <w:t>209</w:t>
            </w:r>
          </w:p>
        </w:tc>
        <w:tc>
          <w:tcPr>
            <w:tcW w:w="1460" w:type="dxa"/>
            <w:gridSpan w:val="2"/>
            <w:tcBorders>
              <w:top w:val="single" w:sz="4" w:space="0" w:color="auto"/>
              <w:left w:val="single" w:sz="4" w:space="0" w:color="auto"/>
              <w:right w:val="single" w:sz="4" w:space="0" w:color="auto"/>
            </w:tcBorders>
            <w:shd w:val="clear" w:color="auto" w:fill="auto"/>
          </w:tcPr>
          <w:p w14:paraId="459BEED7" w14:textId="77777777" w:rsidR="0077031F" w:rsidRPr="00110D6C" w:rsidRDefault="00030085" w:rsidP="00E77794">
            <w:pPr>
              <w:keepNext/>
              <w:keepLines/>
              <w:widowControl/>
              <w:jc w:val="center"/>
              <w:rPr>
                <w:rFonts w:cs="Times New Roman"/>
                <w:color w:val="auto"/>
                <w:szCs w:val="22"/>
                <w:lang w:val="pt-PT"/>
              </w:rPr>
            </w:pPr>
            <w:r w:rsidRPr="00110D6C">
              <w:rPr>
                <w:rFonts w:cs="Times New Roman"/>
                <w:b/>
                <w:bCs/>
                <w:color w:val="auto"/>
                <w:szCs w:val="22"/>
                <w:lang w:val="pt-PT"/>
              </w:rPr>
              <w:t>Dose recomendada de ustecinumab N</w:t>
            </w:r>
            <w:r w:rsidR="005562CC" w:rsidRPr="00110D6C">
              <w:rPr>
                <w:rFonts w:cs="Times New Roman"/>
                <w:b/>
                <w:bCs/>
                <w:color w:val="auto"/>
                <w:szCs w:val="22"/>
                <w:lang w:val="pt-PT"/>
              </w:rPr>
              <w:t> </w:t>
            </w:r>
            <w:r w:rsidRPr="00110D6C">
              <w:rPr>
                <w:rFonts w:cs="Times New Roman"/>
                <w:b/>
                <w:bCs/>
                <w:color w:val="auto"/>
                <w:szCs w:val="22"/>
                <w:lang w:val="pt-PT"/>
              </w:rPr>
              <w:t>=</w:t>
            </w:r>
            <w:r w:rsidR="005562CC" w:rsidRPr="00110D6C">
              <w:rPr>
                <w:rFonts w:cs="Times New Roman"/>
                <w:b/>
                <w:bCs/>
                <w:color w:val="auto"/>
                <w:szCs w:val="22"/>
                <w:lang w:val="pt-PT"/>
              </w:rPr>
              <w:t> </w:t>
            </w:r>
            <w:r w:rsidRPr="00110D6C">
              <w:rPr>
                <w:rFonts w:cs="Times New Roman"/>
                <w:b/>
                <w:bCs/>
                <w:color w:val="auto"/>
                <w:szCs w:val="22"/>
                <w:lang w:val="pt-PT"/>
              </w:rPr>
              <w:t>209</w:t>
            </w:r>
          </w:p>
        </w:tc>
      </w:tr>
      <w:tr w:rsidR="0077031F" w:rsidRPr="00110D6C" w14:paraId="1B51E3E7" w14:textId="77777777" w:rsidTr="00056B50">
        <w:tc>
          <w:tcPr>
            <w:tcW w:w="3272" w:type="dxa"/>
            <w:tcBorders>
              <w:top w:val="single" w:sz="4" w:space="0" w:color="auto"/>
              <w:left w:val="single" w:sz="4" w:space="0" w:color="auto"/>
            </w:tcBorders>
            <w:shd w:val="clear" w:color="auto" w:fill="auto"/>
          </w:tcPr>
          <w:p w14:paraId="02B026CC" w14:textId="77777777" w:rsidR="0077031F" w:rsidRPr="00110D6C" w:rsidRDefault="00030085" w:rsidP="005562CC">
            <w:pPr>
              <w:keepNext/>
              <w:keepLines/>
              <w:widowControl/>
              <w:rPr>
                <w:rFonts w:cs="Times New Roman"/>
                <w:color w:val="auto"/>
                <w:szCs w:val="22"/>
                <w:lang w:val="pt-PT"/>
              </w:rPr>
            </w:pPr>
            <w:r w:rsidRPr="00110D6C">
              <w:rPr>
                <w:rFonts w:cs="Times New Roman"/>
                <w:color w:val="auto"/>
                <w:szCs w:val="22"/>
                <w:lang w:val="pt-PT"/>
              </w:rPr>
              <w:t>Remissão clínica, semana</w:t>
            </w:r>
            <w:r w:rsidR="005562CC" w:rsidRPr="00110D6C">
              <w:rPr>
                <w:rFonts w:cs="Times New Roman"/>
                <w:color w:val="auto"/>
                <w:szCs w:val="22"/>
                <w:lang w:val="pt-PT"/>
              </w:rPr>
              <w:t> </w:t>
            </w:r>
            <w:r w:rsidRPr="00110D6C">
              <w:rPr>
                <w:rFonts w:cs="Times New Roman"/>
                <w:color w:val="auto"/>
                <w:szCs w:val="22"/>
                <w:lang w:val="pt-PT"/>
              </w:rPr>
              <w:t>8</w:t>
            </w:r>
          </w:p>
        </w:tc>
        <w:tc>
          <w:tcPr>
            <w:tcW w:w="1455" w:type="dxa"/>
            <w:tcBorders>
              <w:top w:val="single" w:sz="4" w:space="0" w:color="auto"/>
              <w:left w:val="single" w:sz="4" w:space="0" w:color="auto"/>
            </w:tcBorders>
            <w:shd w:val="clear" w:color="auto" w:fill="auto"/>
          </w:tcPr>
          <w:p w14:paraId="3ACD1921" w14:textId="77777777" w:rsidR="0077031F" w:rsidRPr="00110D6C" w:rsidRDefault="00030085" w:rsidP="005562CC">
            <w:pPr>
              <w:keepNext/>
              <w:keepLines/>
              <w:widowControl/>
              <w:jc w:val="center"/>
              <w:rPr>
                <w:rFonts w:cs="Times New Roman"/>
                <w:color w:val="auto"/>
                <w:szCs w:val="22"/>
                <w:lang w:val="pt-PT"/>
              </w:rPr>
            </w:pPr>
            <w:r w:rsidRPr="00110D6C">
              <w:rPr>
                <w:rFonts w:cs="Times New Roman"/>
                <w:color w:val="auto"/>
                <w:szCs w:val="22"/>
                <w:lang w:val="pt-PT"/>
              </w:rPr>
              <w:t>1</w:t>
            </w:r>
            <w:r w:rsidR="00B910F9" w:rsidRPr="00110D6C">
              <w:rPr>
                <w:rFonts w:cs="Times New Roman"/>
                <w:color w:val="auto"/>
                <w:szCs w:val="22"/>
                <w:lang w:val="pt-PT"/>
              </w:rPr>
              <w:t>8</w:t>
            </w:r>
            <w:r w:rsidR="005562CC" w:rsidRPr="00110D6C">
              <w:rPr>
                <w:rFonts w:cs="Times New Roman"/>
                <w:color w:val="auto"/>
                <w:szCs w:val="22"/>
                <w:lang w:val="pt-PT"/>
              </w:rPr>
              <w:t xml:space="preserve"> </w:t>
            </w:r>
            <w:r w:rsidRPr="00110D6C">
              <w:rPr>
                <w:rFonts w:cs="Times New Roman"/>
                <w:color w:val="auto"/>
                <w:szCs w:val="22"/>
                <w:lang w:val="pt-PT"/>
              </w:rPr>
              <w:t>(7,3%)</w:t>
            </w:r>
          </w:p>
        </w:tc>
        <w:tc>
          <w:tcPr>
            <w:tcW w:w="1455" w:type="dxa"/>
            <w:tcBorders>
              <w:top w:val="single" w:sz="4" w:space="0" w:color="auto"/>
              <w:left w:val="single" w:sz="4" w:space="0" w:color="auto"/>
            </w:tcBorders>
            <w:shd w:val="clear" w:color="auto" w:fill="auto"/>
          </w:tcPr>
          <w:p w14:paraId="6949E998" w14:textId="77777777" w:rsidR="0077031F" w:rsidRPr="00110D6C" w:rsidRDefault="00030085" w:rsidP="005562CC">
            <w:pPr>
              <w:keepNext/>
              <w:keepLines/>
              <w:widowControl/>
              <w:jc w:val="center"/>
              <w:rPr>
                <w:rFonts w:cs="Times New Roman"/>
                <w:color w:val="auto"/>
                <w:szCs w:val="22"/>
                <w:lang w:val="pt-PT"/>
              </w:rPr>
            </w:pPr>
            <w:r w:rsidRPr="00110D6C">
              <w:rPr>
                <w:rFonts w:cs="Times New Roman"/>
                <w:color w:val="auto"/>
                <w:szCs w:val="22"/>
                <w:lang w:val="pt-PT"/>
              </w:rPr>
              <w:t>5</w:t>
            </w:r>
            <w:r w:rsidR="00B910F9" w:rsidRPr="00110D6C">
              <w:rPr>
                <w:rFonts w:cs="Times New Roman"/>
                <w:color w:val="auto"/>
                <w:szCs w:val="22"/>
                <w:lang w:val="pt-PT"/>
              </w:rPr>
              <w:t>2</w:t>
            </w:r>
            <w:r w:rsidR="005562CC" w:rsidRPr="00110D6C">
              <w:rPr>
                <w:rFonts w:cs="Times New Roman"/>
                <w:color w:val="auto"/>
                <w:szCs w:val="22"/>
                <w:lang w:val="pt-PT"/>
              </w:rPr>
              <w:t xml:space="preserve"> </w:t>
            </w:r>
            <w:r w:rsidRPr="00110D6C">
              <w:rPr>
                <w:rFonts w:cs="Times New Roman"/>
                <w:color w:val="auto"/>
                <w:szCs w:val="22"/>
                <w:lang w:val="pt-PT"/>
              </w:rPr>
              <w:t>(20,9%)</w:t>
            </w:r>
            <w:r w:rsidRPr="00110D6C">
              <w:rPr>
                <w:rFonts w:cs="Times New Roman"/>
                <w:color w:val="auto"/>
                <w:szCs w:val="22"/>
                <w:vertAlign w:val="superscript"/>
                <w:lang w:val="pt-PT"/>
              </w:rPr>
              <w:t>a</w:t>
            </w:r>
          </w:p>
        </w:tc>
        <w:tc>
          <w:tcPr>
            <w:tcW w:w="1455" w:type="dxa"/>
            <w:tcBorders>
              <w:top w:val="single" w:sz="4" w:space="0" w:color="auto"/>
              <w:left w:val="single" w:sz="4" w:space="0" w:color="auto"/>
            </w:tcBorders>
            <w:shd w:val="clear" w:color="auto" w:fill="auto"/>
          </w:tcPr>
          <w:p w14:paraId="53935E8F" w14:textId="77777777" w:rsidR="0077031F" w:rsidRPr="00110D6C" w:rsidRDefault="00030085" w:rsidP="005562CC">
            <w:pPr>
              <w:keepNext/>
              <w:keepLines/>
              <w:widowControl/>
              <w:jc w:val="center"/>
              <w:rPr>
                <w:rFonts w:cs="Times New Roman"/>
                <w:color w:val="auto"/>
                <w:szCs w:val="22"/>
                <w:lang w:val="pt-PT"/>
              </w:rPr>
            </w:pPr>
            <w:r w:rsidRPr="00110D6C">
              <w:rPr>
                <w:rFonts w:cs="Times New Roman"/>
                <w:color w:val="auto"/>
                <w:szCs w:val="22"/>
                <w:lang w:val="pt-PT"/>
              </w:rPr>
              <w:t>4</w:t>
            </w:r>
            <w:r w:rsidR="00B910F9" w:rsidRPr="00110D6C">
              <w:rPr>
                <w:rFonts w:cs="Times New Roman"/>
                <w:color w:val="auto"/>
                <w:szCs w:val="22"/>
                <w:lang w:val="pt-PT"/>
              </w:rPr>
              <w:t>1</w:t>
            </w:r>
            <w:r w:rsidR="005562CC" w:rsidRPr="00110D6C">
              <w:rPr>
                <w:rFonts w:cs="Times New Roman"/>
                <w:color w:val="auto"/>
                <w:szCs w:val="22"/>
                <w:lang w:val="pt-PT"/>
              </w:rPr>
              <w:t xml:space="preserve"> </w:t>
            </w:r>
            <w:r w:rsidRPr="00110D6C">
              <w:rPr>
                <w:rFonts w:cs="Times New Roman"/>
                <w:color w:val="auto"/>
                <w:szCs w:val="22"/>
                <w:lang w:val="pt-PT"/>
              </w:rPr>
              <w:t>(19,6%)</w:t>
            </w:r>
          </w:p>
        </w:tc>
        <w:tc>
          <w:tcPr>
            <w:tcW w:w="1460" w:type="dxa"/>
            <w:gridSpan w:val="2"/>
            <w:tcBorders>
              <w:top w:val="single" w:sz="4" w:space="0" w:color="auto"/>
              <w:left w:val="single" w:sz="4" w:space="0" w:color="auto"/>
              <w:right w:val="single" w:sz="4" w:space="0" w:color="auto"/>
            </w:tcBorders>
            <w:shd w:val="clear" w:color="auto" w:fill="auto"/>
          </w:tcPr>
          <w:p w14:paraId="579F74D5" w14:textId="77777777" w:rsidR="0077031F" w:rsidRPr="00110D6C" w:rsidRDefault="00030085" w:rsidP="005562CC">
            <w:pPr>
              <w:keepNext/>
              <w:keepLines/>
              <w:widowControl/>
              <w:jc w:val="center"/>
              <w:rPr>
                <w:rFonts w:cs="Times New Roman"/>
                <w:color w:val="auto"/>
                <w:szCs w:val="22"/>
                <w:lang w:val="pt-PT"/>
              </w:rPr>
            </w:pPr>
            <w:r w:rsidRPr="00110D6C">
              <w:rPr>
                <w:rFonts w:cs="Times New Roman"/>
                <w:color w:val="auto"/>
                <w:szCs w:val="22"/>
                <w:lang w:val="pt-PT"/>
              </w:rPr>
              <w:t>8</w:t>
            </w:r>
            <w:r w:rsidR="00B910F9" w:rsidRPr="00110D6C">
              <w:rPr>
                <w:rFonts w:cs="Times New Roman"/>
                <w:color w:val="auto"/>
                <w:szCs w:val="22"/>
                <w:lang w:val="pt-PT"/>
              </w:rPr>
              <w:t>4</w:t>
            </w:r>
            <w:r w:rsidR="005562CC" w:rsidRPr="00110D6C">
              <w:rPr>
                <w:rFonts w:cs="Times New Roman"/>
                <w:color w:val="auto"/>
                <w:szCs w:val="22"/>
                <w:lang w:val="pt-PT"/>
              </w:rPr>
              <w:t xml:space="preserve"> </w:t>
            </w:r>
            <w:r w:rsidRPr="00110D6C">
              <w:rPr>
                <w:rFonts w:cs="Times New Roman"/>
                <w:color w:val="auto"/>
                <w:szCs w:val="22"/>
                <w:lang w:val="pt-PT"/>
              </w:rPr>
              <w:t>(40,2%)</w:t>
            </w:r>
            <w:r w:rsidRPr="00110D6C">
              <w:rPr>
                <w:rFonts w:cs="Times New Roman"/>
                <w:color w:val="auto"/>
                <w:szCs w:val="22"/>
                <w:vertAlign w:val="superscript"/>
                <w:lang w:val="pt-PT"/>
              </w:rPr>
              <w:t>a</w:t>
            </w:r>
          </w:p>
        </w:tc>
      </w:tr>
      <w:tr w:rsidR="0077031F" w:rsidRPr="00110D6C" w14:paraId="0BA703C0" w14:textId="77777777" w:rsidTr="00056B50">
        <w:tc>
          <w:tcPr>
            <w:tcW w:w="3272" w:type="dxa"/>
            <w:tcBorders>
              <w:top w:val="single" w:sz="4" w:space="0" w:color="auto"/>
              <w:left w:val="single" w:sz="4" w:space="0" w:color="auto"/>
            </w:tcBorders>
            <w:shd w:val="clear" w:color="auto" w:fill="auto"/>
          </w:tcPr>
          <w:p w14:paraId="2FA0C433" w14:textId="77777777" w:rsidR="0077031F" w:rsidRPr="00110D6C" w:rsidRDefault="00030085" w:rsidP="005562CC">
            <w:pPr>
              <w:keepNext/>
              <w:keepLines/>
              <w:widowControl/>
              <w:rPr>
                <w:rFonts w:cs="Times New Roman"/>
                <w:color w:val="auto"/>
                <w:szCs w:val="22"/>
                <w:lang w:val="pt-PT"/>
              </w:rPr>
            </w:pPr>
            <w:r w:rsidRPr="00110D6C">
              <w:rPr>
                <w:rFonts w:cs="Times New Roman"/>
                <w:color w:val="auto"/>
                <w:szCs w:val="22"/>
                <w:lang w:val="pt-PT"/>
              </w:rPr>
              <w:t>Resposta clínica (10</w:t>
            </w:r>
            <w:r w:rsidR="00B910F9" w:rsidRPr="00110D6C">
              <w:rPr>
                <w:rFonts w:cs="Times New Roman"/>
                <w:color w:val="auto"/>
                <w:szCs w:val="22"/>
                <w:lang w:val="pt-PT"/>
              </w:rPr>
              <w:t>0 </w:t>
            </w:r>
            <w:r w:rsidRPr="00110D6C">
              <w:rPr>
                <w:rFonts w:cs="Times New Roman"/>
                <w:color w:val="auto"/>
                <w:szCs w:val="22"/>
                <w:lang w:val="pt-PT"/>
              </w:rPr>
              <w:t>pontos), semana</w:t>
            </w:r>
            <w:r w:rsidR="005562CC" w:rsidRPr="00110D6C">
              <w:rPr>
                <w:rFonts w:cs="Times New Roman"/>
                <w:color w:val="auto"/>
                <w:szCs w:val="22"/>
                <w:lang w:val="pt-PT"/>
              </w:rPr>
              <w:t> </w:t>
            </w:r>
            <w:r w:rsidRPr="00110D6C">
              <w:rPr>
                <w:rFonts w:cs="Times New Roman"/>
                <w:color w:val="auto"/>
                <w:szCs w:val="22"/>
                <w:lang w:val="pt-PT"/>
              </w:rPr>
              <w:t>6</w:t>
            </w:r>
          </w:p>
        </w:tc>
        <w:tc>
          <w:tcPr>
            <w:tcW w:w="1455" w:type="dxa"/>
            <w:tcBorders>
              <w:top w:val="single" w:sz="4" w:space="0" w:color="auto"/>
              <w:left w:val="single" w:sz="4" w:space="0" w:color="auto"/>
            </w:tcBorders>
            <w:shd w:val="clear" w:color="auto" w:fill="auto"/>
          </w:tcPr>
          <w:p w14:paraId="4593A39B" w14:textId="77777777" w:rsidR="0077031F" w:rsidRPr="00110D6C" w:rsidRDefault="00030085" w:rsidP="005562CC">
            <w:pPr>
              <w:keepNext/>
              <w:keepLines/>
              <w:widowControl/>
              <w:jc w:val="center"/>
              <w:rPr>
                <w:rFonts w:cs="Times New Roman"/>
                <w:color w:val="auto"/>
                <w:szCs w:val="22"/>
                <w:lang w:val="pt-PT"/>
              </w:rPr>
            </w:pPr>
            <w:r w:rsidRPr="00110D6C">
              <w:rPr>
                <w:rFonts w:cs="Times New Roman"/>
                <w:color w:val="auto"/>
                <w:szCs w:val="22"/>
                <w:lang w:val="pt-PT"/>
              </w:rPr>
              <w:t>5</w:t>
            </w:r>
            <w:r w:rsidR="00B910F9" w:rsidRPr="00110D6C">
              <w:rPr>
                <w:rFonts w:cs="Times New Roman"/>
                <w:color w:val="auto"/>
                <w:szCs w:val="22"/>
                <w:lang w:val="pt-PT"/>
              </w:rPr>
              <w:t>3</w:t>
            </w:r>
            <w:r w:rsidR="005562CC" w:rsidRPr="00110D6C">
              <w:rPr>
                <w:rFonts w:cs="Times New Roman"/>
                <w:color w:val="auto"/>
                <w:szCs w:val="22"/>
                <w:lang w:val="pt-PT"/>
              </w:rPr>
              <w:t xml:space="preserve"> </w:t>
            </w:r>
            <w:r w:rsidRPr="00110D6C">
              <w:rPr>
                <w:rFonts w:cs="Times New Roman"/>
                <w:color w:val="auto"/>
                <w:szCs w:val="22"/>
                <w:lang w:val="pt-PT"/>
              </w:rPr>
              <w:t>(21,5%)</w:t>
            </w:r>
          </w:p>
        </w:tc>
        <w:tc>
          <w:tcPr>
            <w:tcW w:w="1455" w:type="dxa"/>
            <w:tcBorders>
              <w:top w:val="single" w:sz="4" w:space="0" w:color="auto"/>
              <w:left w:val="single" w:sz="4" w:space="0" w:color="auto"/>
            </w:tcBorders>
            <w:shd w:val="clear" w:color="auto" w:fill="auto"/>
          </w:tcPr>
          <w:p w14:paraId="4BF84B4C" w14:textId="77777777" w:rsidR="0077031F" w:rsidRPr="00110D6C" w:rsidRDefault="00030085" w:rsidP="005562CC">
            <w:pPr>
              <w:keepNext/>
              <w:keepLines/>
              <w:widowControl/>
              <w:jc w:val="center"/>
              <w:rPr>
                <w:rFonts w:cs="Times New Roman"/>
                <w:color w:val="auto"/>
                <w:szCs w:val="22"/>
                <w:lang w:val="pt-PT"/>
              </w:rPr>
            </w:pPr>
            <w:r w:rsidRPr="00110D6C">
              <w:rPr>
                <w:rFonts w:cs="Times New Roman"/>
                <w:color w:val="auto"/>
                <w:szCs w:val="22"/>
                <w:lang w:val="pt-PT"/>
              </w:rPr>
              <w:t>8</w:t>
            </w:r>
            <w:r w:rsidR="00B910F9" w:rsidRPr="00110D6C">
              <w:rPr>
                <w:rFonts w:cs="Times New Roman"/>
                <w:color w:val="auto"/>
                <w:szCs w:val="22"/>
                <w:lang w:val="pt-PT"/>
              </w:rPr>
              <w:t>4</w:t>
            </w:r>
            <w:r w:rsidR="005562CC" w:rsidRPr="00110D6C">
              <w:rPr>
                <w:rFonts w:cs="Times New Roman"/>
                <w:color w:val="auto"/>
                <w:szCs w:val="22"/>
                <w:lang w:val="pt-PT"/>
              </w:rPr>
              <w:t xml:space="preserve"> </w:t>
            </w:r>
            <w:r w:rsidRPr="00110D6C">
              <w:rPr>
                <w:rFonts w:cs="Times New Roman"/>
                <w:color w:val="auto"/>
                <w:szCs w:val="22"/>
                <w:lang w:val="pt-PT"/>
              </w:rPr>
              <w:t>(33,7%)</w:t>
            </w:r>
            <w:r w:rsidRPr="00110D6C">
              <w:rPr>
                <w:rFonts w:cs="Times New Roman"/>
                <w:color w:val="auto"/>
                <w:szCs w:val="22"/>
                <w:vertAlign w:val="superscript"/>
                <w:lang w:val="pt-PT"/>
              </w:rPr>
              <w:t>b</w:t>
            </w:r>
          </w:p>
        </w:tc>
        <w:tc>
          <w:tcPr>
            <w:tcW w:w="1455" w:type="dxa"/>
            <w:tcBorders>
              <w:top w:val="single" w:sz="4" w:space="0" w:color="auto"/>
              <w:left w:val="single" w:sz="4" w:space="0" w:color="auto"/>
            </w:tcBorders>
            <w:shd w:val="clear" w:color="auto" w:fill="auto"/>
          </w:tcPr>
          <w:p w14:paraId="0F6D8239" w14:textId="77777777" w:rsidR="0077031F" w:rsidRPr="00110D6C" w:rsidRDefault="00030085" w:rsidP="005562CC">
            <w:pPr>
              <w:keepNext/>
              <w:keepLines/>
              <w:widowControl/>
              <w:jc w:val="center"/>
              <w:rPr>
                <w:rFonts w:cs="Times New Roman"/>
                <w:color w:val="auto"/>
                <w:szCs w:val="22"/>
                <w:lang w:val="pt-PT"/>
              </w:rPr>
            </w:pPr>
            <w:r w:rsidRPr="00110D6C">
              <w:rPr>
                <w:rFonts w:cs="Times New Roman"/>
                <w:color w:val="auto"/>
                <w:szCs w:val="22"/>
                <w:lang w:val="pt-PT"/>
              </w:rPr>
              <w:t>6</w:t>
            </w:r>
            <w:r w:rsidR="00B910F9" w:rsidRPr="00110D6C">
              <w:rPr>
                <w:rFonts w:cs="Times New Roman"/>
                <w:color w:val="auto"/>
                <w:szCs w:val="22"/>
                <w:lang w:val="pt-PT"/>
              </w:rPr>
              <w:t>0</w:t>
            </w:r>
            <w:r w:rsidR="005562CC" w:rsidRPr="00110D6C">
              <w:rPr>
                <w:rFonts w:cs="Times New Roman"/>
                <w:color w:val="auto"/>
                <w:szCs w:val="22"/>
                <w:lang w:val="pt-PT"/>
              </w:rPr>
              <w:t xml:space="preserve"> </w:t>
            </w:r>
            <w:r w:rsidRPr="00110D6C">
              <w:rPr>
                <w:rFonts w:cs="Times New Roman"/>
                <w:color w:val="auto"/>
                <w:szCs w:val="22"/>
                <w:lang w:val="pt-PT"/>
              </w:rPr>
              <w:t>(28,7%)</w:t>
            </w:r>
          </w:p>
        </w:tc>
        <w:tc>
          <w:tcPr>
            <w:tcW w:w="1460" w:type="dxa"/>
            <w:gridSpan w:val="2"/>
            <w:tcBorders>
              <w:top w:val="single" w:sz="4" w:space="0" w:color="auto"/>
              <w:left w:val="single" w:sz="4" w:space="0" w:color="auto"/>
              <w:right w:val="single" w:sz="4" w:space="0" w:color="auto"/>
            </w:tcBorders>
            <w:shd w:val="clear" w:color="auto" w:fill="auto"/>
          </w:tcPr>
          <w:p w14:paraId="77296F7D" w14:textId="77777777" w:rsidR="0077031F" w:rsidRPr="00110D6C" w:rsidRDefault="00030085" w:rsidP="005562CC">
            <w:pPr>
              <w:keepNext/>
              <w:keepLines/>
              <w:widowControl/>
              <w:jc w:val="center"/>
              <w:rPr>
                <w:rFonts w:cs="Times New Roman"/>
                <w:color w:val="auto"/>
                <w:szCs w:val="22"/>
                <w:lang w:val="pt-PT"/>
              </w:rPr>
            </w:pPr>
            <w:r w:rsidRPr="00110D6C">
              <w:rPr>
                <w:rFonts w:cs="Times New Roman"/>
                <w:color w:val="auto"/>
                <w:szCs w:val="22"/>
                <w:lang w:val="pt-PT"/>
              </w:rPr>
              <w:t>11</w:t>
            </w:r>
            <w:r w:rsidR="00B910F9" w:rsidRPr="00110D6C">
              <w:rPr>
                <w:rFonts w:cs="Times New Roman"/>
                <w:color w:val="auto"/>
                <w:szCs w:val="22"/>
                <w:lang w:val="pt-PT"/>
              </w:rPr>
              <w:t>6</w:t>
            </w:r>
            <w:r w:rsidR="005562CC" w:rsidRPr="00110D6C">
              <w:rPr>
                <w:rFonts w:cs="Times New Roman"/>
                <w:color w:val="auto"/>
                <w:szCs w:val="22"/>
                <w:lang w:val="pt-PT"/>
              </w:rPr>
              <w:t xml:space="preserve"> </w:t>
            </w:r>
            <w:r w:rsidRPr="00110D6C">
              <w:rPr>
                <w:rFonts w:cs="Times New Roman"/>
                <w:color w:val="auto"/>
                <w:szCs w:val="22"/>
                <w:lang w:val="pt-PT"/>
              </w:rPr>
              <w:t>(55,5%)</w:t>
            </w:r>
            <w:r w:rsidRPr="00110D6C">
              <w:rPr>
                <w:rFonts w:cs="Times New Roman"/>
                <w:color w:val="auto"/>
                <w:szCs w:val="22"/>
                <w:vertAlign w:val="superscript"/>
                <w:lang w:val="pt-PT"/>
              </w:rPr>
              <w:t>a</w:t>
            </w:r>
          </w:p>
        </w:tc>
      </w:tr>
      <w:tr w:rsidR="0077031F" w:rsidRPr="00110D6C" w14:paraId="189FB512" w14:textId="77777777" w:rsidTr="00056B50">
        <w:tc>
          <w:tcPr>
            <w:tcW w:w="3272" w:type="dxa"/>
            <w:tcBorders>
              <w:top w:val="single" w:sz="4" w:space="0" w:color="auto"/>
              <w:left w:val="single" w:sz="4" w:space="0" w:color="auto"/>
              <w:bottom w:val="single" w:sz="4" w:space="0" w:color="auto"/>
            </w:tcBorders>
            <w:shd w:val="clear" w:color="auto" w:fill="auto"/>
          </w:tcPr>
          <w:p w14:paraId="2147A19C" w14:textId="77777777" w:rsidR="0077031F" w:rsidRPr="00110D6C" w:rsidRDefault="00030085" w:rsidP="005562CC">
            <w:pPr>
              <w:keepNext/>
              <w:keepLines/>
              <w:widowControl/>
              <w:rPr>
                <w:rFonts w:cs="Times New Roman"/>
                <w:color w:val="auto"/>
                <w:szCs w:val="22"/>
                <w:lang w:val="pt-PT"/>
              </w:rPr>
            </w:pPr>
            <w:r w:rsidRPr="00110D6C">
              <w:rPr>
                <w:rFonts w:cs="Times New Roman"/>
                <w:color w:val="auto"/>
                <w:szCs w:val="22"/>
                <w:lang w:val="pt-PT"/>
              </w:rPr>
              <w:t>Resposta clínica (10</w:t>
            </w:r>
            <w:r w:rsidR="00B910F9" w:rsidRPr="00110D6C">
              <w:rPr>
                <w:rFonts w:cs="Times New Roman"/>
                <w:color w:val="auto"/>
                <w:szCs w:val="22"/>
                <w:lang w:val="pt-PT"/>
              </w:rPr>
              <w:t>0 </w:t>
            </w:r>
            <w:r w:rsidRPr="00110D6C">
              <w:rPr>
                <w:rFonts w:cs="Times New Roman"/>
                <w:color w:val="auto"/>
                <w:szCs w:val="22"/>
                <w:lang w:val="pt-PT"/>
              </w:rPr>
              <w:t>pontos), semana</w:t>
            </w:r>
            <w:r w:rsidR="005562CC" w:rsidRPr="00110D6C">
              <w:rPr>
                <w:rFonts w:cs="Times New Roman"/>
                <w:color w:val="auto"/>
                <w:szCs w:val="22"/>
                <w:lang w:val="pt-PT"/>
              </w:rPr>
              <w:t> </w:t>
            </w:r>
            <w:r w:rsidRPr="00110D6C">
              <w:rPr>
                <w:rFonts w:cs="Times New Roman"/>
                <w:color w:val="auto"/>
                <w:szCs w:val="22"/>
                <w:lang w:val="pt-PT"/>
              </w:rPr>
              <w:t>8</w:t>
            </w:r>
          </w:p>
        </w:tc>
        <w:tc>
          <w:tcPr>
            <w:tcW w:w="1455" w:type="dxa"/>
            <w:tcBorders>
              <w:top w:val="single" w:sz="4" w:space="0" w:color="auto"/>
              <w:left w:val="single" w:sz="4" w:space="0" w:color="auto"/>
              <w:bottom w:val="single" w:sz="4" w:space="0" w:color="auto"/>
            </w:tcBorders>
            <w:shd w:val="clear" w:color="auto" w:fill="auto"/>
          </w:tcPr>
          <w:p w14:paraId="540FB4BD" w14:textId="77777777" w:rsidR="0077031F" w:rsidRPr="00110D6C" w:rsidRDefault="00030085" w:rsidP="005562CC">
            <w:pPr>
              <w:keepNext/>
              <w:keepLines/>
              <w:widowControl/>
              <w:jc w:val="center"/>
              <w:rPr>
                <w:rFonts w:cs="Times New Roman"/>
                <w:color w:val="auto"/>
                <w:szCs w:val="22"/>
                <w:lang w:val="pt-PT"/>
              </w:rPr>
            </w:pPr>
            <w:r w:rsidRPr="00110D6C">
              <w:rPr>
                <w:rFonts w:cs="Times New Roman"/>
                <w:color w:val="auto"/>
                <w:szCs w:val="22"/>
                <w:lang w:val="pt-PT"/>
              </w:rPr>
              <w:t>5</w:t>
            </w:r>
            <w:r w:rsidR="00B910F9" w:rsidRPr="00110D6C">
              <w:rPr>
                <w:rFonts w:cs="Times New Roman"/>
                <w:color w:val="auto"/>
                <w:szCs w:val="22"/>
                <w:lang w:val="pt-PT"/>
              </w:rPr>
              <w:t>0</w:t>
            </w:r>
            <w:r w:rsidR="005562CC" w:rsidRPr="00110D6C">
              <w:rPr>
                <w:rFonts w:cs="Times New Roman"/>
                <w:color w:val="auto"/>
                <w:szCs w:val="22"/>
                <w:lang w:val="pt-PT"/>
              </w:rPr>
              <w:t xml:space="preserve"> </w:t>
            </w:r>
            <w:r w:rsidRPr="00110D6C">
              <w:rPr>
                <w:rFonts w:cs="Times New Roman"/>
                <w:color w:val="auto"/>
                <w:szCs w:val="22"/>
                <w:lang w:val="pt-PT"/>
              </w:rPr>
              <w:t>(20,2%)</w:t>
            </w:r>
          </w:p>
        </w:tc>
        <w:tc>
          <w:tcPr>
            <w:tcW w:w="1455" w:type="dxa"/>
            <w:tcBorders>
              <w:top w:val="single" w:sz="4" w:space="0" w:color="auto"/>
              <w:left w:val="single" w:sz="4" w:space="0" w:color="auto"/>
              <w:bottom w:val="single" w:sz="4" w:space="0" w:color="auto"/>
            </w:tcBorders>
            <w:shd w:val="clear" w:color="auto" w:fill="auto"/>
          </w:tcPr>
          <w:p w14:paraId="7995930B" w14:textId="77777777" w:rsidR="0077031F" w:rsidRPr="00110D6C" w:rsidRDefault="00030085" w:rsidP="005562CC">
            <w:pPr>
              <w:keepNext/>
              <w:keepLines/>
              <w:widowControl/>
              <w:jc w:val="center"/>
              <w:rPr>
                <w:rFonts w:cs="Times New Roman"/>
                <w:color w:val="auto"/>
                <w:szCs w:val="22"/>
                <w:lang w:val="pt-PT"/>
              </w:rPr>
            </w:pPr>
            <w:r w:rsidRPr="00110D6C">
              <w:rPr>
                <w:rFonts w:cs="Times New Roman"/>
                <w:color w:val="auto"/>
                <w:szCs w:val="22"/>
                <w:lang w:val="pt-PT"/>
              </w:rPr>
              <w:t>9</w:t>
            </w:r>
            <w:r w:rsidR="00B910F9" w:rsidRPr="00110D6C">
              <w:rPr>
                <w:rFonts w:cs="Times New Roman"/>
                <w:color w:val="auto"/>
                <w:szCs w:val="22"/>
                <w:lang w:val="pt-PT"/>
              </w:rPr>
              <w:t>4</w:t>
            </w:r>
            <w:r w:rsidR="005562CC" w:rsidRPr="00110D6C">
              <w:rPr>
                <w:rFonts w:cs="Times New Roman"/>
                <w:color w:val="auto"/>
                <w:szCs w:val="22"/>
                <w:lang w:val="pt-PT"/>
              </w:rPr>
              <w:t xml:space="preserve"> </w:t>
            </w:r>
            <w:r w:rsidRPr="00110D6C">
              <w:rPr>
                <w:rFonts w:cs="Times New Roman"/>
                <w:color w:val="auto"/>
                <w:szCs w:val="22"/>
                <w:lang w:val="pt-PT"/>
              </w:rPr>
              <w:t>(37,8%)</w:t>
            </w:r>
            <w:r w:rsidRPr="00110D6C">
              <w:rPr>
                <w:rFonts w:cs="Times New Roman"/>
                <w:color w:val="auto"/>
                <w:szCs w:val="22"/>
                <w:vertAlign w:val="superscript"/>
                <w:lang w:val="pt-PT"/>
              </w:rPr>
              <w:t>a</w:t>
            </w:r>
          </w:p>
        </w:tc>
        <w:tc>
          <w:tcPr>
            <w:tcW w:w="1455" w:type="dxa"/>
            <w:tcBorders>
              <w:top w:val="single" w:sz="4" w:space="0" w:color="auto"/>
              <w:left w:val="single" w:sz="4" w:space="0" w:color="auto"/>
              <w:bottom w:val="single" w:sz="4" w:space="0" w:color="auto"/>
            </w:tcBorders>
            <w:shd w:val="clear" w:color="auto" w:fill="auto"/>
          </w:tcPr>
          <w:p w14:paraId="7A370BC6" w14:textId="77777777" w:rsidR="0077031F" w:rsidRPr="00110D6C" w:rsidRDefault="00030085" w:rsidP="005562CC">
            <w:pPr>
              <w:keepNext/>
              <w:keepLines/>
              <w:widowControl/>
              <w:jc w:val="center"/>
              <w:rPr>
                <w:rFonts w:cs="Times New Roman"/>
                <w:color w:val="auto"/>
                <w:szCs w:val="22"/>
                <w:lang w:val="pt-PT"/>
              </w:rPr>
            </w:pPr>
            <w:r w:rsidRPr="00110D6C">
              <w:rPr>
                <w:rFonts w:cs="Times New Roman"/>
                <w:color w:val="auto"/>
                <w:szCs w:val="22"/>
                <w:lang w:val="pt-PT"/>
              </w:rPr>
              <w:t>6</w:t>
            </w:r>
            <w:r w:rsidR="00B910F9" w:rsidRPr="00110D6C">
              <w:rPr>
                <w:rFonts w:cs="Times New Roman"/>
                <w:color w:val="auto"/>
                <w:szCs w:val="22"/>
                <w:lang w:val="pt-PT"/>
              </w:rPr>
              <w:t>7</w:t>
            </w:r>
            <w:r w:rsidR="005562CC" w:rsidRPr="00110D6C">
              <w:rPr>
                <w:rFonts w:cs="Times New Roman"/>
                <w:color w:val="auto"/>
                <w:szCs w:val="22"/>
                <w:lang w:val="pt-PT"/>
              </w:rPr>
              <w:t xml:space="preserve"> </w:t>
            </w:r>
            <w:r w:rsidRPr="00110D6C">
              <w:rPr>
                <w:rFonts w:cs="Times New Roman"/>
                <w:color w:val="auto"/>
                <w:szCs w:val="22"/>
                <w:lang w:val="pt-PT"/>
              </w:rPr>
              <w:t>(32,1%)</w:t>
            </w:r>
          </w:p>
        </w:tc>
        <w:tc>
          <w:tcPr>
            <w:tcW w:w="1460" w:type="dxa"/>
            <w:gridSpan w:val="2"/>
            <w:tcBorders>
              <w:top w:val="single" w:sz="4" w:space="0" w:color="auto"/>
              <w:left w:val="single" w:sz="4" w:space="0" w:color="auto"/>
              <w:bottom w:val="single" w:sz="4" w:space="0" w:color="auto"/>
              <w:right w:val="single" w:sz="4" w:space="0" w:color="auto"/>
            </w:tcBorders>
            <w:shd w:val="clear" w:color="auto" w:fill="auto"/>
          </w:tcPr>
          <w:p w14:paraId="2CCB91A8" w14:textId="77777777" w:rsidR="0077031F" w:rsidRPr="00110D6C" w:rsidRDefault="00030085" w:rsidP="005562CC">
            <w:pPr>
              <w:keepNext/>
              <w:keepLines/>
              <w:widowControl/>
              <w:jc w:val="center"/>
              <w:rPr>
                <w:rFonts w:cs="Times New Roman"/>
                <w:color w:val="auto"/>
                <w:szCs w:val="22"/>
                <w:lang w:val="pt-PT"/>
              </w:rPr>
            </w:pPr>
            <w:r w:rsidRPr="00110D6C">
              <w:rPr>
                <w:rFonts w:cs="Times New Roman"/>
                <w:color w:val="auto"/>
                <w:szCs w:val="22"/>
                <w:lang w:val="pt-PT"/>
              </w:rPr>
              <w:t>12</w:t>
            </w:r>
            <w:r w:rsidR="00B910F9" w:rsidRPr="00110D6C">
              <w:rPr>
                <w:rFonts w:cs="Times New Roman"/>
                <w:color w:val="auto"/>
                <w:szCs w:val="22"/>
                <w:lang w:val="pt-PT"/>
              </w:rPr>
              <w:t>1</w:t>
            </w:r>
            <w:r w:rsidR="005562CC" w:rsidRPr="00110D6C">
              <w:rPr>
                <w:rFonts w:cs="Times New Roman"/>
                <w:color w:val="auto"/>
                <w:szCs w:val="22"/>
                <w:lang w:val="pt-PT"/>
              </w:rPr>
              <w:t xml:space="preserve"> </w:t>
            </w:r>
            <w:r w:rsidRPr="00110D6C">
              <w:rPr>
                <w:rFonts w:cs="Times New Roman"/>
                <w:color w:val="auto"/>
                <w:szCs w:val="22"/>
                <w:lang w:val="pt-PT"/>
              </w:rPr>
              <w:t>(57,9%)</w:t>
            </w:r>
            <w:r w:rsidRPr="00110D6C">
              <w:rPr>
                <w:rFonts w:cs="Times New Roman"/>
                <w:color w:val="auto"/>
                <w:szCs w:val="22"/>
                <w:vertAlign w:val="superscript"/>
                <w:lang w:val="pt-PT"/>
              </w:rPr>
              <w:t>a</w:t>
            </w:r>
          </w:p>
        </w:tc>
      </w:tr>
      <w:tr w:rsidR="0077031F" w:rsidRPr="00110D6C" w14:paraId="2DBAAB5E" w14:textId="77777777" w:rsidTr="00056B50">
        <w:trPr>
          <w:gridAfter w:val="1"/>
          <w:wAfter w:w="6" w:type="dxa"/>
        </w:trPr>
        <w:tc>
          <w:tcPr>
            <w:tcW w:w="3272" w:type="dxa"/>
            <w:tcBorders>
              <w:top w:val="single" w:sz="4" w:space="0" w:color="auto"/>
              <w:left w:val="single" w:sz="4" w:space="0" w:color="auto"/>
            </w:tcBorders>
            <w:shd w:val="clear" w:color="auto" w:fill="auto"/>
          </w:tcPr>
          <w:p w14:paraId="41F2419D" w14:textId="77777777" w:rsidR="0077031F" w:rsidRPr="00110D6C" w:rsidRDefault="00030085" w:rsidP="005562CC">
            <w:pPr>
              <w:keepNext/>
              <w:keepLines/>
              <w:widowControl/>
              <w:rPr>
                <w:rFonts w:cs="Times New Roman"/>
                <w:color w:val="auto"/>
                <w:szCs w:val="22"/>
                <w:lang w:val="pt-PT"/>
              </w:rPr>
            </w:pPr>
            <w:r w:rsidRPr="00110D6C">
              <w:rPr>
                <w:rFonts w:cs="Times New Roman"/>
                <w:color w:val="auto"/>
                <w:szCs w:val="22"/>
                <w:lang w:val="pt-PT"/>
              </w:rPr>
              <w:t>Resposta com 7</w:t>
            </w:r>
            <w:r w:rsidR="00B910F9" w:rsidRPr="00110D6C">
              <w:rPr>
                <w:rFonts w:cs="Times New Roman"/>
                <w:color w:val="auto"/>
                <w:szCs w:val="22"/>
                <w:lang w:val="pt-PT"/>
              </w:rPr>
              <w:t>0 </w:t>
            </w:r>
            <w:r w:rsidRPr="00110D6C">
              <w:rPr>
                <w:rFonts w:cs="Times New Roman"/>
                <w:color w:val="auto"/>
                <w:szCs w:val="22"/>
                <w:lang w:val="pt-PT"/>
              </w:rPr>
              <w:t>pontos, semana</w:t>
            </w:r>
            <w:r w:rsidR="005562CC" w:rsidRPr="00110D6C">
              <w:rPr>
                <w:rFonts w:cs="Times New Roman"/>
                <w:color w:val="auto"/>
                <w:szCs w:val="22"/>
                <w:lang w:val="pt-PT"/>
              </w:rPr>
              <w:t> </w:t>
            </w:r>
            <w:r w:rsidRPr="00110D6C">
              <w:rPr>
                <w:rFonts w:cs="Times New Roman"/>
                <w:color w:val="auto"/>
                <w:szCs w:val="22"/>
                <w:lang w:val="pt-PT"/>
              </w:rPr>
              <w:t>3</w:t>
            </w:r>
          </w:p>
        </w:tc>
        <w:tc>
          <w:tcPr>
            <w:tcW w:w="1455" w:type="dxa"/>
            <w:tcBorders>
              <w:top w:val="single" w:sz="4" w:space="0" w:color="auto"/>
              <w:left w:val="single" w:sz="4" w:space="0" w:color="auto"/>
            </w:tcBorders>
            <w:shd w:val="clear" w:color="auto" w:fill="auto"/>
          </w:tcPr>
          <w:p w14:paraId="05CC0838" w14:textId="77777777" w:rsidR="0077031F" w:rsidRPr="00110D6C" w:rsidRDefault="00030085" w:rsidP="005562CC">
            <w:pPr>
              <w:keepNext/>
              <w:keepLines/>
              <w:widowControl/>
              <w:jc w:val="center"/>
              <w:rPr>
                <w:rFonts w:cs="Times New Roman"/>
                <w:color w:val="auto"/>
                <w:szCs w:val="22"/>
                <w:lang w:val="pt-PT"/>
              </w:rPr>
            </w:pPr>
            <w:r w:rsidRPr="00110D6C">
              <w:rPr>
                <w:rFonts w:cs="Times New Roman"/>
                <w:color w:val="auto"/>
                <w:szCs w:val="22"/>
                <w:lang w:val="pt-PT"/>
              </w:rPr>
              <w:t>6</w:t>
            </w:r>
            <w:r w:rsidR="00B910F9" w:rsidRPr="00110D6C">
              <w:rPr>
                <w:rFonts w:cs="Times New Roman"/>
                <w:color w:val="auto"/>
                <w:szCs w:val="22"/>
                <w:lang w:val="pt-PT"/>
              </w:rPr>
              <w:t>7</w:t>
            </w:r>
            <w:r w:rsidR="005562CC" w:rsidRPr="00110D6C">
              <w:rPr>
                <w:rFonts w:cs="Times New Roman"/>
                <w:color w:val="auto"/>
                <w:szCs w:val="22"/>
                <w:lang w:val="pt-PT"/>
              </w:rPr>
              <w:t xml:space="preserve"> </w:t>
            </w:r>
            <w:r w:rsidRPr="00110D6C">
              <w:rPr>
                <w:rFonts w:cs="Times New Roman"/>
                <w:color w:val="auto"/>
                <w:szCs w:val="22"/>
                <w:lang w:val="pt-PT"/>
              </w:rPr>
              <w:t>(27,1%)</w:t>
            </w:r>
          </w:p>
        </w:tc>
        <w:tc>
          <w:tcPr>
            <w:tcW w:w="1455" w:type="dxa"/>
            <w:tcBorders>
              <w:top w:val="single" w:sz="4" w:space="0" w:color="auto"/>
              <w:left w:val="single" w:sz="4" w:space="0" w:color="auto"/>
            </w:tcBorders>
            <w:shd w:val="clear" w:color="auto" w:fill="auto"/>
          </w:tcPr>
          <w:p w14:paraId="7F63FA32" w14:textId="77777777" w:rsidR="0077031F" w:rsidRPr="00110D6C" w:rsidRDefault="00030085" w:rsidP="005562CC">
            <w:pPr>
              <w:keepNext/>
              <w:keepLines/>
              <w:widowControl/>
              <w:jc w:val="center"/>
              <w:rPr>
                <w:rFonts w:cs="Times New Roman"/>
                <w:color w:val="auto"/>
                <w:szCs w:val="22"/>
                <w:lang w:val="pt-PT"/>
              </w:rPr>
            </w:pPr>
            <w:r w:rsidRPr="00110D6C">
              <w:rPr>
                <w:rFonts w:cs="Times New Roman"/>
                <w:color w:val="auto"/>
                <w:szCs w:val="22"/>
                <w:lang w:val="pt-PT"/>
              </w:rPr>
              <w:t>10</w:t>
            </w:r>
            <w:r w:rsidR="00B910F9" w:rsidRPr="00110D6C">
              <w:rPr>
                <w:rFonts w:cs="Times New Roman"/>
                <w:color w:val="auto"/>
                <w:szCs w:val="22"/>
                <w:lang w:val="pt-PT"/>
              </w:rPr>
              <w:t>1</w:t>
            </w:r>
            <w:r w:rsidR="005562CC" w:rsidRPr="00110D6C">
              <w:rPr>
                <w:rFonts w:cs="Times New Roman"/>
                <w:color w:val="auto"/>
                <w:szCs w:val="22"/>
                <w:lang w:val="pt-PT"/>
              </w:rPr>
              <w:t xml:space="preserve"> </w:t>
            </w:r>
            <w:r w:rsidRPr="00110D6C">
              <w:rPr>
                <w:rFonts w:cs="Times New Roman"/>
                <w:color w:val="auto"/>
                <w:szCs w:val="22"/>
                <w:lang w:val="pt-PT"/>
              </w:rPr>
              <w:t>(40,6%)</w:t>
            </w:r>
            <w:r w:rsidRPr="00110D6C">
              <w:rPr>
                <w:rFonts w:cs="Times New Roman"/>
                <w:color w:val="auto"/>
                <w:szCs w:val="22"/>
                <w:vertAlign w:val="superscript"/>
                <w:lang w:val="pt-PT"/>
              </w:rPr>
              <w:t>b</w:t>
            </w:r>
          </w:p>
        </w:tc>
        <w:tc>
          <w:tcPr>
            <w:tcW w:w="1455" w:type="dxa"/>
            <w:tcBorders>
              <w:top w:val="single" w:sz="4" w:space="0" w:color="auto"/>
              <w:left w:val="single" w:sz="4" w:space="0" w:color="auto"/>
            </w:tcBorders>
            <w:shd w:val="clear" w:color="auto" w:fill="auto"/>
          </w:tcPr>
          <w:p w14:paraId="398256A9" w14:textId="77777777" w:rsidR="0077031F" w:rsidRPr="00110D6C" w:rsidRDefault="00030085" w:rsidP="005562CC">
            <w:pPr>
              <w:keepNext/>
              <w:keepLines/>
              <w:widowControl/>
              <w:jc w:val="center"/>
              <w:rPr>
                <w:rFonts w:cs="Times New Roman"/>
                <w:color w:val="auto"/>
                <w:szCs w:val="22"/>
                <w:lang w:val="pt-PT"/>
              </w:rPr>
            </w:pPr>
            <w:r w:rsidRPr="00110D6C">
              <w:rPr>
                <w:rFonts w:cs="Times New Roman"/>
                <w:color w:val="auto"/>
                <w:szCs w:val="22"/>
                <w:lang w:val="pt-PT"/>
              </w:rPr>
              <w:t>6</w:t>
            </w:r>
            <w:r w:rsidR="00B910F9" w:rsidRPr="00110D6C">
              <w:rPr>
                <w:rFonts w:cs="Times New Roman"/>
                <w:color w:val="auto"/>
                <w:szCs w:val="22"/>
                <w:lang w:val="pt-PT"/>
              </w:rPr>
              <w:t>6</w:t>
            </w:r>
            <w:r w:rsidR="005562CC" w:rsidRPr="00110D6C">
              <w:rPr>
                <w:rFonts w:cs="Times New Roman"/>
                <w:color w:val="auto"/>
                <w:szCs w:val="22"/>
                <w:lang w:val="pt-PT"/>
              </w:rPr>
              <w:t xml:space="preserve"> </w:t>
            </w:r>
            <w:r w:rsidRPr="00110D6C">
              <w:rPr>
                <w:rFonts w:cs="Times New Roman"/>
                <w:color w:val="auto"/>
                <w:szCs w:val="22"/>
                <w:lang w:val="pt-PT"/>
              </w:rPr>
              <w:t>(31,6%)</w:t>
            </w:r>
          </w:p>
        </w:tc>
        <w:tc>
          <w:tcPr>
            <w:tcW w:w="1454" w:type="dxa"/>
            <w:tcBorders>
              <w:top w:val="single" w:sz="4" w:space="0" w:color="auto"/>
              <w:left w:val="single" w:sz="4" w:space="0" w:color="auto"/>
              <w:right w:val="single" w:sz="4" w:space="0" w:color="auto"/>
            </w:tcBorders>
            <w:shd w:val="clear" w:color="auto" w:fill="auto"/>
          </w:tcPr>
          <w:p w14:paraId="58436D08" w14:textId="77777777" w:rsidR="0077031F" w:rsidRPr="00110D6C" w:rsidRDefault="00030085" w:rsidP="005562CC">
            <w:pPr>
              <w:keepNext/>
              <w:keepLines/>
              <w:widowControl/>
              <w:jc w:val="center"/>
              <w:rPr>
                <w:rFonts w:cs="Times New Roman"/>
                <w:color w:val="auto"/>
                <w:szCs w:val="22"/>
                <w:lang w:val="pt-PT"/>
              </w:rPr>
            </w:pPr>
            <w:r w:rsidRPr="00110D6C">
              <w:rPr>
                <w:rFonts w:cs="Times New Roman"/>
                <w:color w:val="auto"/>
                <w:szCs w:val="22"/>
                <w:lang w:val="pt-PT"/>
              </w:rPr>
              <w:t>10</w:t>
            </w:r>
            <w:r w:rsidR="00B910F9" w:rsidRPr="00110D6C">
              <w:rPr>
                <w:rFonts w:cs="Times New Roman"/>
                <w:color w:val="auto"/>
                <w:szCs w:val="22"/>
                <w:lang w:val="pt-PT"/>
              </w:rPr>
              <w:t>6</w:t>
            </w:r>
            <w:r w:rsidR="005562CC" w:rsidRPr="00110D6C">
              <w:rPr>
                <w:rFonts w:cs="Times New Roman"/>
                <w:color w:val="auto"/>
                <w:szCs w:val="22"/>
                <w:lang w:val="pt-PT"/>
              </w:rPr>
              <w:t xml:space="preserve"> </w:t>
            </w:r>
            <w:r w:rsidRPr="00110D6C">
              <w:rPr>
                <w:rFonts w:cs="Times New Roman"/>
                <w:color w:val="auto"/>
                <w:szCs w:val="22"/>
                <w:lang w:val="pt-PT"/>
              </w:rPr>
              <w:t>(50,7%)</w:t>
            </w:r>
            <w:r w:rsidRPr="00110D6C">
              <w:rPr>
                <w:rFonts w:cs="Times New Roman"/>
                <w:color w:val="auto"/>
                <w:szCs w:val="22"/>
                <w:vertAlign w:val="superscript"/>
                <w:lang w:val="pt-PT"/>
              </w:rPr>
              <w:t>a</w:t>
            </w:r>
          </w:p>
        </w:tc>
      </w:tr>
      <w:tr w:rsidR="0077031F" w:rsidRPr="00110D6C" w14:paraId="2907B38F" w14:textId="77777777" w:rsidTr="00056B50">
        <w:trPr>
          <w:gridAfter w:val="1"/>
          <w:wAfter w:w="6" w:type="dxa"/>
        </w:trPr>
        <w:tc>
          <w:tcPr>
            <w:tcW w:w="3272" w:type="dxa"/>
            <w:tcBorders>
              <w:top w:val="single" w:sz="4" w:space="0" w:color="auto"/>
              <w:left w:val="single" w:sz="4" w:space="0" w:color="auto"/>
              <w:bottom w:val="single" w:sz="4" w:space="0" w:color="auto"/>
            </w:tcBorders>
            <w:shd w:val="clear" w:color="auto" w:fill="auto"/>
          </w:tcPr>
          <w:p w14:paraId="6D4CF85B" w14:textId="77777777" w:rsidR="0077031F" w:rsidRPr="00110D6C" w:rsidRDefault="00030085" w:rsidP="005562CC">
            <w:pPr>
              <w:widowControl/>
              <w:rPr>
                <w:rFonts w:cs="Times New Roman"/>
                <w:color w:val="auto"/>
                <w:szCs w:val="22"/>
                <w:lang w:val="pt-PT"/>
              </w:rPr>
            </w:pPr>
            <w:r w:rsidRPr="00110D6C">
              <w:rPr>
                <w:rFonts w:cs="Times New Roman"/>
                <w:color w:val="auto"/>
                <w:szCs w:val="22"/>
                <w:lang w:val="pt-PT"/>
              </w:rPr>
              <w:t>Resposta com 7</w:t>
            </w:r>
            <w:r w:rsidR="00B910F9" w:rsidRPr="00110D6C">
              <w:rPr>
                <w:rFonts w:cs="Times New Roman"/>
                <w:color w:val="auto"/>
                <w:szCs w:val="22"/>
                <w:lang w:val="pt-PT"/>
              </w:rPr>
              <w:t>0 </w:t>
            </w:r>
            <w:r w:rsidRPr="00110D6C">
              <w:rPr>
                <w:rFonts w:cs="Times New Roman"/>
                <w:color w:val="auto"/>
                <w:szCs w:val="22"/>
                <w:lang w:val="pt-PT"/>
              </w:rPr>
              <w:t>pontos, semana</w:t>
            </w:r>
            <w:r w:rsidR="005562CC" w:rsidRPr="00110D6C">
              <w:rPr>
                <w:rFonts w:cs="Times New Roman"/>
                <w:color w:val="auto"/>
                <w:szCs w:val="22"/>
                <w:lang w:val="pt-PT"/>
              </w:rPr>
              <w:t> </w:t>
            </w:r>
            <w:r w:rsidRPr="00110D6C">
              <w:rPr>
                <w:rFonts w:cs="Times New Roman"/>
                <w:color w:val="auto"/>
                <w:szCs w:val="22"/>
                <w:lang w:val="pt-PT"/>
              </w:rPr>
              <w:t>6</w:t>
            </w:r>
          </w:p>
        </w:tc>
        <w:tc>
          <w:tcPr>
            <w:tcW w:w="1455" w:type="dxa"/>
            <w:tcBorders>
              <w:top w:val="single" w:sz="4" w:space="0" w:color="auto"/>
              <w:left w:val="single" w:sz="4" w:space="0" w:color="auto"/>
              <w:bottom w:val="single" w:sz="4" w:space="0" w:color="auto"/>
            </w:tcBorders>
            <w:shd w:val="clear" w:color="auto" w:fill="auto"/>
          </w:tcPr>
          <w:p w14:paraId="3CE0B8A4" w14:textId="77777777" w:rsidR="0077031F" w:rsidRPr="00110D6C" w:rsidRDefault="00030085" w:rsidP="005562CC">
            <w:pPr>
              <w:widowControl/>
              <w:jc w:val="center"/>
              <w:rPr>
                <w:rFonts w:cs="Times New Roman"/>
                <w:color w:val="auto"/>
                <w:szCs w:val="22"/>
                <w:lang w:val="pt-PT"/>
              </w:rPr>
            </w:pPr>
            <w:r w:rsidRPr="00110D6C">
              <w:rPr>
                <w:rFonts w:cs="Times New Roman"/>
                <w:color w:val="auto"/>
                <w:szCs w:val="22"/>
                <w:lang w:val="pt-PT"/>
              </w:rPr>
              <w:t>7</w:t>
            </w:r>
            <w:r w:rsidR="00B910F9" w:rsidRPr="00110D6C">
              <w:rPr>
                <w:rFonts w:cs="Times New Roman"/>
                <w:color w:val="auto"/>
                <w:szCs w:val="22"/>
                <w:lang w:val="pt-PT"/>
              </w:rPr>
              <w:t>5</w:t>
            </w:r>
            <w:r w:rsidR="005562CC" w:rsidRPr="00110D6C">
              <w:rPr>
                <w:rFonts w:cs="Times New Roman"/>
                <w:color w:val="auto"/>
                <w:szCs w:val="22"/>
                <w:lang w:val="pt-PT"/>
              </w:rPr>
              <w:t xml:space="preserve"> </w:t>
            </w:r>
            <w:r w:rsidRPr="00110D6C">
              <w:rPr>
                <w:rFonts w:cs="Times New Roman"/>
                <w:color w:val="auto"/>
                <w:szCs w:val="22"/>
                <w:lang w:val="pt-PT"/>
              </w:rPr>
              <w:t>(30,4%)</w:t>
            </w:r>
          </w:p>
        </w:tc>
        <w:tc>
          <w:tcPr>
            <w:tcW w:w="1455" w:type="dxa"/>
            <w:tcBorders>
              <w:top w:val="single" w:sz="4" w:space="0" w:color="auto"/>
              <w:left w:val="single" w:sz="4" w:space="0" w:color="auto"/>
              <w:bottom w:val="single" w:sz="4" w:space="0" w:color="auto"/>
            </w:tcBorders>
            <w:shd w:val="clear" w:color="auto" w:fill="auto"/>
          </w:tcPr>
          <w:p w14:paraId="14182F8B" w14:textId="77777777" w:rsidR="0077031F" w:rsidRPr="00110D6C" w:rsidRDefault="00030085" w:rsidP="005562CC">
            <w:pPr>
              <w:widowControl/>
              <w:jc w:val="center"/>
              <w:rPr>
                <w:rFonts w:cs="Times New Roman"/>
                <w:color w:val="auto"/>
                <w:szCs w:val="22"/>
                <w:lang w:val="pt-PT"/>
              </w:rPr>
            </w:pPr>
            <w:r w:rsidRPr="00110D6C">
              <w:rPr>
                <w:rFonts w:cs="Times New Roman"/>
                <w:color w:val="auto"/>
                <w:szCs w:val="22"/>
                <w:lang w:val="pt-PT"/>
              </w:rPr>
              <w:t>10</w:t>
            </w:r>
            <w:r w:rsidR="00B910F9" w:rsidRPr="00110D6C">
              <w:rPr>
                <w:rFonts w:cs="Times New Roman"/>
                <w:color w:val="auto"/>
                <w:szCs w:val="22"/>
                <w:lang w:val="pt-PT"/>
              </w:rPr>
              <w:t>9</w:t>
            </w:r>
            <w:r w:rsidR="005562CC" w:rsidRPr="00110D6C">
              <w:rPr>
                <w:rFonts w:cs="Times New Roman"/>
                <w:color w:val="auto"/>
                <w:szCs w:val="22"/>
                <w:lang w:val="pt-PT"/>
              </w:rPr>
              <w:t xml:space="preserve"> </w:t>
            </w:r>
            <w:r w:rsidRPr="00110D6C">
              <w:rPr>
                <w:rFonts w:cs="Times New Roman"/>
                <w:color w:val="auto"/>
                <w:szCs w:val="22"/>
                <w:lang w:val="pt-PT"/>
              </w:rPr>
              <w:t>(43,8%)</w:t>
            </w:r>
            <w:r w:rsidRPr="00110D6C">
              <w:rPr>
                <w:rFonts w:cs="Times New Roman"/>
                <w:color w:val="auto"/>
                <w:szCs w:val="22"/>
                <w:vertAlign w:val="superscript"/>
                <w:lang w:val="pt-PT"/>
              </w:rPr>
              <w:t>b</w:t>
            </w:r>
          </w:p>
        </w:tc>
        <w:tc>
          <w:tcPr>
            <w:tcW w:w="1455" w:type="dxa"/>
            <w:tcBorders>
              <w:top w:val="single" w:sz="4" w:space="0" w:color="auto"/>
              <w:left w:val="single" w:sz="4" w:space="0" w:color="auto"/>
              <w:bottom w:val="single" w:sz="4" w:space="0" w:color="auto"/>
            </w:tcBorders>
            <w:shd w:val="clear" w:color="auto" w:fill="auto"/>
          </w:tcPr>
          <w:p w14:paraId="7EE4914D" w14:textId="77777777" w:rsidR="0077031F" w:rsidRPr="00110D6C" w:rsidRDefault="00030085" w:rsidP="005562CC">
            <w:pPr>
              <w:widowControl/>
              <w:jc w:val="center"/>
              <w:rPr>
                <w:rFonts w:cs="Times New Roman"/>
                <w:color w:val="auto"/>
                <w:szCs w:val="22"/>
                <w:lang w:val="pt-PT"/>
              </w:rPr>
            </w:pPr>
            <w:r w:rsidRPr="00110D6C">
              <w:rPr>
                <w:rFonts w:cs="Times New Roman"/>
                <w:color w:val="auto"/>
                <w:szCs w:val="22"/>
                <w:lang w:val="pt-PT"/>
              </w:rPr>
              <w:t>8</w:t>
            </w:r>
            <w:r w:rsidR="00B910F9" w:rsidRPr="00110D6C">
              <w:rPr>
                <w:rFonts w:cs="Times New Roman"/>
                <w:color w:val="auto"/>
                <w:szCs w:val="22"/>
                <w:lang w:val="pt-PT"/>
              </w:rPr>
              <w:t>1</w:t>
            </w:r>
            <w:r w:rsidR="005562CC" w:rsidRPr="00110D6C">
              <w:rPr>
                <w:rFonts w:cs="Times New Roman"/>
                <w:color w:val="auto"/>
                <w:szCs w:val="22"/>
                <w:lang w:val="pt-PT"/>
              </w:rPr>
              <w:t xml:space="preserve"> </w:t>
            </w:r>
            <w:r w:rsidRPr="00110D6C">
              <w:rPr>
                <w:rFonts w:cs="Times New Roman"/>
                <w:color w:val="auto"/>
                <w:szCs w:val="22"/>
                <w:lang w:val="pt-PT"/>
              </w:rPr>
              <w:t>(38,8%)</w:t>
            </w:r>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21A744D0" w14:textId="77777777" w:rsidR="0077031F" w:rsidRPr="00110D6C" w:rsidRDefault="00030085" w:rsidP="005562CC">
            <w:pPr>
              <w:widowControl/>
              <w:jc w:val="center"/>
              <w:rPr>
                <w:rFonts w:cs="Times New Roman"/>
                <w:color w:val="auto"/>
                <w:szCs w:val="22"/>
                <w:lang w:val="pt-PT"/>
              </w:rPr>
            </w:pPr>
            <w:r w:rsidRPr="00110D6C">
              <w:rPr>
                <w:rFonts w:cs="Times New Roman"/>
                <w:color w:val="auto"/>
                <w:szCs w:val="22"/>
                <w:lang w:val="pt-PT"/>
              </w:rPr>
              <w:t>13</w:t>
            </w:r>
            <w:r w:rsidR="00B910F9" w:rsidRPr="00110D6C">
              <w:rPr>
                <w:rFonts w:cs="Times New Roman"/>
                <w:color w:val="auto"/>
                <w:szCs w:val="22"/>
                <w:lang w:val="pt-PT"/>
              </w:rPr>
              <w:t>5</w:t>
            </w:r>
            <w:r w:rsidR="005562CC" w:rsidRPr="00110D6C">
              <w:rPr>
                <w:rFonts w:cs="Times New Roman"/>
                <w:color w:val="auto"/>
                <w:szCs w:val="22"/>
                <w:lang w:val="pt-PT"/>
              </w:rPr>
              <w:t xml:space="preserve"> </w:t>
            </w:r>
            <w:r w:rsidRPr="00110D6C">
              <w:rPr>
                <w:rFonts w:cs="Times New Roman"/>
                <w:color w:val="auto"/>
                <w:szCs w:val="22"/>
                <w:lang w:val="pt-PT"/>
              </w:rPr>
              <w:t>(64,6%)</w:t>
            </w:r>
            <w:r w:rsidRPr="00110D6C">
              <w:rPr>
                <w:rFonts w:cs="Times New Roman"/>
                <w:color w:val="auto"/>
                <w:szCs w:val="22"/>
                <w:vertAlign w:val="superscript"/>
                <w:lang w:val="pt-PT"/>
              </w:rPr>
              <w:t>a</w:t>
            </w:r>
          </w:p>
        </w:tc>
      </w:tr>
    </w:tbl>
    <w:p w14:paraId="2780402E" w14:textId="77777777" w:rsidR="0077031F" w:rsidRPr="00110D6C" w:rsidRDefault="00030085" w:rsidP="00A17623">
      <w:pPr>
        <w:widowControl/>
        <w:rPr>
          <w:rFonts w:cs="Times New Roman"/>
          <w:color w:val="auto"/>
          <w:sz w:val="20"/>
          <w:szCs w:val="20"/>
          <w:lang w:val="pt-PT"/>
        </w:rPr>
      </w:pPr>
      <w:r w:rsidRPr="00110D6C">
        <w:rPr>
          <w:rFonts w:cs="Times New Roman"/>
          <w:color w:val="auto"/>
          <w:sz w:val="20"/>
          <w:szCs w:val="20"/>
          <w:lang w:val="pt-PT"/>
        </w:rPr>
        <w:t>A remissão clínica é definida como uma pontuação do CDAI</w:t>
      </w:r>
      <w:r w:rsidR="00F5387C" w:rsidRPr="00110D6C">
        <w:rPr>
          <w:rFonts w:cs="Times New Roman"/>
          <w:color w:val="auto"/>
          <w:sz w:val="20"/>
          <w:szCs w:val="20"/>
          <w:lang w:val="pt-PT"/>
        </w:rPr>
        <w:t> </w:t>
      </w:r>
      <w:r w:rsidRPr="00110D6C">
        <w:rPr>
          <w:rFonts w:cs="Times New Roman"/>
          <w:color w:val="auto"/>
          <w:sz w:val="20"/>
          <w:szCs w:val="20"/>
          <w:lang w:val="pt-PT"/>
        </w:rPr>
        <w:t>&lt;</w:t>
      </w:r>
      <w:r w:rsidR="00F5387C" w:rsidRPr="00110D6C">
        <w:rPr>
          <w:rFonts w:cs="Times New Roman"/>
          <w:color w:val="auto"/>
          <w:sz w:val="20"/>
          <w:szCs w:val="20"/>
          <w:lang w:val="pt-PT"/>
        </w:rPr>
        <w:t> </w:t>
      </w:r>
      <w:r w:rsidRPr="00110D6C">
        <w:rPr>
          <w:rFonts w:cs="Times New Roman"/>
          <w:color w:val="auto"/>
          <w:sz w:val="20"/>
          <w:szCs w:val="20"/>
          <w:lang w:val="pt-PT"/>
        </w:rPr>
        <w:t>150; A resposta clínica é definida como uma diminuição na pontuação do CDAI de, pelo menos, 10</w:t>
      </w:r>
      <w:r w:rsidR="00B910F9" w:rsidRPr="00110D6C">
        <w:rPr>
          <w:rFonts w:cs="Times New Roman"/>
          <w:color w:val="auto"/>
          <w:sz w:val="20"/>
          <w:szCs w:val="20"/>
          <w:lang w:val="pt-PT"/>
        </w:rPr>
        <w:t>0 </w:t>
      </w:r>
      <w:r w:rsidRPr="00110D6C">
        <w:rPr>
          <w:rFonts w:cs="Times New Roman"/>
          <w:color w:val="auto"/>
          <w:sz w:val="20"/>
          <w:szCs w:val="20"/>
          <w:lang w:val="pt-PT"/>
        </w:rPr>
        <w:t>pontos ou estar em remissão clínica.</w:t>
      </w:r>
    </w:p>
    <w:p w14:paraId="7E2AE645" w14:textId="77777777" w:rsidR="0077031F" w:rsidRPr="00110D6C" w:rsidRDefault="00030085" w:rsidP="00A17623">
      <w:pPr>
        <w:widowControl/>
        <w:rPr>
          <w:rFonts w:cs="Times New Roman"/>
          <w:color w:val="auto"/>
          <w:sz w:val="20"/>
          <w:szCs w:val="20"/>
          <w:lang w:val="pt-PT"/>
        </w:rPr>
      </w:pPr>
      <w:r w:rsidRPr="00110D6C">
        <w:rPr>
          <w:rFonts w:cs="Times New Roman"/>
          <w:color w:val="auto"/>
          <w:sz w:val="20"/>
          <w:szCs w:val="20"/>
          <w:lang w:val="pt-PT"/>
        </w:rPr>
        <w:t>Resposta com 7</w:t>
      </w:r>
      <w:r w:rsidR="00B910F9" w:rsidRPr="00110D6C">
        <w:rPr>
          <w:rFonts w:cs="Times New Roman"/>
          <w:color w:val="auto"/>
          <w:sz w:val="20"/>
          <w:szCs w:val="20"/>
          <w:lang w:val="pt-PT"/>
        </w:rPr>
        <w:t>0 </w:t>
      </w:r>
      <w:r w:rsidRPr="00110D6C">
        <w:rPr>
          <w:rFonts w:cs="Times New Roman"/>
          <w:color w:val="auto"/>
          <w:sz w:val="20"/>
          <w:szCs w:val="20"/>
          <w:lang w:val="pt-PT"/>
        </w:rPr>
        <w:t>pontos é definida como diminuição na pontuação do CDAI de pelo menos 7</w:t>
      </w:r>
      <w:r w:rsidR="00B910F9" w:rsidRPr="00110D6C">
        <w:rPr>
          <w:rFonts w:cs="Times New Roman"/>
          <w:color w:val="auto"/>
          <w:sz w:val="20"/>
          <w:szCs w:val="20"/>
          <w:lang w:val="pt-PT"/>
        </w:rPr>
        <w:t>0 </w:t>
      </w:r>
      <w:r w:rsidRPr="00110D6C">
        <w:rPr>
          <w:rFonts w:cs="Times New Roman"/>
          <w:color w:val="auto"/>
          <w:sz w:val="20"/>
          <w:szCs w:val="20"/>
          <w:lang w:val="pt-PT"/>
        </w:rPr>
        <w:t>pontos</w:t>
      </w:r>
    </w:p>
    <w:p w14:paraId="4ED0E2CC" w14:textId="77777777" w:rsidR="0077031F" w:rsidRPr="00110D6C" w:rsidRDefault="00030085" w:rsidP="00E77794">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w:t>
      </w:r>
      <w:r w:rsidR="00E77794" w:rsidRPr="00110D6C">
        <w:rPr>
          <w:rFonts w:cs="Times New Roman"/>
          <w:color w:val="auto"/>
          <w:sz w:val="20"/>
          <w:szCs w:val="20"/>
          <w:lang w:val="pt-PT"/>
        </w:rPr>
        <w:tab/>
      </w:r>
      <w:r w:rsidRPr="00110D6C">
        <w:rPr>
          <w:rFonts w:cs="Times New Roman"/>
          <w:color w:val="auto"/>
          <w:sz w:val="20"/>
          <w:szCs w:val="20"/>
          <w:lang w:val="pt-PT"/>
        </w:rPr>
        <w:t>Falências a anti-TNFα</w:t>
      </w:r>
    </w:p>
    <w:p w14:paraId="3E997E28" w14:textId="77777777" w:rsidR="0077031F" w:rsidRPr="00110D6C" w:rsidRDefault="00030085" w:rsidP="00E77794">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w:t>
      </w:r>
      <w:r w:rsidR="00E77794" w:rsidRPr="00110D6C">
        <w:rPr>
          <w:rFonts w:cs="Times New Roman"/>
          <w:color w:val="auto"/>
          <w:sz w:val="20"/>
          <w:szCs w:val="20"/>
          <w:lang w:val="pt-PT"/>
        </w:rPr>
        <w:tab/>
      </w:r>
      <w:r w:rsidRPr="00110D6C">
        <w:rPr>
          <w:rFonts w:cs="Times New Roman"/>
          <w:color w:val="auto"/>
          <w:sz w:val="20"/>
          <w:szCs w:val="20"/>
          <w:lang w:val="pt-PT"/>
        </w:rPr>
        <w:t>Falências a terapêutica convencional</w:t>
      </w:r>
    </w:p>
    <w:p w14:paraId="21899A67" w14:textId="77777777" w:rsidR="0077031F" w:rsidRPr="00110D6C" w:rsidRDefault="00030085" w:rsidP="00E77794">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a</w:t>
      </w:r>
      <w:r w:rsidR="00E77794" w:rsidRPr="00110D6C">
        <w:rPr>
          <w:rFonts w:cs="Times New Roman"/>
          <w:color w:val="auto"/>
          <w:sz w:val="20"/>
          <w:szCs w:val="20"/>
          <w:vertAlign w:val="superscript"/>
          <w:lang w:val="pt-PT"/>
        </w:rPr>
        <w:tab/>
      </w:r>
      <w:r w:rsidRPr="00110D6C">
        <w:rPr>
          <w:rFonts w:cs="Times New Roman"/>
          <w:color w:val="auto"/>
          <w:sz w:val="20"/>
          <w:szCs w:val="20"/>
          <w:lang w:val="pt-PT"/>
        </w:rPr>
        <w:t>p</w:t>
      </w:r>
      <w:r w:rsidR="00F5387C" w:rsidRPr="00110D6C">
        <w:rPr>
          <w:rFonts w:cs="Times New Roman"/>
          <w:color w:val="auto"/>
          <w:sz w:val="20"/>
          <w:szCs w:val="20"/>
          <w:lang w:val="pt-PT"/>
        </w:rPr>
        <w:t> </w:t>
      </w:r>
      <w:r w:rsidRPr="00110D6C">
        <w:rPr>
          <w:rFonts w:cs="Times New Roman"/>
          <w:color w:val="auto"/>
          <w:sz w:val="20"/>
          <w:szCs w:val="20"/>
          <w:lang w:val="pt-PT"/>
        </w:rPr>
        <w:t>&lt;</w:t>
      </w:r>
      <w:r w:rsidR="00F5387C" w:rsidRPr="00110D6C">
        <w:rPr>
          <w:rFonts w:cs="Times New Roman"/>
          <w:color w:val="auto"/>
          <w:sz w:val="20"/>
          <w:szCs w:val="20"/>
          <w:lang w:val="pt-PT"/>
        </w:rPr>
        <w:t> </w:t>
      </w:r>
      <w:r w:rsidRPr="00110D6C">
        <w:rPr>
          <w:rFonts w:cs="Times New Roman"/>
          <w:color w:val="auto"/>
          <w:sz w:val="20"/>
          <w:szCs w:val="20"/>
          <w:lang w:val="pt-PT"/>
        </w:rPr>
        <w:t>0,001</w:t>
      </w:r>
    </w:p>
    <w:p w14:paraId="36F51B0A" w14:textId="77777777" w:rsidR="0077031F" w:rsidRPr="00110D6C" w:rsidRDefault="00030085" w:rsidP="00E77794">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b</w:t>
      </w:r>
      <w:r w:rsidRPr="00110D6C">
        <w:rPr>
          <w:rFonts w:cs="Times New Roman"/>
          <w:color w:val="auto"/>
          <w:sz w:val="20"/>
          <w:szCs w:val="20"/>
          <w:lang w:val="pt-PT"/>
        </w:rPr>
        <w:tab/>
        <w:t>p</w:t>
      </w:r>
      <w:r w:rsidR="00F5387C" w:rsidRPr="00110D6C">
        <w:rPr>
          <w:rFonts w:cs="Times New Roman"/>
          <w:color w:val="auto"/>
          <w:sz w:val="20"/>
          <w:szCs w:val="20"/>
          <w:lang w:val="pt-PT"/>
        </w:rPr>
        <w:t> </w:t>
      </w:r>
      <w:r w:rsidRPr="00110D6C">
        <w:rPr>
          <w:rFonts w:cs="Times New Roman"/>
          <w:color w:val="auto"/>
          <w:sz w:val="20"/>
          <w:szCs w:val="20"/>
          <w:lang w:val="pt-PT"/>
        </w:rPr>
        <w:t>&lt;</w:t>
      </w:r>
      <w:r w:rsidR="00F5387C" w:rsidRPr="00110D6C">
        <w:rPr>
          <w:rFonts w:cs="Times New Roman"/>
          <w:color w:val="auto"/>
          <w:sz w:val="20"/>
          <w:szCs w:val="20"/>
          <w:lang w:val="pt-PT"/>
        </w:rPr>
        <w:t> </w:t>
      </w:r>
      <w:r w:rsidRPr="00110D6C">
        <w:rPr>
          <w:rFonts w:cs="Times New Roman"/>
          <w:color w:val="auto"/>
          <w:sz w:val="20"/>
          <w:szCs w:val="20"/>
          <w:lang w:val="pt-PT"/>
        </w:rPr>
        <w:t>0,01</w:t>
      </w:r>
    </w:p>
    <w:p w14:paraId="741B1C41" w14:textId="77777777" w:rsidR="00E77794" w:rsidRPr="00110D6C" w:rsidRDefault="00E77794" w:rsidP="00A17623">
      <w:pPr>
        <w:widowControl/>
        <w:rPr>
          <w:rFonts w:cs="Times New Roman"/>
          <w:color w:val="auto"/>
          <w:szCs w:val="22"/>
          <w:lang w:val="pt-PT"/>
        </w:rPr>
      </w:pPr>
    </w:p>
    <w:p w14:paraId="4F17F0B5"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O estudo de manutenção (IM-UNITI), avaliou 38</w:t>
      </w:r>
      <w:r w:rsidR="00B910F9" w:rsidRPr="00110D6C">
        <w:rPr>
          <w:rFonts w:cs="Times New Roman"/>
          <w:color w:val="auto"/>
          <w:szCs w:val="22"/>
          <w:lang w:val="pt-PT"/>
        </w:rPr>
        <w:t>8 </w:t>
      </w:r>
      <w:r w:rsidRPr="00110D6C">
        <w:rPr>
          <w:rFonts w:cs="Times New Roman"/>
          <w:color w:val="auto"/>
          <w:szCs w:val="22"/>
          <w:lang w:val="pt-PT"/>
        </w:rPr>
        <w:t>doentes que alcançaram uma resposta clínica de 10</w:t>
      </w:r>
      <w:r w:rsidR="00B910F9" w:rsidRPr="00110D6C">
        <w:rPr>
          <w:rFonts w:cs="Times New Roman"/>
          <w:color w:val="auto"/>
          <w:szCs w:val="22"/>
          <w:lang w:val="pt-PT"/>
        </w:rPr>
        <w:t>0 </w:t>
      </w:r>
      <w:r w:rsidRPr="00110D6C">
        <w:rPr>
          <w:rFonts w:cs="Times New Roman"/>
          <w:color w:val="auto"/>
          <w:szCs w:val="22"/>
          <w:lang w:val="pt-PT"/>
        </w:rPr>
        <w:t>pontos na semana</w:t>
      </w:r>
      <w:r w:rsidR="005562CC" w:rsidRPr="00110D6C">
        <w:rPr>
          <w:rFonts w:cs="Times New Roman"/>
          <w:color w:val="auto"/>
          <w:szCs w:val="22"/>
          <w:lang w:val="pt-PT"/>
        </w:rPr>
        <w:t> </w:t>
      </w:r>
      <w:r w:rsidR="00B910F9" w:rsidRPr="00110D6C">
        <w:rPr>
          <w:rFonts w:cs="Times New Roman"/>
          <w:color w:val="auto"/>
          <w:szCs w:val="22"/>
          <w:lang w:val="pt-PT"/>
        </w:rPr>
        <w:t>8</w:t>
      </w:r>
      <w:r w:rsidR="005562CC" w:rsidRPr="00110D6C">
        <w:rPr>
          <w:rFonts w:cs="Times New Roman"/>
          <w:color w:val="auto"/>
          <w:szCs w:val="22"/>
          <w:lang w:val="pt-PT"/>
        </w:rPr>
        <w:t xml:space="preserve"> </w:t>
      </w:r>
      <w:r w:rsidRPr="00110D6C">
        <w:rPr>
          <w:rFonts w:cs="Times New Roman"/>
          <w:color w:val="auto"/>
          <w:szCs w:val="22"/>
          <w:lang w:val="pt-PT"/>
        </w:rPr>
        <w:t>de indução com ustecinumab nos estudos UNITI-</w:t>
      </w:r>
      <w:r w:rsidR="00B910F9" w:rsidRPr="00110D6C">
        <w:rPr>
          <w:rFonts w:cs="Times New Roman"/>
          <w:color w:val="auto"/>
          <w:szCs w:val="22"/>
          <w:lang w:val="pt-PT"/>
        </w:rPr>
        <w:t>1 </w:t>
      </w:r>
      <w:r w:rsidRPr="00110D6C">
        <w:rPr>
          <w:rFonts w:cs="Times New Roman"/>
          <w:color w:val="auto"/>
          <w:szCs w:val="22"/>
          <w:lang w:val="pt-PT"/>
        </w:rPr>
        <w:t>e UNITI-2. Os doentes foram aleatorizados para receber um regime subcutâneo de manutenção de 9</w:t>
      </w:r>
      <w:r w:rsidR="00B910F9" w:rsidRPr="00110D6C">
        <w:rPr>
          <w:rFonts w:cs="Times New Roman"/>
          <w:color w:val="auto"/>
          <w:szCs w:val="22"/>
          <w:lang w:val="pt-PT"/>
        </w:rPr>
        <w:t>0 </w:t>
      </w:r>
      <w:r w:rsidRPr="00110D6C">
        <w:rPr>
          <w:rFonts w:cs="Times New Roman"/>
          <w:color w:val="auto"/>
          <w:szCs w:val="22"/>
          <w:lang w:val="pt-PT"/>
        </w:rPr>
        <w:t xml:space="preserve">mg de ustecinumab em intervalos de </w:t>
      </w:r>
      <w:r w:rsidR="00B910F9" w:rsidRPr="00110D6C">
        <w:rPr>
          <w:rFonts w:cs="Times New Roman"/>
          <w:color w:val="auto"/>
          <w:szCs w:val="22"/>
          <w:lang w:val="pt-PT"/>
        </w:rPr>
        <w:t>8 </w:t>
      </w:r>
      <w:r w:rsidRPr="00110D6C">
        <w:rPr>
          <w:rFonts w:cs="Times New Roman"/>
          <w:color w:val="auto"/>
          <w:szCs w:val="22"/>
          <w:lang w:val="pt-PT"/>
        </w:rPr>
        <w:t>semanas, 9</w:t>
      </w:r>
      <w:r w:rsidR="00B910F9" w:rsidRPr="00110D6C">
        <w:rPr>
          <w:rFonts w:cs="Times New Roman"/>
          <w:color w:val="auto"/>
          <w:szCs w:val="22"/>
          <w:lang w:val="pt-PT"/>
        </w:rPr>
        <w:t>0 </w:t>
      </w:r>
      <w:r w:rsidRPr="00110D6C">
        <w:rPr>
          <w:rFonts w:cs="Times New Roman"/>
          <w:color w:val="auto"/>
          <w:szCs w:val="22"/>
          <w:lang w:val="pt-PT"/>
        </w:rPr>
        <w:t>mg de ustecinumab em intervalos de 1</w:t>
      </w:r>
      <w:r w:rsidR="00B910F9" w:rsidRPr="00110D6C">
        <w:rPr>
          <w:rFonts w:cs="Times New Roman"/>
          <w:color w:val="auto"/>
          <w:szCs w:val="22"/>
          <w:lang w:val="pt-PT"/>
        </w:rPr>
        <w:t>2 </w:t>
      </w:r>
      <w:r w:rsidRPr="00110D6C">
        <w:rPr>
          <w:rFonts w:cs="Times New Roman"/>
          <w:color w:val="auto"/>
          <w:szCs w:val="22"/>
          <w:lang w:val="pt-PT"/>
        </w:rPr>
        <w:t>semanas ou placebo durante 4</w:t>
      </w:r>
      <w:r w:rsidR="00B910F9" w:rsidRPr="00110D6C">
        <w:rPr>
          <w:rFonts w:cs="Times New Roman"/>
          <w:color w:val="auto"/>
          <w:szCs w:val="22"/>
          <w:lang w:val="pt-PT"/>
        </w:rPr>
        <w:t>4 </w:t>
      </w:r>
      <w:r w:rsidRPr="00110D6C">
        <w:rPr>
          <w:rFonts w:cs="Times New Roman"/>
          <w:color w:val="auto"/>
          <w:szCs w:val="22"/>
          <w:lang w:val="pt-PT"/>
        </w:rPr>
        <w:t>semanas (para a posologia de manutenção recomendada,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4.2).</w:t>
      </w:r>
    </w:p>
    <w:p w14:paraId="647A3CC6" w14:textId="77777777" w:rsidR="00E77794" w:rsidRPr="00110D6C" w:rsidRDefault="00E77794" w:rsidP="00A17623">
      <w:pPr>
        <w:widowControl/>
        <w:rPr>
          <w:rFonts w:cs="Times New Roman"/>
          <w:color w:val="auto"/>
          <w:szCs w:val="22"/>
          <w:lang w:val="pt-PT"/>
        </w:rPr>
      </w:pPr>
    </w:p>
    <w:p w14:paraId="407A5CC9" w14:textId="46A9D52C" w:rsidR="0077031F" w:rsidRPr="00110D6C" w:rsidRDefault="00030085" w:rsidP="00A17623">
      <w:pPr>
        <w:widowControl/>
        <w:rPr>
          <w:rFonts w:cs="Times New Roman"/>
          <w:color w:val="auto"/>
          <w:szCs w:val="22"/>
          <w:lang w:val="pt-PT"/>
        </w:rPr>
      </w:pPr>
      <w:r w:rsidRPr="00110D6C">
        <w:rPr>
          <w:rFonts w:cs="Times New Roman"/>
          <w:color w:val="auto"/>
          <w:szCs w:val="22"/>
          <w:lang w:val="pt-PT"/>
        </w:rPr>
        <w:t>Proporções significativamente maiores de doentes mantiveram a remissão e a resposta clínica nos grupos tratados com ustecinumab em comparação com o grupo com placebo na semana</w:t>
      </w:r>
      <w:r w:rsidR="005562CC" w:rsidRPr="00110D6C">
        <w:rPr>
          <w:rFonts w:cs="Times New Roman"/>
          <w:color w:val="auto"/>
          <w:szCs w:val="22"/>
          <w:lang w:val="pt-PT"/>
        </w:rPr>
        <w:t> </w:t>
      </w:r>
      <w:r w:rsidRPr="00110D6C">
        <w:rPr>
          <w:rFonts w:cs="Times New Roman"/>
          <w:color w:val="auto"/>
          <w:szCs w:val="22"/>
          <w:lang w:val="pt-PT"/>
        </w:rPr>
        <w:t>4</w:t>
      </w:r>
      <w:r w:rsidR="00B910F9" w:rsidRPr="00110D6C">
        <w:rPr>
          <w:rFonts w:cs="Times New Roman"/>
          <w:color w:val="auto"/>
          <w:szCs w:val="22"/>
          <w:lang w:val="pt-PT"/>
        </w:rPr>
        <w:t>4</w:t>
      </w:r>
      <w:r w:rsidR="005562CC" w:rsidRPr="00110D6C">
        <w:rPr>
          <w:rFonts w:cs="Times New Roman"/>
          <w:color w:val="auto"/>
          <w:szCs w:val="22"/>
          <w:lang w:val="pt-PT"/>
        </w:rPr>
        <w:t xml:space="preserve"> </w:t>
      </w:r>
      <w:r w:rsidRPr="00110D6C">
        <w:rPr>
          <w:rFonts w:cs="Times New Roman"/>
          <w:color w:val="auto"/>
          <w:szCs w:val="22"/>
          <w:lang w:val="pt-PT"/>
        </w:rPr>
        <w:t>(ver</w:t>
      </w:r>
      <w:r w:rsidR="00F639D3" w:rsidRPr="00110D6C">
        <w:rPr>
          <w:rFonts w:cs="Times New Roman"/>
          <w:color w:val="auto"/>
          <w:szCs w:val="22"/>
          <w:lang w:val="pt-PT"/>
        </w:rPr>
        <w:t> </w:t>
      </w:r>
      <w:r w:rsidRPr="00110D6C">
        <w:rPr>
          <w:rFonts w:cs="Times New Roman"/>
          <w:color w:val="auto"/>
          <w:szCs w:val="22"/>
          <w:lang w:val="pt-PT"/>
        </w:rPr>
        <w:t>Tabela</w:t>
      </w:r>
      <w:r w:rsidR="00982985" w:rsidRPr="00110D6C">
        <w:rPr>
          <w:rFonts w:cs="Times New Roman"/>
          <w:color w:val="auto"/>
          <w:szCs w:val="22"/>
          <w:lang w:val="pt-PT"/>
        </w:rPr>
        <w:t> </w:t>
      </w:r>
      <w:r w:rsidR="00291A38">
        <w:rPr>
          <w:rFonts w:cs="Times New Roman"/>
          <w:color w:val="auto"/>
          <w:szCs w:val="22"/>
          <w:lang w:val="pt-PT"/>
        </w:rPr>
        <w:t>9</w:t>
      </w:r>
      <w:r w:rsidRPr="00110D6C">
        <w:rPr>
          <w:rFonts w:cs="Times New Roman"/>
          <w:color w:val="auto"/>
          <w:szCs w:val="22"/>
          <w:lang w:val="pt-PT"/>
        </w:rPr>
        <w:t>).</w:t>
      </w:r>
    </w:p>
    <w:p w14:paraId="3146513B" w14:textId="77777777" w:rsidR="00F639D3" w:rsidRPr="00110D6C" w:rsidRDefault="00F639D3" w:rsidP="00A17623">
      <w:pPr>
        <w:widowControl/>
        <w:rPr>
          <w:rFonts w:cs="Times New Roman"/>
          <w:color w:val="auto"/>
          <w:szCs w:val="22"/>
          <w:lang w:val="pt-PT"/>
        </w:rPr>
      </w:pPr>
    </w:p>
    <w:p w14:paraId="71A6FF79" w14:textId="7C63D358" w:rsidR="0077031F" w:rsidRPr="00110D6C" w:rsidRDefault="00030085" w:rsidP="00E77794">
      <w:pPr>
        <w:widowControl/>
        <w:ind w:left="1134" w:hanging="1134"/>
        <w:rPr>
          <w:rFonts w:cs="Times New Roman"/>
          <w:color w:val="auto"/>
          <w:szCs w:val="22"/>
          <w:lang w:val="pt-PT"/>
        </w:rPr>
      </w:pPr>
      <w:r w:rsidRPr="00110D6C">
        <w:rPr>
          <w:rFonts w:cs="Times New Roman"/>
          <w:i/>
          <w:iCs/>
          <w:color w:val="auto"/>
          <w:szCs w:val="22"/>
          <w:lang w:val="pt-PT"/>
        </w:rPr>
        <w:t>Tabela</w:t>
      </w:r>
      <w:r w:rsidR="00982985" w:rsidRPr="00110D6C">
        <w:rPr>
          <w:rFonts w:cs="Times New Roman"/>
          <w:i/>
          <w:iCs/>
          <w:color w:val="auto"/>
          <w:szCs w:val="22"/>
          <w:lang w:val="pt-PT"/>
        </w:rPr>
        <w:t> </w:t>
      </w:r>
      <w:r w:rsidR="00291A38">
        <w:rPr>
          <w:rFonts w:cs="Times New Roman"/>
          <w:i/>
          <w:iCs/>
          <w:color w:val="auto"/>
          <w:szCs w:val="22"/>
          <w:lang w:val="pt-PT"/>
        </w:rPr>
        <w:t>9</w:t>
      </w:r>
      <w:r w:rsidRPr="00110D6C">
        <w:rPr>
          <w:rFonts w:cs="Times New Roman"/>
          <w:i/>
          <w:iCs/>
          <w:color w:val="auto"/>
          <w:szCs w:val="22"/>
          <w:lang w:val="pt-PT"/>
        </w:rPr>
        <w:t>:</w:t>
      </w:r>
      <w:r w:rsidR="00E77794" w:rsidRPr="00110D6C">
        <w:rPr>
          <w:rFonts w:cs="Times New Roman"/>
          <w:i/>
          <w:iCs/>
          <w:color w:val="auto"/>
          <w:szCs w:val="22"/>
          <w:lang w:val="pt-PT"/>
        </w:rPr>
        <w:tab/>
      </w:r>
      <w:r w:rsidRPr="00110D6C">
        <w:rPr>
          <w:rFonts w:cs="Times New Roman"/>
          <w:i/>
          <w:iCs/>
          <w:color w:val="auto"/>
          <w:szCs w:val="22"/>
          <w:lang w:val="pt-PT"/>
        </w:rPr>
        <w:t>Manutenção da Resposta e da Remissão Clínica no estudo IM-UNITI (semana</w:t>
      </w:r>
      <w:r w:rsidR="005562CC" w:rsidRPr="00110D6C">
        <w:rPr>
          <w:rFonts w:cs="Times New Roman"/>
          <w:i/>
          <w:iCs/>
          <w:color w:val="auto"/>
          <w:szCs w:val="22"/>
          <w:lang w:val="pt-PT"/>
        </w:rPr>
        <w:t> </w:t>
      </w:r>
      <w:r w:rsidRPr="00110D6C">
        <w:rPr>
          <w:rFonts w:cs="Times New Roman"/>
          <w:i/>
          <w:iCs/>
          <w:color w:val="auto"/>
          <w:szCs w:val="22"/>
          <w:lang w:val="pt-PT"/>
        </w:rPr>
        <w:t>44;</w:t>
      </w:r>
      <w:r w:rsidR="00E77794" w:rsidRPr="00110D6C">
        <w:rPr>
          <w:rFonts w:cs="Times New Roman"/>
          <w:i/>
          <w:iCs/>
          <w:color w:val="auto"/>
          <w:szCs w:val="22"/>
          <w:lang w:val="pt-PT"/>
        </w:rPr>
        <w:t xml:space="preserve"> </w:t>
      </w:r>
      <w:r w:rsidRPr="00110D6C">
        <w:rPr>
          <w:rFonts w:cs="Times New Roman"/>
          <w:i/>
          <w:iCs/>
          <w:color w:val="auto"/>
          <w:szCs w:val="22"/>
          <w:lang w:val="pt-PT"/>
        </w:rPr>
        <w:t>5</w:t>
      </w:r>
      <w:r w:rsidR="00B910F9" w:rsidRPr="00110D6C">
        <w:rPr>
          <w:rFonts w:cs="Times New Roman"/>
          <w:i/>
          <w:iCs/>
          <w:color w:val="auto"/>
          <w:szCs w:val="22"/>
          <w:lang w:val="pt-PT"/>
        </w:rPr>
        <w:t>2 </w:t>
      </w:r>
      <w:r w:rsidRPr="00110D6C">
        <w:rPr>
          <w:rFonts w:cs="Times New Roman"/>
          <w:i/>
          <w:iCs/>
          <w:color w:val="auto"/>
          <w:szCs w:val="22"/>
          <w:lang w:val="pt-PT"/>
        </w:rPr>
        <w:t>semanas a partir do início da dose de indução)</w:t>
      </w:r>
    </w:p>
    <w:tbl>
      <w:tblPr>
        <w:tblOverlap w:val="never"/>
        <w:tblW w:w="0" w:type="auto"/>
        <w:tblLayout w:type="fixed"/>
        <w:tblLook w:val="04A0" w:firstRow="1" w:lastRow="0" w:firstColumn="1" w:lastColumn="0" w:noHBand="0" w:noVBand="1"/>
      </w:tblPr>
      <w:tblGrid>
        <w:gridCol w:w="4531"/>
        <w:gridCol w:w="1397"/>
        <w:gridCol w:w="1574"/>
        <w:gridCol w:w="1550"/>
      </w:tblGrid>
      <w:tr w:rsidR="0077031F" w:rsidRPr="00110D6C" w14:paraId="26191F06" w14:textId="77777777" w:rsidTr="00E77794">
        <w:tc>
          <w:tcPr>
            <w:tcW w:w="4531" w:type="dxa"/>
            <w:tcBorders>
              <w:top w:val="single" w:sz="4" w:space="0" w:color="auto"/>
              <w:left w:val="single" w:sz="4" w:space="0" w:color="auto"/>
            </w:tcBorders>
            <w:shd w:val="clear" w:color="auto" w:fill="auto"/>
          </w:tcPr>
          <w:p w14:paraId="2EA3CA41" w14:textId="77777777" w:rsidR="0077031F" w:rsidRPr="00110D6C" w:rsidRDefault="0077031F" w:rsidP="00E77794">
            <w:pPr>
              <w:widowControl/>
              <w:rPr>
                <w:rFonts w:cs="Times New Roman"/>
                <w:color w:val="auto"/>
                <w:szCs w:val="22"/>
                <w:lang w:val="pt-PT"/>
              </w:rPr>
            </w:pPr>
          </w:p>
        </w:tc>
        <w:tc>
          <w:tcPr>
            <w:tcW w:w="1397" w:type="dxa"/>
            <w:tcBorders>
              <w:top w:val="single" w:sz="4" w:space="0" w:color="auto"/>
              <w:left w:val="single" w:sz="4" w:space="0" w:color="auto"/>
            </w:tcBorders>
            <w:shd w:val="clear" w:color="auto" w:fill="auto"/>
          </w:tcPr>
          <w:p w14:paraId="5C92FED9" w14:textId="77777777" w:rsidR="0077031F" w:rsidRPr="00110D6C" w:rsidRDefault="00030085" w:rsidP="00E77794">
            <w:pPr>
              <w:widowControl/>
              <w:jc w:val="center"/>
              <w:rPr>
                <w:rFonts w:cs="Times New Roman"/>
                <w:color w:val="auto"/>
                <w:szCs w:val="22"/>
                <w:lang w:val="pt-PT"/>
              </w:rPr>
            </w:pPr>
            <w:r w:rsidRPr="00110D6C">
              <w:rPr>
                <w:rFonts w:cs="Times New Roman"/>
                <w:b/>
                <w:bCs/>
                <w:color w:val="auto"/>
                <w:szCs w:val="22"/>
                <w:lang w:val="pt-PT"/>
              </w:rPr>
              <w:t>Placebo*</w:t>
            </w:r>
          </w:p>
          <w:p w14:paraId="0E479F81" w14:textId="77777777" w:rsidR="00E77794" w:rsidRPr="00110D6C" w:rsidRDefault="00E77794" w:rsidP="00E77794">
            <w:pPr>
              <w:widowControl/>
              <w:jc w:val="center"/>
              <w:rPr>
                <w:rFonts w:cs="Times New Roman"/>
                <w:bCs/>
                <w:color w:val="auto"/>
                <w:szCs w:val="22"/>
                <w:lang w:val="pt-PT"/>
              </w:rPr>
            </w:pPr>
          </w:p>
          <w:p w14:paraId="6CBED514" w14:textId="77777777" w:rsidR="00E77794" w:rsidRPr="00110D6C" w:rsidRDefault="00E77794" w:rsidP="00E77794">
            <w:pPr>
              <w:widowControl/>
              <w:jc w:val="center"/>
              <w:rPr>
                <w:rFonts w:cs="Times New Roman"/>
                <w:bCs/>
                <w:color w:val="auto"/>
                <w:szCs w:val="22"/>
                <w:lang w:val="pt-PT"/>
              </w:rPr>
            </w:pPr>
          </w:p>
          <w:p w14:paraId="70014976" w14:textId="77777777" w:rsidR="00E77794" w:rsidRPr="00110D6C" w:rsidRDefault="00E77794" w:rsidP="00E77794">
            <w:pPr>
              <w:widowControl/>
              <w:jc w:val="center"/>
              <w:rPr>
                <w:rFonts w:cs="Times New Roman"/>
                <w:bCs/>
                <w:color w:val="auto"/>
                <w:szCs w:val="22"/>
                <w:lang w:val="pt-PT"/>
              </w:rPr>
            </w:pPr>
          </w:p>
          <w:p w14:paraId="7C6C34F7" w14:textId="77777777" w:rsidR="00E77794" w:rsidRPr="00110D6C" w:rsidRDefault="00E77794" w:rsidP="00E77794">
            <w:pPr>
              <w:widowControl/>
              <w:jc w:val="center"/>
              <w:rPr>
                <w:rFonts w:cs="Times New Roman"/>
                <w:bCs/>
                <w:color w:val="auto"/>
                <w:szCs w:val="22"/>
                <w:lang w:val="pt-PT"/>
              </w:rPr>
            </w:pPr>
          </w:p>
          <w:p w14:paraId="5E38E6BB" w14:textId="77777777" w:rsidR="0077031F" w:rsidRPr="00110D6C" w:rsidRDefault="00030085" w:rsidP="00E77794">
            <w:pPr>
              <w:widowControl/>
              <w:jc w:val="center"/>
              <w:rPr>
                <w:rFonts w:cs="Times New Roman"/>
                <w:color w:val="auto"/>
                <w:szCs w:val="22"/>
                <w:lang w:val="pt-PT"/>
              </w:rPr>
            </w:pPr>
            <w:r w:rsidRPr="00110D6C">
              <w:rPr>
                <w:rFonts w:cs="Times New Roman"/>
                <w:b/>
                <w:bCs/>
                <w:color w:val="auto"/>
                <w:szCs w:val="22"/>
                <w:lang w:val="pt-PT"/>
              </w:rPr>
              <w:t>N</w:t>
            </w:r>
            <w:r w:rsidR="00AD79FE" w:rsidRPr="00110D6C">
              <w:rPr>
                <w:rFonts w:cs="Times New Roman"/>
                <w:b/>
                <w:bCs/>
                <w:color w:val="auto"/>
                <w:szCs w:val="22"/>
                <w:lang w:val="pt-PT"/>
              </w:rPr>
              <w:t> </w:t>
            </w:r>
            <w:r w:rsidRPr="00110D6C">
              <w:rPr>
                <w:rFonts w:cs="Times New Roman"/>
                <w:b/>
                <w:bCs/>
                <w:color w:val="auto"/>
                <w:szCs w:val="22"/>
                <w:lang w:val="pt-PT"/>
              </w:rPr>
              <w:t>=</w:t>
            </w:r>
            <w:r w:rsidR="00AD79FE" w:rsidRPr="00110D6C">
              <w:rPr>
                <w:rFonts w:cs="Times New Roman"/>
                <w:b/>
                <w:bCs/>
                <w:color w:val="auto"/>
                <w:szCs w:val="22"/>
                <w:lang w:val="pt-PT"/>
              </w:rPr>
              <w:t> </w:t>
            </w:r>
            <w:r w:rsidRPr="00110D6C">
              <w:rPr>
                <w:rFonts w:cs="Times New Roman"/>
                <w:b/>
                <w:bCs/>
                <w:color w:val="auto"/>
                <w:szCs w:val="22"/>
                <w:lang w:val="pt-PT"/>
              </w:rPr>
              <w:t>131</w:t>
            </w:r>
            <w:r w:rsidRPr="00110D6C">
              <w:rPr>
                <w:rFonts w:cs="Times New Roman"/>
                <w:b/>
                <w:bCs/>
                <w:color w:val="auto"/>
                <w:szCs w:val="22"/>
                <w:vertAlign w:val="superscript"/>
                <w:lang w:val="pt-PT"/>
              </w:rPr>
              <w:t>†</w:t>
            </w:r>
          </w:p>
        </w:tc>
        <w:tc>
          <w:tcPr>
            <w:tcW w:w="1574" w:type="dxa"/>
            <w:tcBorders>
              <w:top w:val="single" w:sz="4" w:space="0" w:color="auto"/>
              <w:left w:val="single" w:sz="4" w:space="0" w:color="auto"/>
            </w:tcBorders>
            <w:shd w:val="clear" w:color="auto" w:fill="auto"/>
          </w:tcPr>
          <w:p w14:paraId="47F88FA4" w14:textId="77777777" w:rsidR="0077031F" w:rsidRPr="00110D6C" w:rsidRDefault="00030085" w:rsidP="00E77794">
            <w:pPr>
              <w:widowControl/>
              <w:jc w:val="center"/>
              <w:rPr>
                <w:rFonts w:cs="Times New Roman"/>
                <w:color w:val="auto"/>
                <w:szCs w:val="22"/>
                <w:lang w:val="pt-PT"/>
              </w:rPr>
            </w:pPr>
            <w:r w:rsidRPr="00110D6C">
              <w:rPr>
                <w:rFonts w:cs="Times New Roman"/>
                <w:b/>
                <w:bCs/>
                <w:color w:val="auto"/>
                <w:szCs w:val="22"/>
                <w:lang w:val="pt-PT"/>
              </w:rPr>
              <w:lastRenderedPageBreak/>
              <w:t>9</w:t>
            </w:r>
            <w:r w:rsidR="00B910F9" w:rsidRPr="00110D6C">
              <w:rPr>
                <w:rFonts w:cs="Times New Roman"/>
                <w:b/>
                <w:bCs/>
                <w:color w:val="auto"/>
                <w:szCs w:val="22"/>
                <w:lang w:val="pt-PT"/>
              </w:rPr>
              <w:t>0 </w:t>
            </w:r>
            <w:r w:rsidRPr="00110D6C">
              <w:rPr>
                <w:rFonts w:cs="Times New Roman"/>
                <w:b/>
                <w:bCs/>
                <w:color w:val="auto"/>
                <w:szCs w:val="22"/>
                <w:lang w:val="pt-PT"/>
              </w:rPr>
              <w:t xml:space="preserve">mg de ustecinumab </w:t>
            </w:r>
            <w:r w:rsidRPr="00110D6C">
              <w:rPr>
                <w:rFonts w:cs="Times New Roman"/>
                <w:b/>
                <w:bCs/>
                <w:color w:val="auto"/>
                <w:szCs w:val="22"/>
                <w:lang w:val="pt-PT"/>
              </w:rPr>
              <w:lastRenderedPageBreak/>
              <w:t xml:space="preserve">em intervalos de </w:t>
            </w:r>
            <w:r w:rsidR="00B910F9" w:rsidRPr="00110D6C">
              <w:rPr>
                <w:rFonts w:cs="Times New Roman"/>
                <w:b/>
                <w:bCs/>
                <w:color w:val="auto"/>
                <w:szCs w:val="22"/>
                <w:lang w:val="pt-PT"/>
              </w:rPr>
              <w:t>8 </w:t>
            </w:r>
            <w:r w:rsidRPr="00110D6C">
              <w:rPr>
                <w:rFonts w:cs="Times New Roman"/>
                <w:b/>
                <w:bCs/>
                <w:color w:val="auto"/>
                <w:szCs w:val="22"/>
                <w:lang w:val="pt-PT"/>
              </w:rPr>
              <w:t>semanas</w:t>
            </w:r>
          </w:p>
          <w:p w14:paraId="25AB5C26" w14:textId="77777777" w:rsidR="00E77794" w:rsidRPr="00110D6C" w:rsidRDefault="00E77794" w:rsidP="00E77794">
            <w:pPr>
              <w:widowControl/>
              <w:jc w:val="center"/>
              <w:rPr>
                <w:rFonts w:cs="Times New Roman"/>
                <w:bCs/>
                <w:color w:val="auto"/>
                <w:szCs w:val="22"/>
                <w:lang w:val="pt-PT"/>
              </w:rPr>
            </w:pPr>
          </w:p>
          <w:p w14:paraId="39FAE1EA" w14:textId="77777777" w:rsidR="0077031F" w:rsidRPr="00110D6C" w:rsidRDefault="00030085" w:rsidP="00AD79FE">
            <w:pPr>
              <w:widowControl/>
              <w:jc w:val="center"/>
              <w:rPr>
                <w:rFonts w:cs="Times New Roman"/>
                <w:color w:val="auto"/>
                <w:szCs w:val="22"/>
                <w:lang w:val="pt-PT"/>
              </w:rPr>
            </w:pPr>
            <w:r w:rsidRPr="00110D6C">
              <w:rPr>
                <w:rFonts w:cs="Times New Roman"/>
                <w:b/>
                <w:bCs/>
                <w:color w:val="auto"/>
                <w:szCs w:val="22"/>
                <w:lang w:val="pt-PT"/>
              </w:rPr>
              <w:t>N</w:t>
            </w:r>
            <w:r w:rsidR="00AD79FE" w:rsidRPr="00110D6C">
              <w:rPr>
                <w:rFonts w:cs="Times New Roman"/>
                <w:b/>
                <w:bCs/>
                <w:color w:val="auto"/>
                <w:szCs w:val="22"/>
                <w:lang w:val="pt-PT"/>
              </w:rPr>
              <w:t> </w:t>
            </w:r>
            <w:r w:rsidRPr="00110D6C">
              <w:rPr>
                <w:rFonts w:cs="Times New Roman"/>
                <w:b/>
                <w:bCs/>
                <w:color w:val="auto"/>
                <w:szCs w:val="22"/>
                <w:lang w:val="pt-PT"/>
              </w:rPr>
              <w:t>=</w:t>
            </w:r>
            <w:r w:rsidR="00AD79FE" w:rsidRPr="00110D6C">
              <w:rPr>
                <w:rFonts w:cs="Times New Roman"/>
                <w:b/>
                <w:bCs/>
                <w:color w:val="auto"/>
                <w:szCs w:val="22"/>
                <w:lang w:val="pt-PT"/>
              </w:rPr>
              <w:t> </w:t>
            </w:r>
            <w:r w:rsidRPr="00110D6C">
              <w:rPr>
                <w:rFonts w:cs="Times New Roman"/>
                <w:b/>
                <w:bCs/>
                <w:color w:val="auto"/>
                <w:szCs w:val="22"/>
                <w:lang w:val="pt-PT"/>
              </w:rPr>
              <w:t>128</w:t>
            </w:r>
            <w:r w:rsidRPr="00110D6C">
              <w:rPr>
                <w:rFonts w:cs="Times New Roman"/>
                <w:b/>
                <w:bCs/>
                <w:color w:val="auto"/>
                <w:szCs w:val="22"/>
                <w:vertAlign w:val="superscript"/>
                <w:lang w:val="pt-PT"/>
              </w:rPr>
              <w:t>†</w:t>
            </w:r>
          </w:p>
        </w:tc>
        <w:tc>
          <w:tcPr>
            <w:tcW w:w="1550" w:type="dxa"/>
            <w:tcBorders>
              <w:top w:val="single" w:sz="4" w:space="0" w:color="auto"/>
              <w:left w:val="single" w:sz="4" w:space="0" w:color="auto"/>
              <w:right w:val="single" w:sz="4" w:space="0" w:color="auto"/>
            </w:tcBorders>
            <w:shd w:val="clear" w:color="auto" w:fill="auto"/>
          </w:tcPr>
          <w:p w14:paraId="68B9AC1E" w14:textId="77777777" w:rsidR="0077031F" w:rsidRPr="00110D6C" w:rsidRDefault="00030085" w:rsidP="00E77794">
            <w:pPr>
              <w:widowControl/>
              <w:jc w:val="center"/>
              <w:rPr>
                <w:rFonts w:cs="Times New Roman"/>
                <w:color w:val="auto"/>
                <w:szCs w:val="22"/>
                <w:lang w:val="pt-PT"/>
              </w:rPr>
            </w:pPr>
            <w:r w:rsidRPr="00110D6C">
              <w:rPr>
                <w:rFonts w:cs="Times New Roman"/>
                <w:b/>
                <w:bCs/>
                <w:color w:val="auto"/>
                <w:szCs w:val="22"/>
                <w:lang w:val="pt-PT"/>
              </w:rPr>
              <w:lastRenderedPageBreak/>
              <w:t>9</w:t>
            </w:r>
            <w:r w:rsidR="00B910F9" w:rsidRPr="00110D6C">
              <w:rPr>
                <w:rFonts w:cs="Times New Roman"/>
                <w:b/>
                <w:bCs/>
                <w:color w:val="auto"/>
                <w:szCs w:val="22"/>
                <w:lang w:val="pt-PT"/>
              </w:rPr>
              <w:t>0 </w:t>
            </w:r>
            <w:r w:rsidRPr="00110D6C">
              <w:rPr>
                <w:rFonts w:cs="Times New Roman"/>
                <w:b/>
                <w:bCs/>
                <w:color w:val="auto"/>
                <w:szCs w:val="22"/>
                <w:lang w:val="pt-PT"/>
              </w:rPr>
              <w:t xml:space="preserve">mg de ustecinumab em intervalos </w:t>
            </w:r>
            <w:r w:rsidRPr="00110D6C">
              <w:rPr>
                <w:rFonts w:cs="Times New Roman"/>
                <w:b/>
                <w:bCs/>
                <w:color w:val="auto"/>
                <w:szCs w:val="22"/>
                <w:lang w:val="pt-PT"/>
              </w:rPr>
              <w:lastRenderedPageBreak/>
              <w:t>de 1</w:t>
            </w:r>
            <w:r w:rsidR="00B910F9" w:rsidRPr="00110D6C">
              <w:rPr>
                <w:rFonts w:cs="Times New Roman"/>
                <w:b/>
                <w:bCs/>
                <w:color w:val="auto"/>
                <w:szCs w:val="22"/>
                <w:lang w:val="pt-PT"/>
              </w:rPr>
              <w:t>2 </w:t>
            </w:r>
            <w:r w:rsidRPr="00110D6C">
              <w:rPr>
                <w:rFonts w:cs="Times New Roman"/>
                <w:b/>
                <w:bCs/>
                <w:color w:val="auto"/>
                <w:szCs w:val="22"/>
                <w:lang w:val="pt-PT"/>
              </w:rPr>
              <w:t>semanas</w:t>
            </w:r>
          </w:p>
          <w:p w14:paraId="360CDA22" w14:textId="77777777" w:rsidR="0077031F" w:rsidRPr="00110D6C" w:rsidRDefault="00030085" w:rsidP="00AD79FE">
            <w:pPr>
              <w:widowControl/>
              <w:jc w:val="center"/>
              <w:rPr>
                <w:rFonts w:cs="Times New Roman"/>
                <w:color w:val="auto"/>
                <w:szCs w:val="22"/>
                <w:lang w:val="pt-PT"/>
              </w:rPr>
            </w:pPr>
            <w:r w:rsidRPr="00110D6C">
              <w:rPr>
                <w:rFonts w:cs="Times New Roman"/>
                <w:b/>
                <w:bCs/>
                <w:color w:val="auto"/>
                <w:szCs w:val="22"/>
                <w:lang w:val="pt-PT"/>
              </w:rPr>
              <w:t>N</w:t>
            </w:r>
            <w:r w:rsidR="00AD79FE" w:rsidRPr="00110D6C">
              <w:rPr>
                <w:rFonts w:cs="Times New Roman"/>
                <w:b/>
                <w:bCs/>
                <w:color w:val="auto"/>
                <w:szCs w:val="22"/>
                <w:lang w:val="pt-PT"/>
              </w:rPr>
              <w:t> </w:t>
            </w:r>
            <w:r w:rsidRPr="00110D6C">
              <w:rPr>
                <w:rFonts w:cs="Times New Roman"/>
                <w:b/>
                <w:bCs/>
                <w:color w:val="auto"/>
                <w:szCs w:val="22"/>
                <w:lang w:val="pt-PT"/>
              </w:rPr>
              <w:t>=</w:t>
            </w:r>
            <w:r w:rsidR="00AD79FE" w:rsidRPr="00110D6C">
              <w:rPr>
                <w:rFonts w:cs="Times New Roman"/>
                <w:b/>
                <w:bCs/>
                <w:color w:val="auto"/>
                <w:szCs w:val="22"/>
                <w:lang w:val="pt-PT"/>
              </w:rPr>
              <w:t> </w:t>
            </w:r>
            <w:r w:rsidRPr="00110D6C">
              <w:rPr>
                <w:rFonts w:cs="Times New Roman"/>
                <w:b/>
                <w:bCs/>
                <w:color w:val="auto"/>
                <w:szCs w:val="22"/>
                <w:lang w:val="pt-PT"/>
              </w:rPr>
              <w:t>129</w:t>
            </w:r>
            <w:r w:rsidRPr="00110D6C">
              <w:rPr>
                <w:rFonts w:cs="Times New Roman"/>
                <w:b/>
                <w:bCs/>
                <w:color w:val="auto"/>
                <w:szCs w:val="22"/>
                <w:vertAlign w:val="superscript"/>
                <w:lang w:val="pt-PT"/>
              </w:rPr>
              <w:t>†</w:t>
            </w:r>
          </w:p>
        </w:tc>
      </w:tr>
      <w:tr w:rsidR="0077031F" w:rsidRPr="00110D6C" w14:paraId="1FF469FA" w14:textId="77777777" w:rsidTr="00E77794">
        <w:tc>
          <w:tcPr>
            <w:tcW w:w="4531" w:type="dxa"/>
            <w:tcBorders>
              <w:top w:val="single" w:sz="4" w:space="0" w:color="auto"/>
              <w:left w:val="single" w:sz="4" w:space="0" w:color="auto"/>
            </w:tcBorders>
            <w:shd w:val="clear" w:color="auto" w:fill="auto"/>
          </w:tcPr>
          <w:p w14:paraId="2CC7E666"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lastRenderedPageBreak/>
              <w:t>Remissão clínica</w:t>
            </w:r>
          </w:p>
        </w:tc>
        <w:tc>
          <w:tcPr>
            <w:tcW w:w="1397" w:type="dxa"/>
            <w:tcBorders>
              <w:top w:val="single" w:sz="4" w:space="0" w:color="auto"/>
              <w:left w:val="single" w:sz="4" w:space="0" w:color="auto"/>
            </w:tcBorders>
            <w:shd w:val="clear" w:color="auto" w:fill="auto"/>
          </w:tcPr>
          <w:p w14:paraId="0BDE99E5"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36%</w:t>
            </w:r>
          </w:p>
        </w:tc>
        <w:tc>
          <w:tcPr>
            <w:tcW w:w="1574" w:type="dxa"/>
            <w:tcBorders>
              <w:top w:val="single" w:sz="4" w:space="0" w:color="auto"/>
              <w:left w:val="single" w:sz="4" w:space="0" w:color="auto"/>
            </w:tcBorders>
            <w:shd w:val="clear" w:color="auto" w:fill="auto"/>
          </w:tcPr>
          <w:p w14:paraId="75C29A90"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53%</w:t>
            </w:r>
            <w:r w:rsidRPr="00110D6C">
              <w:rPr>
                <w:rFonts w:cs="Times New Roman"/>
                <w:color w:val="auto"/>
                <w:szCs w:val="22"/>
                <w:vertAlign w:val="superscript"/>
                <w:lang w:val="pt-PT"/>
              </w:rPr>
              <w:t>a</w:t>
            </w:r>
          </w:p>
        </w:tc>
        <w:tc>
          <w:tcPr>
            <w:tcW w:w="1550" w:type="dxa"/>
            <w:tcBorders>
              <w:top w:val="single" w:sz="4" w:space="0" w:color="auto"/>
              <w:left w:val="single" w:sz="4" w:space="0" w:color="auto"/>
              <w:right w:val="single" w:sz="4" w:space="0" w:color="auto"/>
            </w:tcBorders>
            <w:shd w:val="clear" w:color="auto" w:fill="auto"/>
          </w:tcPr>
          <w:p w14:paraId="45B0853E"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49%</w:t>
            </w:r>
            <w:r w:rsidRPr="00110D6C">
              <w:rPr>
                <w:rFonts w:cs="Times New Roman"/>
                <w:color w:val="auto"/>
                <w:szCs w:val="22"/>
                <w:vertAlign w:val="superscript"/>
                <w:lang w:val="pt-PT"/>
              </w:rPr>
              <w:t>b</w:t>
            </w:r>
          </w:p>
        </w:tc>
      </w:tr>
      <w:tr w:rsidR="0077031F" w:rsidRPr="00110D6C" w14:paraId="4CA19837" w14:textId="77777777" w:rsidTr="00E77794">
        <w:tc>
          <w:tcPr>
            <w:tcW w:w="4531" w:type="dxa"/>
            <w:tcBorders>
              <w:top w:val="single" w:sz="4" w:space="0" w:color="auto"/>
              <w:left w:val="single" w:sz="4" w:space="0" w:color="auto"/>
            </w:tcBorders>
            <w:shd w:val="clear" w:color="auto" w:fill="auto"/>
          </w:tcPr>
          <w:p w14:paraId="7E92561C"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Resposta clínica</w:t>
            </w:r>
          </w:p>
        </w:tc>
        <w:tc>
          <w:tcPr>
            <w:tcW w:w="1397" w:type="dxa"/>
            <w:tcBorders>
              <w:top w:val="single" w:sz="4" w:space="0" w:color="auto"/>
              <w:left w:val="single" w:sz="4" w:space="0" w:color="auto"/>
            </w:tcBorders>
            <w:shd w:val="clear" w:color="auto" w:fill="auto"/>
          </w:tcPr>
          <w:p w14:paraId="4EFE7C83"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44%</w:t>
            </w:r>
          </w:p>
        </w:tc>
        <w:tc>
          <w:tcPr>
            <w:tcW w:w="1574" w:type="dxa"/>
            <w:tcBorders>
              <w:top w:val="single" w:sz="4" w:space="0" w:color="auto"/>
              <w:left w:val="single" w:sz="4" w:space="0" w:color="auto"/>
            </w:tcBorders>
            <w:shd w:val="clear" w:color="auto" w:fill="auto"/>
          </w:tcPr>
          <w:p w14:paraId="13FB8FAD"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59%</w:t>
            </w:r>
            <w:r w:rsidRPr="00110D6C">
              <w:rPr>
                <w:rFonts w:cs="Times New Roman"/>
                <w:color w:val="auto"/>
                <w:szCs w:val="22"/>
                <w:vertAlign w:val="superscript"/>
                <w:lang w:val="pt-PT"/>
              </w:rPr>
              <w:t>b</w:t>
            </w:r>
          </w:p>
        </w:tc>
        <w:tc>
          <w:tcPr>
            <w:tcW w:w="1550" w:type="dxa"/>
            <w:tcBorders>
              <w:top w:val="single" w:sz="4" w:space="0" w:color="auto"/>
              <w:left w:val="single" w:sz="4" w:space="0" w:color="auto"/>
              <w:right w:val="single" w:sz="4" w:space="0" w:color="auto"/>
            </w:tcBorders>
            <w:shd w:val="clear" w:color="auto" w:fill="auto"/>
          </w:tcPr>
          <w:p w14:paraId="34C38A68"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58%</w:t>
            </w:r>
            <w:r w:rsidRPr="00110D6C">
              <w:rPr>
                <w:rFonts w:cs="Times New Roman"/>
                <w:color w:val="auto"/>
                <w:szCs w:val="22"/>
                <w:vertAlign w:val="superscript"/>
                <w:lang w:val="pt-PT"/>
              </w:rPr>
              <w:t>b</w:t>
            </w:r>
          </w:p>
        </w:tc>
      </w:tr>
      <w:tr w:rsidR="0077031F" w:rsidRPr="00110D6C" w14:paraId="2062D2BC" w14:textId="77777777" w:rsidTr="00E77794">
        <w:tc>
          <w:tcPr>
            <w:tcW w:w="4531" w:type="dxa"/>
            <w:tcBorders>
              <w:top w:val="single" w:sz="4" w:space="0" w:color="auto"/>
              <w:left w:val="single" w:sz="4" w:space="0" w:color="auto"/>
            </w:tcBorders>
            <w:shd w:val="clear" w:color="auto" w:fill="auto"/>
          </w:tcPr>
          <w:p w14:paraId="6E59470D"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Remissão clínica livre de corticosteroides</w:t>
            </w:r>
          </w:p>
        </w:tc>
        <w:tc>
          <w:tcPr>
            <w:tcW w:w="1397" w:type="dxa"/>
            <w:tcBorders>
              <w:top w:val="single" w:sz="4" w:space="0" w:color="auto"/>
              <w:left w:val="single" w:sz="4" w:space="0" w:color="auto"/>
            </w:tcBorders>
            <w:shd w:val="clear" w:color="auto" w:fill="auto"/>
          </w:tcPr>
          <w:p w14:paraId="7207AC17"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30%</w:t>
            </w:r>
          </w:p>
        </w:tc>
        <w:tc>
          <w:tcPr>
            <w:tcW w:w="1574" w:type="dxa"/>
            <w:tcBorders>
              <w:top w:val="single" w:sz="4" w:space="0" w:color="auto"/>
              <w:left w:val="single" w:sz="4" w:space="0" w:color="auto"/>
            </w:tcBorders>
            <w:shd w:val="clear" w:color="auto" w:fill="auto"/>
          </w:tcPr>
          <w:p w14:paraId="2B61DDA0"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47%</w:t>
            </w:r>
            <w:r w:rsidRPr="00110D6C">
              <w:rPr>
                <w:rFonts w:cs="Times New Roman"/>
                <w:color w:val="auto"/>
                <w:szCs w:val="22"/>
                <w:vertAlign w:val="superscript"/>
                <w:lang w:val="pt-PT"/>
              </w:rPr>
              <w:t>a</w:t>
            </w:r>
          </w:p>
        </w:tc>
        <w:tc>
          <w:tcPr>
            <w:tcW w:w="1550" w:type="dxa"/>
            <w:tcBorders>
              <w:top w:val="single" w:sz="4" w:space="0" w:color="auto"/>
              <w:left w:val="single" w:sz="4" w:space="0" w:color="auto"/>
              <w:right w:val="single" w:sz="4" w:space="0" w:color="auto"/>
            </w:tcBorders>
            <w:shd w:val="clear" w:color="auto" w:fill="auto"/>
          </w:tcPr>
          <w:p w14:paraId="648012EC"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43%</w:t>
            </w:r>
            <w:r w:rsidRPr="00110D6C">
              <w:rPr>
                <w:rFonts w:cs="Times New Roman"/>
                <w:color w:val="auto"/>
                <w:szCs w:val="22"/>
                <w:vertAlign w:val="superscript"/>
                <w:lang w:val="pt-PT"/>
              </w:rPr>
              <w:t>c</w:t>
            </w:r>
          </w:p>
        </w:tc>
      </w:tr>
      <w:tr w:rsidR="0077031F" w:rsidRPr="00110D6C" w14:paraId="0754F7AD" w14:textId="77777777" w:rsidTr="00E77794">
        <w:tc>
          <w:tcPr>
            <w:tcW w:w="4531" w:type="dxa"/>
            <w:tcBorders>
              <w:top w:val="single" w:sz="4" w:space="0" w:color="auto"/>
              <w:left w:val="single" w:sz="4" w:space="0" w:color="auto"/>
            </w:tcBorders>
            <w:shd w:val="clear" w:color="auto" w:fill="auto"/>
          </w:tcPr>
          <w:p w14:paraId="0A3B3876"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Remissão clínica nos doentes:</w:t>
            </w:r>
          </w:p>
        </w:tc>
        <w:tc>
          <w:tcPr>
            <w:tcW w:w="1397" w:type="dxa"/>
            <w:tcBorders>
              <w:top w:val="single" w:sz="4" w:space="0" w:color="auto"/>
              <w:left w:val="single" w:sz="4" w:space="0" w:color="auto"/>
            </w:tcBorders>
            <w:shd w:val="clear" w:color="auto" w:fill="auto"/>
          </w:tcPr>
          <w:p w14:paraId="1CF1C942" w14:textId="77777777" w:rsidR="0077031F" w:rsidRPr="00110D6C" w:rsidRDefault="0077031F" w:rsidP="00E77794">
            <w:pPr>
              <w:widowControl/>
              <w:jc w:val="center"/>
              <w:rPr>
                <w:rFonts w:cs="Times New Roman"/>
                <w:color w:val="auto"/>
                <w:szCs w:val="22"/>
                <w:lang w:val="pt-PT"/>
              </w:rPr>
            </w:pPr>
          </w:p>
        </w:tc>
        <w:tc>
          <w:tcPr>
            <w:tcW w:w="1574" w:type="dxa"/>
            <w:tcBorders>
              <w:top w:val="single" w:sz="4" w:space="0" w:color="auto"/>
              <w:left w:val="single" w:sz="4" w:space="0" w:color="auto"/>
            </w:tcBorders>
            <w:shd w:val="clear" w:color="auto" w:fill="auto"/>
          </w:tcPr>
          <w:p w14:paraId="02C299E9" w14:textId="77777777" w:rsidR="0077031F" w:rsidRPr="00110D6C" w:rsidRDefault="0077031F" w:rsidP="00E77794">
            <w:pPr>
              <w:widowControl/>
              <w:jc w:val="center"/>
              <w:rPr>
                <w:rFonts w:cs="Times New Roman"/>
                <w:color w:val="auto"/>
                <w:szCs w:val="22"/>
                <w:lang w:val="pt-PT"/>
              </w:rPr>
            </w:pPr>
          </w:p>
        </w:tc>
        <w:tc>
          <w:tcPr>
            <w:tcW w:w="1550" w:type="dxa"/>
            <w:tcBorders>
              <w:top w:val="single" w:sz="4" w:space="0" w:color="auto"/>
              <w:left w:val="single" w:sz="4" w:space="0" w:color="auto"/>
              <w:right w:val="single" w:sz="4" w:space="0" w:color="auto"/>
            </w:tcBorders>
            <w:shd w:val="clear" w:color="auto" w:fill="auto"/>
          </w:tcPr>
          <w:p w14:paraId="7E972435" w14:textId="77777777" w:rsidR="0077031F" w:rsidRPr="00110D6C" w:rsidRDefault="0077031F" w:rsidP="00E77794">
            <w:pPr>
              <w:widowControl/>
              <w:jc w:val="center"/>
              <w:rPr>
                <w:rFonts w:cs="Times New Roman"/>
                <w:color w:val="auto"/>
                <w:szCs w:val="22"/>
                <w:lang w:val="pt-PT"/>
              </w:rPr>
            </w:pPr>
          </w:p>
        </w:tc>
      </w:tr>
      <w:tr w:rsidR="0077031F" w:rsidRPr="00110D6C" w14:paraId="6AFEFDB0" w14:textId="77777777" w:rsidTr="00E77794">
        <w:tc>
          <w:tcPr>
            <w:tcW w:w="4531" w:type="dxa"/>
            <w:tcBorders>
              <w:top w:val="single" w:sz="4" w:space="0" w:color="auto"/>
              <w:left w:val="single" w:sz="4" w:space="0" w:color="auto"/>
            </w:tcBorders>
            <w:shd w:val="clear" w:color="auto" w:fill="auto"/>
          </w:tcPr>
          <w:p w14:paraId="61AE59F9"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em remissão no início da terapêutica de manutenção</w:t>
            </w:r>
          </w:p>
        </w:tc>
        <w:tc>
          <w:tcPr>
            <w:tcW w:w="1397" w:type="dxa"/>
            <w:tcBorders>
              <w:top w:val="single" w:sz="4" w:space="0" w:color="auto"/>
              <w:left w:val="single" w:sz="4" w:space="0" w:color="auto"/>
            </w:tcBorders>
            <w:shd w:val="clear" w:color="auto" w:fill="auto"/>
          </w:tcPr>
          <w:p w14:paraId="78BE9326"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46% (36/79)</w:t>
            </w:r>
          </w:p>
        </w:tc>
        <w:tc>
          <w:tcPr>
            <w:tcW w:w="1574" w:type="dxa"/>
            <w:tcBorders>
              <w:top w:val="single" w:sz="4" w:space="0" w:color="auto"/>
              <w:left w:val="single" w:sz="4" w:space="0" w:color="auto"/>
            </w:tcBorders>
            <w:shd w:val="clear" w:color="auto" w:fill="auto"/>
          </w:tcPr>
          <w:p w14:paraId="42201603"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67% (52/78)</w:t>
            </w:r>
            <w:r w:rsidRPr="00110D6C">
              <w:rPr>
                <w:rFonts w:cs="Times New Roman"/>
                <w:color w:val="auto"/>
                <w:szCs w:val="22"/>
                <w:vertAlign w:val="superscript"/>
                <w:lang w:val="pt-PT"/>
              </w:rPr>
              <w:t>a</w:t>
            </w:r>
          </w:p>
        </w:tc>
        <w:tc>
          <w:tcPr>
            <w:tcW w:w="1550" w:type="dxa"/>
            <w:tcBorders>
              <w:top w:val="single" w:sz="4" w:space="0" w:color="auto"/>
              <w:left w:val="single" w:sz="4" w:space="0" w:color="auto"/>
              <w:right w:val="single" w:sz="4" w:space="0" w:color="auto"/>
            </w:tcBorders>
            <w:shd w:val="clear" w:color="auto" w:fill="auto"/>
          </w:tcPr>
          <w:p w14:paraId="63F938A5"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56% (44/78)</w:t>
            </w:r>
          </w:p>
        </w:tc>
      </w:tr>
      <w:tr w:rsidR="0077031F" w:rsidRPr="00110D6C" w14:paraId="4537E401" w14:textId="77777777" w:rsidTr="00E77794">
        <w:tc>
          <w:tcPr>
            <w:tcW w:w="4531" w:type="dxa"/>
            <w:tcBorders>
              <w:top w:val="single" w:sz="4" w:space="0" w:color="auto"/>
              <w:left w:val="single" w:sz="4" w:space="0" w:color="auto"/>
            </w:tcBorders>
            <w:shd w:val="clear" w:color="auto" w:fill="auto"/>
          </w:tcPr>
          <w:p w14:paraId="53572A6B"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que entraram do estudo CRD3002</w:t>
            </w:r>
            <w:r w:rsidRPr="00110D6C">
              <w:rPr>
                <w:rFonts w:cs="Times New Roman"/>
                <w:color w:val="auto"/>
                <w:szCs w:val="22"/>
                <w:vertAlign w:val="superscript"/>
                <w:lang w:val="pt-PT"/>
              </w:rPr>
              <w:t>‡</w:t>
            </w:r>
          </w:p>
        </w:tc>
        <w:tc>
          <w:tcPr>
            <w:tcW w:w="1397" w:type="dxa"/>
            <w:tcBorders>
              <w:top w:val="single" w:sz="4" w:space="0" w:color="auto"/>
              <w:left w:val="single" w:sz="4" w:space="0" w:color="auto"/>
            </w:tcBorders>
            <w:shd w:val="clear" w:color="auto" w:fill="auto"/>
          </w:tcPr>
          <w:p w14:paraId="520330D9"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44% (31/70)</w:t>
            </w:r>
          </w:p>
        </w:tc>
        <w:tc>
          <w:tcPr>
            <w:tcW w:w="1574" w:type="dxa"/>
            <w:tcBorders>
              <w:top w:val="single" w:sz="4" w:space="0" w:color="auto"/>
              <w:left w:val="single" w:sz="4" w:space="0" w:color="auto"/>
            </w:tcBorders>
            <w:shd w:val="clear" w:color="auto" w:fill="auto"/>
          </w:tcPr>
          <w:p w14:paraId="5F75D6D6"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63% (45/72)</w:t>
            </w:r>
            <w:r w:rsidRPr="00110D6C">
              <w:rPr>
                <w:rFonts w:cs="Times New Roman"/>
                <w:color w:val="auto"/>
                <w:szCs w:val="22"/>
                <w:vertAlign w:val="superscript"/>
                <w:lang w:val="pt-PT"/>
              </w:rPr>
              <w:t>c</w:t>
            </w:r>
          </w:p>
        </w:tc>
        <w:tc>
          <w:tcPr>
            <w:tcW w:w="1550" w:type="dxa"/>
            <w:tcBorders>
              <w:top w:val="single" w:sz="4" w:space="0" w:color="auto"/>
              <w:left w:val="single" w:sz="4" w:space="0" w:color="auto"/>
              <w:right w:val="single" w:sz="4" w:space="0" w:color="auto"/>
            </w:tcBorders>
            <w:shd w:val="clear" w:color="auto" w:fill="auto"/>
          </w:tcPr>
          <w:p w14:paraId="46BFC00F"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57% (41/72)</w:t>
            </w:r>
          </w:p>
        </w:tc>
      </w:tr>
      <w:tr w:rsidR="0077031F" w:rsidRPr="00110D6C" w14:paraId="610DD622" w14:textId="77777777" w:rsidTr="00E77794">
        <w:tc>
          <w:tcPr>
            <w:tcW w:w="4531" w:type="dxa"/>
            <w:tcBorders>
              <w:top w:val="single" w:sz="4" w:space="0" w:color="auto"/>
              <w:left w:val="single" w:sz="4" w:space="0" w:color="auto"/>
            </w:tcBorders>
            <w:shd w:val="clear" w:color="auto" w:fill="auto"/>
          </w:tcPr>
          <w:p w14:paraId="0C32CB11"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que não tinham terapêutica anterior anti-TNFα</w:t>
            </w:r>
          </w:p>
        </w:tc>
        <w:tc>
          <w:tcPr>
            <w:tcW w:w="1397" w:type="dxa"/>
            <w:tcBorders>
              <w:top w:val="single" w:sz="4" w:space="0" w:color="auto"/>
              <w:left w:val="single" w:sz="4" w:space="0" w:color="auto"/>
            </w:tcBorders>
            <w:shd w:val="clear" w:color="auto" w:fill="auto"/>
          </w:tcPr>
          <w:p w14:paraId="13A4F058"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49% (25/51)</w:t>
            </w:r>
          </w:p>
        </w:tc>
        <w:tc>
          <w:tcPr>
            <w:tcW w:w="1574" w:type="dxa"/>
            <w:tcBorders>
              <w:top w:val="single" w:sz="4" w:space="0" w:color="auto"/>
              <w:left w:val="single" w:sz="4" w:space="0" w:color="auto"/>
            </w:tcBorders>
            <w:shd w:val="clear" w:color="auto" w:fill="auto"/>
          </w:tcPr>
          <w:p w14:paraId="39A5170B"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65% (34/52)</w:t>
            </w:r>
            <w:r w:rsidRPr="00110D6C">
              <w:rPr>
                <w:rFonts w:cs="Times New Roman"/>
                <w:color w:val="auto"/>
                <w:szCs w:val="22"/>
                <w:vertAlign w:val="superscript"/>
                <w:lang w:val="pt-PT"/>
              </w:rPr>
              <w:t>c</w:t>
            </w:r>
          </w:p>
        </w:tc>
        <w:tc>
          <w:tcPr>
            <w:tcW w:w="1550" w:type="dxa"/>
            <w:tcBorders>
              <w:top w:val="single" w:sz="4" w:space="0" w:color="auto"/>
              <w:left w:val="single" w:sz="4" w:space="0" w:color="auto"/>
              <w:right w:val="single" w:sz="4" w:space="0" w:color="auto"/>
            </w:tcBorders>
            <w:shd w:val="clear" w:color="auto" w:fill="auto"/>
          </w:tcPr>
          <w:p w14:paraId="0D71C7E2"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57% (30/53)</w:t>
            </w:r>
          </w:p>
        </w:tc>
      </w:tr>
      <w:tr w:rsidR="0077031F" w:rsidRPr="00110D6C" w14:paraId="01B1C9F6" w14:textId="77777777" w:rsidTr="00E77794">
        <w:tc>
          <w:tcPr>
            <w:tcW w:w="4531" w:type="dxa"/>
            <w:tcBorders>
              <w:top w:val="single" w:sz="4" w:space="0" w:color="auto"/>
              <w:left w:val="single" w:sz="4" w:space="0" w:color="auto"/>
              <w:bottom w:val="single" w:sz="4" w:space="0" w:color="auto"/>
            </w:tcBorders>
            <w:shd w:val="clear" w:color="auto" w:fill="auto"/>
          </w:tcPr>
          <w:p w14:paraId="6ADCB68F" w14:textId="77777777" w:rsidR="0077031F" w:rsidRPr="00110D6C" w:rsidRDefault="00030085" w:rsidP="00E77794">
            <w:pPr>
              <w:widowControl/>
              <w:rPr>
                <w:rFonts w:cs="Times New Roman"/>
                <w:color w:val="auto"/>
                <w:szCs w:val="22"/>
                <w:lang w:val="pt-PT"/>
              </w:rPr>
            </w:pPr>
            <w:r w:rsidRPr="00110D6C">
              <w:rPr>
                <w:rFonts w:cs="Times New Roman"/>
                <w:color w:val="auto"/>
                <w:szCs w:val="22"/>
                <w:lang w:val="pt-PT"/>
              </w:rPr>
              <w:t>que entraram do estudo CRD3001</w:t>
            </w:r>
            <w:r w:rsidRPr="00110D6C">
              <w:rPr>
                <w:rFonts w:cs="Times New Roman"/>
                <w:color w:val="auto"/>
                <w:szCs w:val="22"/>
                <w:vertAlign w:val="superscript"/>
                <w:lang w:val="pt-PT"/>
              </w:rPr>
              <w:t>§</w:t>
            </w:r>
          </w:p>
        </w:tc>
        <w:tc>
          <w:tcPr>
            <w:tcW w:w="1397" w:type="dxa"/>
            <w:tcBorders>
              <w:top w:val="single" w:sz="4" w:space="0" w:color="auto"/>
              <w:left w:val="single" w:sz="4" w:space="0" w:color="auto"/>
              <w:bottom w:val="single" w:sz="4" w:space="0" w:color="auto"/>
            </w:tcBorders>
            <w:shd w:val="clear" w:color="auto" w:fill="auto"/>
          </w:tcPr>
          <w:p w14:paraId="30546E7B"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26% (16/61)</w:t>
            </w:r>
          </w:p>
        </w:tc>
        <w:tc>
          <w:tcPr>
            <w:tcW w:w="1574" w:type="dxa"/>
            <w:tcBorders>
              <w:top w:val="single" w:sz="4" w:space="0" w:color="auto"/>
              <w:left w:val="single" w:sz="4" w:space="0" w:color="auto"/>
              <w:bottom w:val="single" w:sz="4" w:space="0" w:color="auto"/>
            </w:tcBorders>
            <w:shd w:val="clear" w:color="auto" w:fill="auto"/>
          </w:tcPr>
          <w:p w14:paraId="321F3921"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41% (23/56)</w:t>
            </w:r>
          </w:p>
        </w:tc>
        <w:tc>
          <w:tcPr>
            <w:tcW w:w="1550" w:type="dxa"/>
            <w:tcBorders>
              <w:top w:val="single" w:sz="4" w:space="0" w:color="auto"/>
              <w:left w:val="single" w:sz="4" w:space="0" w:color="auto"/>
              <w:bottom w:val="single" w:sz="4" w:space="0" w:color="auto"/>
              <w:right w:val="single" w:sz="4" w:space="0" w:color="auto"/>
            </w:tcBorders>
            <w:shd w:val="clear" w:color="auto" w:fill="auto"/>
          </w:tcPr>
          <w:p w14:paraId="72DF75A9" w14:textId="77777777" w:rsidR="0077031F" w:rsidRPr="00110D6C" w:rsidRDefault="00030085" w:rsidP="00E77794">
            <w:pPr>
              <w:widowControl/>
              <w:jc w:val="center"/>
              <w:rPr>
                <w:rFonts w:cs="Times New Roman"/>
                <w:color w:val="auto"/>
                <w:szCs w:val="22"/>
                <w:lang w:val="pt-PT"/>
              </w:rPr>
            </w:pPr>
            <w:r w:rsidRPr="00110D6C">
              <w:rPr>
                <w:rFonts w:cs="Times New Roman"/>
                <w:color w:val="auto"/>
                <w:szCs w:val="22"/>
                <w:lang w:val="pt-PT"/>
              </w:rPr>
              <w:t>39% (22/57)</w:t>
            </w:r>
          </w:p>
        </w:tc>
      </w:tr>
    </w:tbl>
    <w:p w14:paraId="1C9D95B2" w14:textId="77777777" w:rsidR="0077031F" w:rsidRPr="00110D6C" w:rsidRDefault="00030085" w:rsidP="00A17623">
      <w:pPr>
        <w:widowControl/>
        <w:rPr>
          <w:rFonts w:cs="Times New Roman"/>
          <w:color w:val="auto"/>
          <w:sz w:val="20"/>
          <w:szCs w:val="20"/>
          <w:lang w:val="pt-PT"/>
        </w:rPr>
      </w:pPr>
      <w:r w:rsidRPr="00110D6C">
        <w:rPr>
          <w:rFonts w:cs="Times New Roman"/>
          <w:color w:val="auto"/>
          <w:sz w:val="20"/>
          <w:szCs w:val="20"/>
          <w:lang w:val="pt-PT"/>
        </w:rPr>
        <w:t>A remissão clínica é definida como uma pontuação do CDAI &lt;</w:t>
      </w:r>
      <w:r w:rsidR="00F5387C" w:rsidRPr="00110D6C">
        <w:rPr>
          <w:rFonts w:cs="Times New Roman"/>
          <w:color w:val="auto"/>
          <w:sz w:val="20"/>
          <w:szCs w:val="20"/>
          <w:lang w:val="pt-PT"/>
        </w:rPr>
        <w:t> </w:t>
      </w:r>
      <w:r w:rsidRPr="00110D6C">
        <w:rPr>
          <w:rFonts w:cs="Times New Roman"/>
          <w:color w:val="auto"/>
          <w:sz w:val="20"/>
          <w:szCs w:val="20"/>
          <w:lang w:val="pt-PT"/>
        </w:rPr>
        <w:t>150; A resposta clínica é definida como uma diminuição na pontuação do CDAI de, pelo menos, 10</w:t>
      </w:r>
      <w:r w:rsidR="00B910F9" w:rsidRPr="00110D6C">
        <w:rPr>
          <w:rFonts w:cs="Times New Roman"/>
          <w:color w:val="auto"/>
          <w:sz w:val="20"/>
          <w:szCs w:val="20"/>
          <w:lang w:val="pt-PT"/>
        </w:rPr>
        <w:t>0 </w:t>
      </w:r>
      <w:r w:rsidRPr="00110D6C">
        <w:rPr>
          <w:rFonts w:cs="Times New Roman"/>
          <w:color w:val="auto"/>
          <w:sz w:val="20"/>
          <w:szCs w:val="20"/>
          <w:lang w:val="pt-PT"/>
        </w:rPr>
        <w:t>pontos ou estar em remissão clínica.</w:t>
      </w:r>
    </w:p>
    <w:p w14:paraId="64849166" w14:textId="77777777" w:rsidR="0077031F" w:rsidRPr="00110D6C" w:rsidRDefault="00030085" w:rsidP="00E77794">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w:t>
      </w:r>
      <w:r w:rsidR="00E77794" w:rsidRPr="00110D6C">
        <w:rPr>
          <w:rFonts w:cs="Times New Roman"/>
          <w:color w:val="auto"/>
          <w:sz w:val="20"/>
          <w:szCs w:val="20"/>
          <w:lang w:val="pt-PT"/>
        </w:rPr>
        <w:tab/>
      </w:r>
      <w:r w:rsidRPr="00110D6C">
        <w:rPr>
          <w:rFonts w:cs="Times New Roman"/>
          <w:color w:val="auto"/>
          <w:sz w:val="20"/>
          <w:szCs w:val="20"/>
          <w:lang w:val="pt-PT"/>
        </w:rPr>
        <w:t>O grupo do placebo consistia em doentes que estavam a responder a ustecinumab e que foram aleatorizados para receber placebo no início da terapêutica de manutenção.</w:t>
      </w:r>
    </w:p>
    <w:p w14:paraId="4CCAEEB0" w14:textId="77777777" w:rsidR="0077031F" w:rsidRPr="00110D6C" w:rsidRDefault="00030085" w:rsidP="00E77794">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w:t>
      </w:r>
      <w:r w:rsidRPr="00110D6C">
        <w:rPr>
          <w:rFonts w:cs="Times New Roman"/>
          <w:color w:val="auto"/>
          <w:sz w:val="20"/>
          <w:szCs w:val="20"/>
          <w:lang w:val="pt-PT"/>
        </w:rPr>
        <w:tab/>
        <w:t>Doentes que estavam em resposta clínica ao ustecinumab com 10</w:t>
      </w:r>
      <w:r w:rsidR="00B910F9" w:rsidRPr="00110D6C">
        <w:rPr>
          <w:rFonts w:cs="Times New Roman"/>
          <w:color w:val="auto"/>
          <w:sz w:val="20"/>
          <w:szCs w:val="20"/>
          <w:lang w:val="pt-PT"/>
        </w:rPr>
        <w:t>0 </w:t>
      </w:r>
      <w:r w:rsidRPr="00110D6C">
        <w:rPr>
          <w:rFonts w:cs="Times New Roman"/>
          <w:color w:val="auto"/>
          <w:sz w:val="20"/>
          <w:szCs w:val="20"/>
          <w:lang w:val="pt-PT"/>
        </w:rPr>
        <w:t>pontos no início da terapêutica de manutenção</w:t>
      </w:r>
    </w:p>
    <w:p w14:paraId="2033C0B6" w14:textId="77777777" w:rsidR="0077031F" w:rsidRPr="00110D6C" w:rsidRDefault="00030085" w:rsidP="00E77794">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w:t>
      </w:r>
      <w:r w:rsidRPr="00110D6C">
        <w:rPr>
          <w:rFonts w:cs="Times New Roman"/>
          <w:color w:val="auto"/>
          <w:sz w:val="20"/>
          <w:szCs w:val="20"/>
          <w:lang w:val="pt-PT"/>
        </w:rPr>
        <w:tab/>
        <w:t>Doentes que apresentaram falência à terapêutica convencional mas não à terapêutica com anti-TNFα</w:t>
      </w:r>
    </w:p>
    <w:p w14:paraId="7C74D9BC" w14:textId="77777777" w:rsidR="0077031F" w:rsidRPr="00110D6C" w:rsidRDefault="00030085" w:rsidP="00E77794">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w:t>
      </w:r>
      <w:r w:rsidR="00F5387C" w:rsidRPr="00110D6C">
        <w:rPr>
          <w:rFonts w:cs="Times New Roman"/>
          <w:color w:val="auto"/>
          <w:sz w:val="20"/>
          <w:szCs w:val="20"/>
          <w:lang w:val="pt-PT"/>
        </w:rPr>
        <w:tab/>
      </w:r>
      <w:r w:rsidRPr="00110D6C">
        <w:rPr>
          <w:rFonts w:cs="Times New Roman"/>
          <w:color w:val="auto"/>
          <w:sz w:val="20"/>
          <w:szCs w:val="20"/>
          <w:lang w:val="pt-PT"/>
        </w:rPr>
        <w:t>Doentes que são refratários/intolerantes à terapêutica anti-TNFα</w:t>
      </w:r>
    </w:p>
    <w:p w14:paraId="29D1F669" w14:textId="77777777" w:rsidR="0077031F" w:rsidRPr="00110D6C" w:rsidRDefault="00030085" w:rsidP="00E77794">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a</w:t>
      </w:r>
      <w:r w:rsidRPr="00110D6C">
        <w:rPr>
          <w:rFonts w:cs="Times New Roman"/>
          <w:color w:val="auto"/>
          <w:sz w:val="20"/>
          <w:szCs w:val="20"/>
          <w:lang w:val="pt-PT"/>
        </w:rPr>
        <w:tab/>
        <w:t>p</w:t>
      </w:r>
      <w:r w:rsidR="00F5387C" w:rsidRPr="00110D6C">
        <w:rPr>
          <w:rFonts w:cs="Times New Roman"/>
          <w:color w:val="auto"/>
          <w:sz w:val="20"/>
          <w:szCs w:val="20"/>
          <w:lang w:val="pt-PT"/>
        </w:rPr>
        <w:t> </w:t>
      </w:r>
      <w:r w:rsidRPr="00110D6C">
        <w:rPr>
          <w:rFonts w:cs="Times New Roman"/>
          <w:color w:val="auto"/>
          <w:sz w:val="20"/>
          <w:szCs w:val="20"/>
          <w:lang w:val="pt-PT"/>
        </w:rPr>
        <w:t>&lt;</w:t>
      </w:r>
      <w:r w:rsidR="00F5387C" w:rsidRPr="00110D6C">
        <w:rPr>
          <w:rFonts w:cs="Times New Roman"/>
          <w:color w:val="auto"/>
          <w:sz w:val="20"/>
          <w:szCs w:val="20"/>
          <w:lang w:val="pt-PT"/>
        </w:rPr>
        <w:t> </w:t>
      </w:r>
      <w:r w:rsidRPr="00110D6C">
        <w:rPr>
          <w:rFonts w:cs="Times New Roman"/>
          <w:color w:val="auto"/>
          <w:sz w:val="20"/>
          <w:szCs w:val="20"/>
          <w:lang w:val="pt-PT"/>
        </w:rPr>
        <w:t>0,01</w:t>
      </w:r>
    </w:p>
    <w:p w14:paraId="76E6F062" w14:textId="77777777" w:rsidR="0077031F" w:rsidRPr="00110D6C" w:rsidRDefault="00030085" w:rsidP="00E77794">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b</w:t>
      </w:r>
      <w:r w:rsidRPr="00110D6C">
        <w:rPr>
          <w:rFonts w:cs="Times New Roman"/>
          <w:color w:val="auto"/>
          <w:sz w:val="20"/>
          <w:szCs w:val="20"/>
          <w:lang w:val="pt-PT"/>
        </w:rPr>
        <w:tab/>
        <w:t>p</w:t>
      </w:r>
      <w:r w:rsidR="00F5387C" w:rsidRPr="00110D6C">
        <w:rPr>
          <w:rFonts w:cs="Times New Roman"/>
          <w:color w:val="auto"/>
          <w:sz w:val="20"/>
          <w:szCs w:val="20"/>
          <w:lang w:val="pt-PT"/>
        </w:rPr>
        <w:t> </w:t>
      </w:r>
      <w:r w:rsidRPr="00110D6C">
        <w:rPr>
          <w:rFonts w:cs="Times New Roman"/>
          <w:color w:val="auto"/>
          <w:sz w:val="20"/>
          <w:szCs w:val="20"/>
          <w:lang w:val="pt-PT"/>
        </w:rPr>
        <w:t>&lt;</w:t>
      </w:r>
      <w:r w:rsidR="00F5387C" w:rsidRPr="00110D6C">
        <w:rPr>
          <w:rFonts w:cs="Times New Roman"/>
          <w:color w:val="auto"/>
          <w:sz w:val="20"/>
          <w:szCs w:val="20"/>
          <w:lang w:val="pt-PT"/>
        </w:rPr>
        <w:t> </w:t>
      </w:r>
      <w:r w:rsidRPr="00110D6C">
        <w:rPr>
          <w:rFonts w:cs="Times New Roman"/>
          <w:color w:val="auto"/>
          <w:sz w:val="20"/>
          <w:szCs w:val="20"/>
          <w:lang w:val="pt-PT"/>
        </w:rPr>
        <w:t>0,05</w:t>
      </w:r>
    </w:p>
    <w:p w14:paraId="14A0E26E" w14:textId="77777777" w:rsidR="0077031F" w:rsidRPr="00110D6C" w:rsidRDefault="00030085" w:rsidP="00E77794">
      <w:pPr>
        <w:widowControl/>
        <w:ind w:left="284" w:hanging="284"/>
        <w:rPr>
          <w:rFonts w:cs="Times New Roman"/>
          <w:color w:val="auto"/>
          <w:sz w:val="20"/>
          <w:szCs w:val="20"/>
          <w:lang w:val="pt-PT"/>
        </w:rPr>
      </w:pPr>
      <w:r w:rsidRPr="00110D6C">
        <w:rPr>
          <w:rFonts w:cs="Times New Roman"/>
          <w:color w:val="auto"/>
          <w:sz w:val="20"/>
          <w:szCs w:val="20"/>
          <w:vertAlign w:val="superscript"/>
          <w:lang w:val="pt-PT"/>
        </w:rPr>
        <w:t>c</w:t>
      </w:r>
      <w:r w:rsidR="00E77794" w:rsidRPr="00110D6C">
        <w:rPr>
          <w:rFonts w:cs="Times New Roman"/>
          <w:color w:val="auto"/>
          <w:sz w:val="20"/>
          <w:szCs w:val="20"/>
          <w:lang w:val="pt-PT"/>
        </w:rPr>
        <w:tab/>
      </w:r>
      <w:r w:rsidRPr="00110D6C">
        <w:rPr>
          <w:rFonts w:cs="Times New Roman"/>
          <w:color w:val="auto"/>
          <w:sz w:val="20"/>
          <w:szCs w:val="20"/>
          <w:lang w:val="pt-PT"/>
        </w:rPr>
        <w:t>nominalmente significativo (p</w:t>
      </w:r>
      <w:r w:rsidR="00F5387C" w:rsidRPr="00110D6C">
        <w:rPr>
          <w:rFonts w:cs="Times New Roman"/>
          <w:color w:val="auto"/>
          <w:sz w:val="20"/>
          <w:szCs w:val="20"/>
          <w:lang w:val="pt-PT"/>
        </w:rPr>
        <w:t> </w:t>
      </w:r>
      <w:r w:rsidRPr="00110D6C">
        <w:rPr>
          <w:rFonts w:cs="Times New Roman"/>
          <w:color w:val="auto"/>
          <w:sz w:val="20"/>
          <w:szCs w:val="20"/>
          <w:lang w:val="pt-PT"/>
        </w:rPr>
        <w:t>&lt;</w:t>
      </w:r>
      <w:r w:rsidR="00F5387C" w:rsidRPr="00110D6C">
        <w:rPr>
          <w:rFonts w:cs="Times New Roman"/>
          <w:color w:val="auto"/>
          <w:sz w:val="20"/>
          <w:szCs w:val="20"/>
          <w:lang w:val="pt-PT"/>
        </w:rPr>
        <w:t> </w:t>
      </w:r>
      <w:r w:rsidRPr="00110D6C">
        <w:rPr>
          <w:rFonts w:cs="Times New Roman"/>
          <w:color w:val="auto"/>
          <w:sz w:val="20"/>
          <w:szCs w:val="20"/>
          <w:lang w:val="pt-PT"/>
        </w:rPr>
        <w:t>0,05)</w:t>
      </w:r>
    </w:p>
    <w:p w14:paraId="7B1B4F21" w14:textId="77777777" w:rsidR="00E77794" w:rsidRPr="00110D6C" w:rsidRDefault="00E77794" w:rsidP="00A17623">
      <w:pPr>
        <w:widowControl/>
        <w:rPr>
          <w:rFonts w:cs="Times New Roman"/>
          <w:color w:val="auto"/>
          <w:szCs w:val="22"/>
          <w:lang w:val="pt-PT"/>
        </w:rPr>
      </w:pPr>
    </w:p>
    <w:p w14:paraId="61B79587"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No estudo IM-UNITI, 2</w:t>
      </w:r>
      <w:r w:rsidR="00B910F9" w:rsidRPr="00110D6C">
        <w:rPr>
          <w:rFonts w:cs="Times New Roman"/>
          <w:color w:val="auto"/>
          <w:szCs w:val="22"/>
          <w:lang w:val="pt-PT"/>
        </w:rPr>
        <w:t>9 </w:t>
      </w:r>
      <w:r w:rsidRPr="00110D6C">
        <w:rPr>
          <w:rFonts w:cs="Times New Roman"/>
          <w:color w:val="auto"/>
          <w:szCs w:val="22"/>
          <w:lang w:val="pt-PT"/>
        </w:rPr>
        <w:t>de 12</w:t>
      </w:r>
      <w:r w:rsidR="00B910F9" w:rsidRPr="00110D6C">
        <w:rPr>
          <w:rFonts w:cs="Times New Roman"/>
          <w:color w:val="auto"/>
          <w:szCs w:val="22"/>
          <w:lang w:val="pt-PT"/>
        </w:rPr>
        <w:t>9 </w:t>
      </w:r>
      <w:r w:rsidRPr="00110D6C">
        <w:rPr>
          <w:rFonts w:cs="Times New Roman"/>
          <w:color w:val="auto"/>
          <w:szCs w:val="22"/>
          <w:lang w:val="pt-PT"/>
        </w:rPr>
        <w:t>doentes não mantiveram a resposta ao ustecinumab quando tratados em intervalos de 1</w:t>
      </w:r>
      <w:r w:rsidR="00B910F9" w:rsidRPr="00110D6C">
        <w:rPr>
          <w:rFonts w:cs="Times New Roman"/>
          <w:color w:val="auto"/>
          <w:szCs w:val="22"/>
          <w:lang w:val="pt-PT"/>
        </w:rPr>
        <w:t>2 </w:t>
      </w:r>
      <w:r w:rsidRPr="00110D6C">
        <w:rPr>
          <w:rFonts w:cs="Times New Roman"/>
          <w:color w:val="auto"/>
          <w:szCs w:val="22"/>
          <w:lang w:val="pt-PT"/>
        </w:rPr>
        <w:t xml:space="preserve">semanas tendo sido autorizados a ajustar a dose para receber ustecinumab em intervalos de </w:t>
      </w:r>
      <w:r w:rsidR="00B910F9" w:rsidRPr="00110D6C">
        <w:rPr>
          <w:rFonts w:cs="Times New Roman"/>
          <w:color w:val="auto"/>
          <w:szCs w:val="22"/>
          <w:lang w:val="pt-PT"/>
        </w:rPr>
        <w:t>8 </w:t>
      </w:r>
      <w:r w:rsidRPr="00110D6C">
        <w:rPr>
          <w:rFonts w:cs="Times New Roman"/>
          <w:color w:val="auto"/>
          <w:szCs w:val="22"/>
          <w:lang w:val="pt-PT"/>
        </w:rPr>
        <w:t>semanas. A perda de resposta foi definida como uma pontuação de CDAI ≥</w:t>
      </w:r>
      <w:r w:rsidR="00982985" w:rsidRPr="00110D6C">
        <w:rPr>
          <w:rFonts w:cs="Times New Roman"/>
          <w:color w:val="auto"/>
          <w:szCs w:val="22"/>
          <w:lang w:val="pt-PT"/>
        </w:rPr>
        <w:t> </w:t>
      </w:r>
      <w:r w:rsidRPr="00110D6C">
        <w:rPr>
          <w:rFonts w:cs="Times New Roman"/>
          <w:color w:val="auto"/>
          <w:szCs w:val="22"/>
          <w:lang w:val="pt-PT"/>
        </w:rPr>
        <w:t>22</w:t>
      </w:r>
      <w:r w:rsidR="00B910F9" w:rsidRPr="00110D6C">
        <w:rPr>
          <w:rFonts w:cs="Times New Roman"/>
          <w:color w:val="auto"/>
          <w:szCs w:val="22"/>
          <w:lang w:val="pt-PT"/>
        </w:rPr>
        <w:t>0 </w:t>
      </w:r>
      <w:r w:rsidRPr="00110D6C">
        <w:rPr>
          <w:rFonts w:cs="Times New Roman"/>
          <w:color w:val="auto"/>
          <w:szCs w:val="22"/>
          <w:lang w:val="pt-PT"/>
        </w:rPr>
        <w:t>pontos e um aumento ≥</w:t>
      </w:r>
      <w:r w:rsidR="00982985" w:rsidRPr="00110D6C">
        <w:rPr>
          <w:rFonts w:cs="Times New Roman"/>
          <w:color w:val="auto"/>
          <w:szCs w:val="22"/>
          <w:lang w:val="pt-PT"/>
        </w:rPr>
        <w:t> </w:t>
      </w:r>
      <w:r w:rsidRPr="00110D6C">
        <w:rPr>
          <w:rFonts w:cs="Times New Roman"/>
          <w:color w:val="auto"/>
          <w:szCs w:val="22"/>
          <w:lang w:val="pt-PT"/>
        </w:rPr>
        <w:t>10</w:t>
      </w:r>
      <w:r w:rsidR="00B910F9" w:rsidRPr="00110D6C">
        <w:rPr>
          <w:rFonts w:cs="Times New Roman"/>
          <w:color w:val="auto"/>
          <w:szCs w:val="22"/>
          <w:lang w:val="pt-PT"/>
        </w:rPr>
        <w:t>0 </w:t>
      </w:r>
      <w:r w:rsidRPr="00110D6C">
        <w:rPr>
          <w:rFonts w:cs="Times New Roman"/>
          <w:color w:val="auto"/>
          <w:szCs w:val="22"/>
          <w:lang w:val="pt-PT"/>
        </w:rPr>
        <w:t>pontos relativamente à pontuação de CDAI no nível basal. Nestes doentes, a remissão clínica foi alcançada em 41,4% dos doentes 1</w:t>
      </w:r>
      <w:r w:rsidR="00B910F9" w:rsidRPr="00110D6C">
        <w:rPr>
          <w:rFonts w:cs="Times New Roman"/>
          <w:color w:val="auto"/>
          <w:szCs w:val="22"/>
          <w:lang w:val="pt-PT"/>
        </w:rPr>
        <w:t>6 </w:t>
      </w:r>
      <w:r w:rsidRPr="00110D6C">
        <w:rPr>
          <w:rFonts w:cs="Times New Roman"/>
          <w:color w:val="auto"/>
          <w:szCs w:val="22"/>
          <w:lang w:val="pt-PT"/>
        </w:rPr>
        <w:t>semanas após o ajuste da dose.</w:t>
      </w:r>
    </w:p>
    <w:p w14:paraId="5AF055A6" w14:textId="77777777" w:rsidR="00E77794" w:rsidRPr="00110D6C" w:rsidRDefault="00E77794" w:rsidP="00A17623">
      <w:pPr>
        <w:widowControl/>
        <w:rPr>
          <w:rFonts w:cs="Times New Roman"/>
          <w:color w:val="auto"/>
          <w:szCs w:val="22"/>
          <w:lang w:val="pt-PT"/>
        </w:rPr>
      </w:pPr>
    </w:p>
    <w:p w14:paraId="5112B9F0"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Os doentes que não apresentavam uma resposta clínica à indução com ustecinumab na semana</w:t>
      </w:r>
      <w:r w:rsidR="005562CC" w:rsidRPr="00110D6C">
        <w:rPr>
          <w:rFonts w:cs="Times New Roman"/>
          <w:color w:val="auto"/>
          <w:szCs w:val="22"/>
          <w:lang w:val="pt-PT"/>
        </w:rPr>
        <w:t> </w:t>
      </w:r>
      <w:r w:rsidR="00B910F9" w:rsidRPr="00110D6C">
        <w:rPr>
          <w:rFonts w:cs="Times New Roman"/>
          <w:color w:val="auto"/>
          <w:szCs w:val="22"/>
          <w:lang w:val="pt-PT"/>
        </w:rPr>
        <w:t>8</w:t>
      </w:r>
      <w:r w:rsidR="005562CC" w:rsidRPr="00110D6C">
        <w:rPr>
          <w:rFonts w:cs="Times New Roman"/>
          <w:color w:val="auto"/>
          <w:szCs w:val="22"/>
          <w:lang w:val="pt-PT"/>
        </w:rPr>
        <w:t xml:space="preserve"> </w:t>
      </w:r>
      <w:r w:rsidRPr="00110D6C">
        <w:rPr>
          <w:rFonts w:cs="Times New Roman"/>
          <w:color w:val="auto"/>
          <w:szCs w:val="22"/>
          <w:lang w:val="pt-PT"/>
        </w:rPr>
        <w:t>dos estudos de indução UNITI-</w:t>
      </w:r>
      <w:r w:rsidR="00B910F9" w:rsidRPr="00110D6C">
        <w:rPr>
          <w:rFonts w:cs="Times New Roman"/>
          <w:color w:val="auto"/>
          <w:szCs w:val="22"/>
          <w:lang w:val="pt-PT"/>
        </w:rPr>
        <w:t>1 </w:t>
      </w:r>
      <w:r w:rsidRPr="00110D6C">
        <w:rPr>
          <w:rFonts w:cs="Times New Roman"/>
          <w:color w:val="auto"/>
          <w:szCs w:val="22"/>
          <w:lang w:val="pt-PT"/>
        </w:rPr>
        <w:t>e UNITI-</w:t>
      </w:r>
      <w:r w:rsidR="00B910F9" w:rsidRPr="00110D6C">
        <w:rPr>
          <w:rFonts w:cs="Times New Roman"/>
          <w:color w:val="auto"/>
          <w:szCs w:val="22"/>
          <w:lang w:val="pt-PT"/>
        </w:rPr>
        <w:t>2 </w:t>
      </w:r>
      <w:r w:rsidRPr="00110D6C">
        <w:rPr>
          <w:rFonts w:cs="Times New Roman"/>
          <w:color w:val="auto"/>
          <w:szCs w:val="22"/>
          <w:lang w:val="pt-PT"/>
        </w:rPr>
        <w:t>(47</w:t>
      </w:r>
      <w:r w:rsidR="00B910F9" w:rsidRPr="00110D6C">
        <w:rPr>
          <w:rFonts w:cs="Times New Roman"/>
          <w:color w:val="auto"/>
          <w:szCs w:val="22"/>
          <w:lang w:val="pt-PT"/>
        </w:rPr>
        <w:t>6 </w:t>
      </w:r>
      <w:r w:rsidRPr="00110D6C">
        <w:rPr>
          <w:rFonts w:cs="Times New Roman"/>
          <w:color w:val="auto"/>
          <w:szCs w:val="22"/>
          <w:lang w:val="pt-PT"/>
        </w:rPr>
        <w:t>doentes) entraram para a parte não aleatorizada do estudo de manutenção (IM-UNITI) e receberam uma injeção subcutânea de 9</w:t>
      </w:r>
      <w:r w:rsidR="00B910F9" w:rsidRPr="00110D6C">
        <w:rPr>
          <w:rFonts w:cs="Times New Roman"/>
          <w:color w:val="auto"/>
          <w:szCs w:val="22"/>
          <w:lang w:val="pt-PT"/>
        </w:rPr>
        <w:t>0 </w:t>
      </w:r>
      <w:r w:rsidRPr="00110D6C">
        <w:rPr>
          <w:rFonts w:cs="Times New Roman"/>
          <w:color w:val="auto"/>
          <w:szCs w:val="22"/>
          <w:lang w:val="pt-PT"/>
        </w:rPr>
        <w:t>mg de ustecinumab nesse momento. Oito semanas depois, 50,5% dos doentes alcançaram uma resposta clínica e</w:t>
      </w:r>
      <w:r w:rsidR="005562CC" w:rsidRPr="00110D6C">
        <w:rPr>
          <w:rFonts w:cs="Times New Roman"/>
          <w:color w:val="auto"/>
          <w:szCs w:val="22"/>
          <w:lang w:val="pt-PT"/>
        </w:rPr>
        <w:t xml:space="preserve"> </w:t>
      </w:r>
      <w:r w:rsidRPr="00110D6C">
        <w:rPr>
          <w:rFonts w:cs="Times New Roman"/>
          <w:color w:val="auto"/>
          <w:szCs w:val="22"/>
          <w:lang w:val="pt-PT"/>
        </w:rPr>
        <w:t xml:space="preserve">continuaram a receber a dose de manutenção em intervalos de </w:t>
      </w:r>
      <w:r w:rsidR="00B910F9" w:rsidRPr="00110D6C">
        <w:rPr>
          <w:rFonts w:cs="Times New Roman"/>
          <w:color w:val="auto"/>
          <w:szCs w:val="22"/>
          <w:lang w:val="pt-PT"/>
        </w:rPr>
        <w:t>8 </w:t>
      </w:r>
      <w:r w:rsidRPr="00110D6C">
        <w:rPr>
          <w:rFonts w:cs="Times New Roman"/>
          <w:color w:val="auto"/>
          <w:szCs w:val="22"/>
          <w:lang w:val="pt-PT"/>
        </w:rPr>
        <w:t>semanas; entre estes doentes com dose de manutenção continuada, a maioria manteve resposta (68,1%) e obteve remissão (50,2%) na semana</w:t>
      </w:r>
      <w:r w:rsidR="005562CC" w:rsidRPr="00110D6C">
        <w:rPr>
          <w:rFonts w:cs="Times New Roman"/>
          <w:color w:val="auto"/>
          <w:szCs w:val="22"/>
          <w:lang w:val="pt-PT"/>
        </w:rPr>
        <w:t> </w:t>
      </w:r>
      <w:r w:rsidRPr="00110D6C">
        <w:rPr>
          <w:rFonts w:cs="Times New Roman"/>
          <w:color w:val="auto"/>
          <w:szCs w:val="22"/>
          <w:lang w:val="pt-PT"/>
        </w:rPr>
        <w:t>44, em proporções que foram semelhantes às dos doentes que inicialmente responderam à indução com ustecinumab.</w:t>
      </w:r>
    </w:p>
    <w:p w14:paraId="567416F6" w14:textId="77777777" w:rsidR="00E77794" w:rsidRPr="00110D6C" w:rsidRDefault="00E77794" w:rsidP="00A17623">
      <w:pPr>
        <w:widowControl/>
        <w:rPr>
          <w:rFonts w:cs="Times New Roman"/>
          <w:color w:val="auto"/>
          <w:szCs w:val="22"/>
          <w:lang w:val="pt-PT"/>
        </w:rPr>
      </w:pPr>
    </w:p>
    <w:p w14:paraId="3EA1AEFD"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Dos 13</w:t>
      </w:r>
      <w:r w:rsidR="00B910F9" w:rsidRPr="00110D6C">
        <w:rPr>
          <w:rFonts w:cs="Times New Roman"/>
          <w:color w:val="auto"/>
          <w:szCs w:val="22"/>
          <w:lang w:val="pt-PT"/>
        </w:rPr>
        <w:t>1 </w:t>
      </w:r>
      <w:r w:rsidRPr="00110D6C">
        <w:rPr>
          <w:rFonts w:cs="Times New Roman"/>
          <w:color w:val="auto"/>
          <w:szCs w:val="22"/>
          <w:lang w:val="pt-PT"/>
        </w:rPr>
        <w:t>doentes que responderam à indução com ustecinumab e que foram aleatorizados para o grupo do placebo no início do estudo de manutenção, 5</w:t>
      </w:r>
      <w:r w:rsidR="00B910F9" w:rsidRPr="00110D6C">
        <w:rPr>
          <w:rFonts w:cs="Times New Roman"/>
          <w:color w:val="auto"/>
          <w:szCs w:val="22"/>
          <w:lang w:val="pt-PT"/>
        </w:rPr>
        <w:t>1 </w:t>
      </w:r>
      <w:r w:rsidRPr="00110D6C">
        <w:rPr>
          <w:rFonts w:cs="Times New Roman"/>
          <w:color w:val="auto"/>
          <w:szCs w:val="22"/>
          <w:lang w:val="pt-PT"/>
        </w:rPr>
        <w:t>subsequentemente deixaram de responder e receberam 9</w:t>
      </w:r>
      <w:r w:rsidR="00B910F9" w:rsidRPr="00110D6C">
        <w:rPr>
          <w:rFonts w:cs="Times New Roman"/>
          <w:color w:val="auto"/>
          <w:szCs w:val="22"/>
          <w:lang w:val="pt-PT"/>
        </w:rPr>
        <w:t>0 </w:t>
      </w:r>
      <w:r w:rsidRPr="00110D6C">
        <w:rPr>
          <w:rFonts w:cs="Times New Roman"/>
          <w:color w:val="auto"/>
          <w:szCs w:val="22"/>
          <w:lang w:val="pt-PT"/>
        </w:rPr>
        <w:t xml:space="preserve">mg de ustecinumab, por via subcutânea, em intervalos de </w:t>
      </w:r>
      <w:r w:rsidR="00B910F9" w:rsidRPr="00110D6C">
        <w:rPr>
          <w:rFonts w:cs="Times New Roman"/>
          <w:color w:val="auto"/>
          <w:szCs w:val="22"/>
          <w:lang w:val="pt-PT"/>
        </w:rPr>
        <w:t>8 </w:t>
      </w:r>
      <w:r w:rsidRPr="00110D6C">
        <w:rPr>
          <w:rFonts w:cs="Times New Roman"/>
          <w:color w:val="auto"/>
          <w:szCs w:val="22"/>
          <w:lang w:val="pt-PT"/>
        </w:rPr>
        <w:t>semanas. A maioria dos doentes que deixou de responder e que retomou o ustecinumab, fê-lo nas 2</w:t>
      </w:r>
      <w:r w:rsidR="00B910F9" w:rsidRPr="00110D6C">
        <w:rPr>
          <w:rFonts w:cs="Times New Roman"/>
          <w:color w:val="auto"/>
          <w:szCs w:val="22"/>
          <w:lang w:val="pt-PT"/>
        </w:rPr>
        <w:t>4 </w:t>
      </w:r>
      <w:r w:rsidRPr="00110D6C">
        <w:rPr>
          <w:rFonts w:cs="Times New Roman"/>
          <w:color w:val="auto"/>
          <w:szCs w:val="22"/>
          <w:lang w:val="pt-PT"/>
        </w:rPr>
        <w:t>semanas após a perfusão de indução. Destes 5</w:t>
      </w:r>
      <w:r w:rsidR="00B910F9" w:rsidRPr="00110D6C">
        <w:rPr>
          <w:rFonts w:cs="Times New Roman"/>
          <w:color w:val="auto"/>
          <w:szCs w:val="22"/>
          <w:lang w:val="pt-PT"/>
        </w:rPr>
        <w:t>1 </w:t>
      </w:r>
      <w:r w:rsidRPr="00110D6C">
        <w:rPr>
          <w:rFonts w:cs="Times New Roman"/>
          <w:color w:val="auto"/>
          <w:szCs w:val="22"/>
          <w:lang w:val="pt-PT"/>
        </w:rPr>
        <w:t>doentes, 70,6% alcançaram resposta clínica e 39,2% alcançaram remissão clínica 1</w:t>
      </w:r>
      <w:r w:rsidR="00B910F9" w:rsidRPr="00110D6C">
        <w:rPr>
          <w:rFonts w:cs="Times New Roman"/>
          <w:color w:val="auto"/>
          <w:szCs w:val="22"/>
          <w:lang w:val="pt-PT"/>
        </w:rPr>
        <w:t>6 </w:t>
      </w:r>
      <w:r w:rsidRPr="00110D6C">
        <w:rPr>
          <w:rFonts w:cs="Times New Roman"/>
          <w:color w:val="auto"/>
          <w:szCs w:val="22"/>
          <w:lang w:val="pt-PT"/>
        </w:rPr>
        <w:t>semanas após receberem a primeira dose subcutânea de ustecinumab.</w:t>
      </w:r>
    </w:p>
    <w:p w14:paraId="5BC2EEA9" w14:textId="77777777" w:rsidR="00E77794" w:rsidRPr="00110D6C" w:rsidRDefault="00E77794" w:rsidP="00A17623">
      <w:pPr>
        <w:widowControl/>
        <w:rPr>
          <w:rFonts w:cs="Times New Roman"/>
          <w:color w:val="auto"/>
          <w:szCs w:val="22"/>
          <w:lang w:val="pt-PT"/>
        </w:rPr>
      </w:pPr>
    </w:p>
    <w:p w14:paraId="604A9F8F"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No IM-UNITI, os doentes que completaram o estudo até à semana</w:t>
      </w:r>
      <w:r w:rsidR="005562CC" w:rsidRPr="00110D6C">
        <w:rPr>
          <w:rFonts w:cs="Times New Roman"/>
          <w:color w:val="auto"/>
          <w:szCs w:val="22"/>
          <w:lang w:val="pt-PT"/>
        </w:rPr>
        <w:t> </w:t>
      </w:r>
      <w:r w:rsidRPr="00110D6C">
        <w:rPr>
          <w:rFonts w:cs="Times New Roman"/>
          <w:color w:val="auto"/>
          <w:szCs w:val="22"/>
          <w:lang w:val="pt-PT"/>
        </w:rPr>
        <w:t>4</w:t>
      </w:r>
      <w:r w:rsidR="00B910F9" w:rsidRPr="00110D6C">
        <w:rPr>
          <w:rFonts w:cs="Times New Roman"/>
          <w:color w:val="auto"/>
          <w:szCs w:val="22"/>
          <w:lang w:val="pt-PT"/>
        </w:rPr>
        <w:t>4</w:t>
      </w:r>
      <w:r w:rsidR="005562CC" w:rsidRPr="00110D6C">
        <w:rPr>
          <w:rFonts w:cs="Times New Roman"/>
          <w:color w:val="auto"/>
          <w:szCs w:val="22"/>
          <w:lang w:val="pt-PT"/>
        </w:rPr>
        <w:t xml:space="preserve"> </w:t>
      </w:r>
      <w:r w:rsidRPr="00110D6C">
        <w:rPr>
          <w:rFonts w:cs="Times New Roman"/>
          <w:color w:val="auto"/>
          <w:szCs w:val="22"/>
          <w:lang w:val="pt-PT"/>
        </w:rPr>
        <w:t>foram elegíveis para continuar o tratamento num estudo de extensão. Entre os 56</w:t>
      </w:r>
      <w:r w:rsidR="00B910F9" w:rsidRPr="00110D6C">
        <w:rPr>
          <w:rFonts w:cs="Times New Roman"/>
          <w:color w:val="auto"/>
          <w:szCs w:val="22"/>
          <w:lang w:val="pt-PT"/>
        </w:rPr>
        <w:t>7 </w:t>
      </w:r>
      <w:r w:rsidRPr="00110D6C">
        <w:rPr>
          <w:rFonts w:cs="Times New Roman"/>
          <w:color w:val="auto"/>
          <w:szCs w:val="22"/>
          <w:lang w:val="pt-PT"/>
        </w:rPr>
        <w:t>doentes que entraram e foram tratados com ustecinumab na extensão do estudo, a remissão e resposta clínica foram geralmente mantidas até à semana</w:t>
      </w:r>
      <w:r w:rsidR="005562CC" w:rsidRPr="00110D6C">
        <w:rPr>
          <w:rFonts w:cs="Times New Roman"/>
          <w:color w:val="auto"/>
          <w:szCs w:val="22"/>
          <w:lang w:val="pt-PT"/>
        </w:rPr>
        <w:t> </w:t>
      </w:r>
      <w:r w:rsidRPr="00110D6C">
        <w:rPr>
          <w:rFonts w:cs="Times New Roman"/>
          <w:color w:val="auto"/>
          <w:szCs w:val="22"/>
          <w:lang w:val="pt-PT"/>
        </w:rPr>
        <w:t>252, quer em doentes com falência às terapêuticas com TNF, quer naqueles com falência às terapêuticas convencionais.</w:t>
      </w:r>
    </w:p>
    <w:p w14:paraId="29D82CCF" w14:textId="77777777" w:rsidR="00E77794" w:rsidRPr="00110D6C" w:rsidRDefault="00E77794" w:rsidP="00A17623">
      <w:pPr>
        <w:widowControl/>
        <w:rPr>
          <w:rFonts w:cs="Times New Roman"/>
          <w:color w:val="auto"/>
          <w:szCs w:val="22"/>
          <w:lang w:val="pt-PT"/>
        </w:rPr>
      </w:pPr>
    </w:p>
    <w:p w14:paraId="653BBE57"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Não foram identificadas novas questões de segurança na extensão deste estudo até </w:t>
      </w:r>
      <w:r w:rsidR="00B910F9" w:rsidRPr="00110D6C">
        <w:rPr>
          <w:rFonts w:cs="Times New Roman"/>
          <w:color w:val="auto"/>
          <w:szCs w:val="22"/>
          <w:lang w:val="pt-PT"/>
        </w:rPr>
        <w:t>5 </w:t>
      </w:r>
      <w:r w:rsidRPr="00110D6C">
        <w:rPr>
          <w:rFonts w:cs="Times New Roman"/>
          <w:color w:val="auto"/>
          <w:szCs w:val="22"/>
          <w:lang w:val="pt-PT"/>
        </w:rPr>
        <w:t>anos de tratamento em doentes com doença de Crohn.</w:t>
      </w:r>
    </w:p>
    <w:p w14:paraId="4001F1D6" w14:textId="77777777" w:rsidR="00E77794" w:rsidRPr="00110D6C" w:rsidRDefault="00E77794" w:rsidP="00A17623">
      <w:pPr>
        <w:widowControl/>
        <w:rPr>
          <w:rFonts w:cs="Times New Roman"/>
          <w:color w:val="auto"/>
          <w:szCs w:val="22"/>
          <w:lang w:val="pt-PT"/>
        </w:rPr>
      </w:pPr>
    </w:p>
    <w:p w14:paraId="25A77D9A" w14:textId="77777777" w:rsidR="0077031F" w:rsidRPr="00110D6C" w:rsidRDefault="00030085" w:rsidP="00A17623">
      <w:pPr>
        <w:widowControl/>
        <w:rPr>
          <w:rFonts w:cs="Times New Roman"/>
          <w:color w:val="auto"/>
          <w:szCs w:val="22"/>
          <w:lang w:val="pt-PT"/>
        </w:rPr>
      </w:pPr>
      <w:r w:rsidRPr="00110D6C">
        <w:rPr>
          <w:rFonts w:cs="Times New Roman"/>
          <w:i/>
          <w:iCs/>
          <w:color w:val="auto"/>
          <w:szCs w:val="22"/>
          <w:lang w:val="pt-PT"/>
        </w:rPr>
        <w:t>Endoscopia</w:t>
      </w:r>
    </w:p>
    <w:p w14:paraId="258A5523"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lastRenderedPageBreak/>
        <w:t>O aspeto endoscópico da mucosa foi avaliado num subestudo envolvendo 25</w:t>
      </w:r>
      <w:r w:rsidR="00B910F9" w:rsidRPr="00110D6C">
        <w:rPr>
          <w:rFonts w:cs="Times New Roman"/>
          <w:color w:val="auto"/>
          <w:szCs w:val="22"/>
          <w:lang w:val="pt-PT"/>
        </w:rPr>
        <w:t>2 </w:t>
      </w:r>
      <w:r w:rsidRPr="00110D6C">
        <w:rPr>
          <w:rFonts w:cs="Times New Roman"/>
          <w:color w:val="auto"/>
          <w:szCs w:val="22"/>
          <w:lang w:val="pt-PT"/>
        </w:rPr>
        <w:t xml:space="preserve">doentes elegíveis com atividade da doença endoscópica no nível basal. O parâmetro de avaliação primário consistiu na alteração relativamente ao nível basal na </w:t>
      </w:r>
      <w:r w:rsidRPr="00110D6C">
        <w:rPr>
          <w:rFonts w:cs="Times New Roman"/>
          <w:i/>
          <w:iCs/>
          <w:color w:val="auto"/>
          <w:szCs w:val="22"/>
          <w:lang w:val="pt-PT"/>
        </w:rPr>
        <w:t>Simplified Endoscopic Disease Severity Score for Crohn’s Disease</w:t>
      </w:r>
      <w:r w:rsidRPr="00110D6C">
        <w:rPr>
          <w:rFonts w:cs="Times New Roman"/>
          <w:color w:val="auto"/>
          <w:szCs w:val="22"/>
          <w:lang w:val="pt-PT"/>
        </w:rPr>
        <w:t xml:space="preserve"> (SES-CD), uma pontuação composta, envolvendo </w:t>
      </w:r>
      <w:r w:rsidR="00B910F9" w:rsidRPr="00110D6C">
        <w:rPr>
          <w:rFonts w:cs="Times New Roman"/>
          <w:color w:val="auto"/>
          <w:szCs w:val="22"/>
          <w:lang w:val="pt-PT"/>
        </w:rPr>
        <w:t>5 </w:t>
      </w:r>
      <w:r w:rsidRPr="00110D6C">
        <w:rPr>
          <w:rFonts w:cs="Times New Roman"/>
          <w:color w:val="auto"/>
          <w:szCs w:val="22"/>
          <w:lang w:val="pt-PT"/>
        </w:rPr>
        <w:t>segmentos ileo-cólicos, da presença/tamanho de úlceras, proporção da superfície da mucosa coberta por úlceras, proporção da superfície da mucosa afetada por quaisquer outras lesões e presença/tipo de estreitamento/estenoses. Na semana</w:t>
      </w:r>
      <w:r w:rsidR="005562CC" w:rsidRPr="00110D6C">
        <w:rPr>
          <w:rFonts w:cs="Times New Roman"/>
          <w:color w:val="auto"/>
          <w:szCs w:val="22"/>
          <w:lang w:val="pt-PT"/>
        </w:rPr>
        <w:t> </w:t>
      </w:r>
      <w:r w:rsidRPr="00110D6C">
        <w:rPr>
          <w:rFonts w:cs="Times New Roman"/>
          <w:color w:val="auto"/>
          <w:szCs w:val="22"/>
          <w:lang w:val="pt-PT"/>
        </w:rPr>
        <w:t>8, após a dose de indução única intravenosa, a alteração na pontuação SES-CD foi superior no grupo do ustecinumab (n</w:t>
      </w:r>
      <w:r w:rsidR="006A79E5" w:rsidRPr="00110D6C">
        <w:rPr>
          <w:rFonts w:cs="Times New Roman"/>
          <w:color w:val="auto"/>
          <w:szCs w:val="22"/>
          <w:lang w:val="pt-PT"/>
        </w:rPr>
        <w:t> </w:t>
      </w:r>
      <w:r w:rsidRPr="00110D6C">
        <w:rPr>
          <w:rFonts w:cs="Times New Roman"/>
          <w:color w:val="auto"/>
          <w:szCs w:val="22"/>
          <w:lang w:val="pt-PT"/>
        </w:rPr>
        <w:t>=</w:t>
      </w:r>
      <w:r w:rsidR="006A79E5" w:rsidRPr="00110D6C">
        <w:rPr>
          <w:rFonts w:cs="Times New Roman"/>
          <w:color w:val="auto"/>
          <w:szCs w:val="22"/>
          <w:lang w:val="pt-PT"/>
        </w:rPr>
        <w:t> </w:t>
      </w:r>
      <w:r w:rsidRPr="00110D6C">
        <w:rPr>
          <w:rFonts w:cs="Times New Roman"/>
          <w:color w:val="auto"/>
          <w:szCs w:val="22"/>
          <w:lang w:val="pt-PT"/>
        </w:rPr>
        <w:t>155, alteração média</w:t>
      </w:r>
      <w:r w:rsidR="006A79E5" w:rsidRPr="00110D6C">
        <w:rPr>
          <w:rFonts w:cs="Times New Roman"/>
          <w:color w:val="auto"/>
          <w:szCs w:val="22"/>
          <w:lang w:val="pt-PT"/>
        </w:rPr>
        <w:t> </w:t>
      </w:r>
      <w:r w:rsidRPr="00110D6C">
        <w:rPr>
          <w:rFonts w:cs="Times New Roman"/>
          <w:color w:val="auto"/>
          <w:szCs w:val="22"/>
          <w:lang w:val="pt-PT"/>
        </w:rPr>
        <w:t>=</w:t>
      </w:r>
      <w:r w:rsidR="006A79E5" w:rsidRPr="00110D6C">
        <w:rPr>
          <w:rFonts w:cs="Times New Roman"/>
          <w:color w:val="auto"/>
          <w:szCs w:val="22"/>
          <w:lang w:val="pt-PT"/>
        </w:rPr>
        <w:t> </w:t>
      </w:r>
      <w:r w:rsidRPr="00110D6C">
        <w:rPr>
          <w:rFonts w:cs="Times New Roman"/>
          <w:color w:val="auto"/>
          <w:szCs w:val="22"/>
          <w:lang w:val="pt-PT"/>
        </w:rPr>
        <w:t>-2,8) relativamente ao grupo do placebo (n</w:t>
      </w:r>
      <w:r w:rsidR="006A79E5" w:rsidRPr="00110D6C">
        <w:rPr>
          <w:rFonts w:cs="Times New Roman"/>
          <w:color w:val="auto"/>
          <w:szCs w:val="22"/>
          <w:lang w:val="pt-PT"/>
        </w:rPr>
        <w:t> </w:t>
      </w:r>
      <w:r w:rsidRPr="00110D6C">
        <w:rPr>
          <w:rFonts w:cs="Times New Roman"/>
          <w:color w:val="auto"/>
          <w:szCs w:val="22"/>
          <w:lang w:val="pt-PT"/>
        </w:rPr>
        <w:t>=</w:t>
      </w:r>
      <w:r w:rsidR="006A79E5" w:rsidRPr="00110D6C">
        <w:rPr>
          <w:rFonts w:cs="Times New Roman"/>
          <w:color w:val="auto"/>
          <w:szCs w:val="22"/>
          <w:lang w:val="pt-PT"/>
        </w:rPr>
        <w:t> </w:t>
      </w:r>
      <w:r w:rsidRPr="00110D6C">
        <w:rPr>
          <w:rFonts w:cs="Times New Roman"/>
          <w:color w:val="auto"/>
          <w:szCs w:val="22"/>
          <w:lang w:val="pt-PT"/>
        </w:rPr>
        <w:t>97, alteração média</w:t>
      </w:r>
      <w:r w:rsidR="006A79E5" w:rsidRPr="00110D6C">
        <w:rPr>
          <w:rFonts w:cs="Times New Roman"/>
          <w:color w:val="auto"/>
          <w:szCs w:val="22"/>
          <w:lang w:val="pt-PT"/>
        </w:rPr>
        <w:t> </w:t>
      </w:r>
      <w:r w:rsidRPr="00110D6C">
        <w:rPr>
          <w:rFonts w:cs="Times New Roman"/>
          <w:color w:val="auto"/>
          <w:szCs w:val="22"/>
          <w:lang w:val="pt-PT"/>
        </w:rPr>
        <w:t>=</w:t>
      </w:r>
      <w:r w:rsidR="006A79E5" w:rsidRPr="00110D6C">
        <w:rPr>
          <w:rFonts w:cs="Times New Roman"/>
          <w:color w:val="auto"/>
          <w:szCs w:val="22"/>
          <w:lang w:val="pt-PT"/>
        </w:rPr>
        <w:t> </w:t>
      </w:r>
      <w:r w:rsidRPr="00110D6C">
        <w:rPr>
          <w:rFonts w:cs="Times New Roman"/>
          <w:color w:val="auto"/>
          <w:szCs w:val="22"/>
          <w:lang w:val="pt-PT"/>
        </w:rPr>
        <w:t>-0,7, p</w:t>
      </w:r>
      <w:r w:rsidR="006A79E5" w:rsidRPr="00110D6C">
        <w:rPr>
          <w:rFonts w:cs="Times New Roman"/>
          <w:color w:val="auto"/>
          <w:szCs w:val="22"/>
          <w:lang w:val="pt-PT"/>
        </w:rPr>
        <w:t> </w:t>
      </w:r>
      <w:r w:rsidRPr="00110D6C">
        <w:rPr>
          <w:rFonts w:cs="Times New Roman"/>
          <w:color w:val="auto"/>
          <w:szCs w:val="22"/>
          <w:lang w:val="pt-PT"/>
        </w:rPr>
        <w:t>=</w:t>
      </w:r>
      <w:r w:rsidR="006A79E5" w:rsidRPr="00110D6C">
        <w:rPr>
          <w:rFonts w:cs="Times New Roman"/>
          <w:color w:val="auto"/>
          <w:szCs w:val="22"/>
          <w:lang w:val="pt-PT"/>
        </w:rPr>
        <w:t> </w:t>
      </w:r>
      <w:r w:rsidRPr="00110D6C">
        <w:rPr>
          <w:rFonts w:cs="Times New Roman"/>
          <w:color w:val="auto"/>
          <w:szCs w:val="22"/>
          <w:lang w:val="pt-PT"/>
        </w:rPr>
        <w:t>0,012).</w:t>
      </w:r>
    </w:p>
    <w:p w14:paraId="46F0F189" w14:textId="77777777" w:rsidR="00E77794" w:rsidRPr="00110D6C" w:rsidRDefault="00E77794" w:rsidP="00A17623">
      <w:pPr>
        <w:widowControl/>
        <w:rPr>
          <w:rFonts w:cs="Times New Roman"/>
          <w:iCs/>
          <w:color w:val="auto"/>
          <w:szCs w:val="22"/>
          <w:lang w:val="pt-PT"/>
        </w:rPr>
      </w:pPr>
    </w:p>
    <w:p w14:paraId="246EFC19" w14:textId="77777777" w:rsidR="0077031F" w:rsidRPr="00110D6C" w:rsidRDefault="00030085" w:rsidP="00A17623">
      <w:pPr>
        <w:widowControl/>
        <w:rPr>
          <w:rFonts w:cs="Times New Roman"/>
          <w:color w:val="auto"/>
          <w:szCs w:val="22"/>
          <w:lang w:val="pt-PT"/>
        </w:rPr>
      </w:pPr>
      <w:r w:rsidRPr="00110D6C">
        <w:rPr>
          <w:rFonts w:cs="Times New Roman"/>
          <w:i/>
          <w:iCs/>
          <w:color w:val="auto"/>
          <w:szCs w:val="22"/>
          <w:lang w:val="pt-PT"/>
        </w:rPr>
        <w:t>Resposta das Fístulas</w:t>
      </w:r>
    </w:p>
    <w:p w14:paraId="50CA1110"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Num subgrupo de doentes com fístulas abertas no nível basal (8,8%; n</w:t>
      </w:r>
      <w:r w:rsidR="006A79E5" w:rsidRPr="00110D6C">
        <w:rPr>
          <w:rFonts w:cs="Times New Roman"/>
          <w:color w:val="auto"/>
          <w:szCs w:val="22"/>
          <w:lang w:val="pt-PT"/>
        </w:rPr>
        <w:t> </w:t>
      </w:r>
      <w:r w:rsidRPr="00110D6C">
        <w:rPr>
          <w:rFonts w:cs="Times New Roman"/>
          <w:color w:val="auto"/>
          <w:szCs w:val="22"/>
          <w:lang w:val="pt-PT"/>
        </w:rPr>
        <w:t>=</w:t>
      </w:r>
      <w:r w:rsidR="006A79E5" w:rsidRPr="00110D6C">
        <w:rPr>
          <w:rFonts w:cs="Times New Roman"/>
          <w:color w:val="auto"/>
          <w:szCs w:val="22"/>
          <w:lang w:val="pt-PT"/>
        </w:rPr>
        <w:t> </w:t>
      </w:r>
      <w:r w:rsidRPr="00110D6C">
        <w:rPr>
          <w:rFonts w:cs="Times New Roman"/>
          <w:color w:val="auto"/>
          <w:szCs w:val="22"/>
          <w:lang w:val="pt-PT"/>
        </w:rPr>
        <w:t>26), 12/1</w:t>
      </w:r>
      <w:r w:rsidR="00B910F9" w:rsidRPr="00110D6C">
        <w:rPr>
          <w:rFonts w:cs="Times New Roman"/>
          <w:color w:val="auto"/>
          <w:szCs w:val="22"/>
          <w:lang w:val="pt-PT"/>
        </w:rPr>
        <w:t>5</w:t>
      </w:r>
      <w:r w:rsidR="006A79E5" w:rsidRPr="00110D6C">
        <w:rPr>
          <w:rFonts w:cs="Times New Roman"/>
          <w:color w:val="auto"/>
          <w:szCs w:val="22"/>
          <w:lang w:val="pt-PT"/>
        </w:rPr>
        <w:t xml:space="preserve"> </w:t>
      </w:r>
      <w:r w:rsidRPr="00110D6C">
        <w:rPr>
          <w:rFonts w:cs="Times New Roman"/>
          <w:color w:val="auto"/>
          <w:szCs w:val="22"/>
          <w:lang w:val="pt-PT"/>
        </w:rPr>
        <w:t>(80%) dos doentes tratados com ustecinumab alcançaram uma resposta das fístulas nas 4</w:t>
      </w:r>
      <w:r w:rsidR="00B910F9" w:rsidRPr="00110D6C">
        <w:rPr>
          <w:rFonts w:cs="Times New Roman"/>
          <w:color w:val="auto"/>
          <w:szCs w:val="22"/>
          <w:lang w:val="pt-PT"/>
        </w:rPr>
        <w:t>4 </w:t>
      </w:r>
      <w:r w:rsidRPr="00110D6C">
        <w:rPr>
          <w:rFonts w:cs="Times New Roman"/>
          <w:color w:val="auto"/>
          <w:szCs w:val="22"/>
          <w:lang w:val="pt-PT"/>
        </w:rPr>
        <w:t>semanas (definida como uma redução ≥</w:t>
      </w:r>
      <w:r w:rsidR="00982985" w:rsidRPr="00110D6C">
        <w:rPr>
          <w:rFonts w:cs="Times New Roman"/>
          <w:color w:val="auto"/>
          <w:szCs w:val="22"/>
          <w:lang w:val="pt-PT"/>
        </w:rPr>
        <w:t> </w:t>
      </w:r>
      <w:r w:rsidRPr="00110D6C">
        <w:rPr>
          <w:rFonts w:cs="Times New Roman"/>
          <w:color w:val="auto"/>
          <w:szCs w:val="22"/>
          <w:lang w:val="pt-PT"/>
        </w:rPr>
        <w:t>50% no número de fístulas abertas relativamente ao nível basal do estudo de indução) em comparação com 5/1</w:t>
      </w:r>
      <w:r w:rsidR="00B910F9" w:rsidRPr="00110D6C">
        <w:rPr>
          <w:rFonts w:cs="Times New Roman"/>
          <w:color w:val="auto"/>
          <w:szCs w:val="22"/>
          <w:lang w:val="pt-PT"/>
        </w:rPr>
        <w:t>1 </w:t>
      </w:r>
      <w:r w:rsidRPr="00110D6C">
        <w:rPr>
          <w:rFonts w:cs="Times New Roman"/>
          <w:color w:val="auto"/>
          <w:szCs w:val="22"/>
          <w:lang w:val="pt-PT"/>
        </w:rPr>
        <w:t>(45,5%) do grupo exposto ao placebo.</w:t>
      </w:r>
    </w:p>
    <w:p w14:paraId="72FD85AD" w14:textId="77777777" w:rsidR="00E77794" w:rsidRPr="00110D6C" w:rsidRDefault="00E77794" w:rsidP="00A17623">
      <w:pPr>
        <w:widowControl/>
        <w:rPr>
          <w:rFonts w:cs="Times New Roman"/>
          <w:iCs/>
          <w:color w:val="auto"/>
          <w:szCs w:val="22"/>
          <w:lang w:val="pt-PT"/>
        </w:rPr>
      </w:pPr>
    </w:p>
    <w:p w14:paraId="02FE2926" w14:textId="77777777" w:rsidR="0077031F" w:rsidRPr="00110D6C" w:rsidRDefault="00030085" w:rsidP="00A17623">
      <w:pPr>
        <w:widowControl/>
        <w:rPr>
          <w:rFonts w:cs="Times New Roman"/>
          <w:color w:val="auto"/>
          <w:szCs w:val="22"/>
          <w:lang w:val="pt-PT"/>
        </w:rPr>
      </w:pPr>
      <w:r w:rsidRPr="00110D6C">
        <w:rPr>
          <w:rFonts w:cs="Times New Roman"/>
          <w:i/>
          <w:iCs/>
          <w:color w:val="auto"/>
          <w:szCs w:val="22"/>
          <w:lang w:val="pt-PT"/>
        </w:rPr>
        <w:t>Qualidade de vida relacionada com a saúde</w:t>
      </w:r>
    </w:p>
    <w:p w14:paraId="6B7D4E79"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 qualidade de vida relacionada com a saúde foi avaliada através do questionário da doença intestinal inflamatória (IBDQ) e do SF-36. Na semana</w:t>
      </w:r>
      <w:r w:rsidR="005562CC" w:rsidRPr="00110D6C">
        <w:rPr>
          <w:rFonts w:cs="Times New Roman"/>
          <w:color w:val="auto"/>
          <w:szCs w:val="22"/>
          <w:lang w:val="pt-PT"/>
        </w:rPr>
        <w:t> </w:t>
      </w:r>
      <w:r w:rsidRPr="00110D6C">
        <w:rPr>
          <w:rFonts w:cs="Times New Roman"/>
          <w:color w:val="auto"/>
          <w:szCs w:val="22"/>
          <w:lang w:val="pt-PT"/>
        </w:rPr>
        <w:t>8, os doentes que receberam ustecinumab demonstraram melhorias superiores e com significado clínico, estatisticamente significativas, na pontuação total do IBDQ e na Medida Sumária do Componente Mental do SF-36, em ambos os estudos UNITI-</w:t>
      </w:r>
      <w:r w:rsidR="00B910F9" w:rsidRPr="00110D6C">
        <w:rPr>
          <w:rFonts w:cs="Times New Roman"/>
          <w:color w:val="auto"/>
          <w:szCs w:val="22"/>
          <w:lang w:val="pt-PT"/>
        </w:rPr>
        <w:t>1 </w:t>
      </w:r>
      <w:r w:rsidRPr="00110D6C">
        <w:rPr>
          <w:rFonts w:cs="Times New Roman"/>
          <w:color w:val="auto"/>
          <w:szCs w:val="22"/>
          <w:lang w:val="pt-PT"/>
        </w:rPr>
        <w:t>e UNITI-2, e na Medida Sumária do Componente Físico do SF-3</w:t>
      </w:r>
      <w:r w:rsidR="00B910F9" w:rsidRPr="00110D6C">
        <w:rPr>
          <w:rFonts w:cs="Times New Roman"/>
          <w:color w:val="auto"/>
          <w:szCs w:val="22"/>
          <w:lang w:val="pt-PT"/>
        </w:rPr>
        <w:t>6 </w:t>
      </w:r>
      <w:r w:rsidRPr="00110D6C">
        <w:rPr>
          <w:rFonts w:cs="Times New Roman"/>
          <w:color w:val="auto"/>
          <w:szCs w:val="22"/>
          <w:lang w:val="pt-PT"/>
        </w:rPr>
        <w:t>no estudo UNITI-2, em comparação com o placebo. Estas melhorias foram, geralmente, melhor sustentadas nos doentes tratados com ustecinumab no estudo IM-UNITI até à semana</w:t>
      </w:r>
      <w:r w:rsidR="005562CC" w:rsidRPr="00110D6C">
        <w:rPr>
          <w:rFonts w:cs="Times New Roman"/>
          <w:color w:val="auto"/>
          <w:szCs w:val="22"/>
          <w:lang w:val="pt-PT"/>
        </w:rPr>
        <w:t> </w:t>
      </w:r>
      <w:r w:rsidRPr="00110D6C">
        <w:rPr>
          <w:rFonts w:cs="Times New Roman"/>
          <w:color w:val="auto"/>
          <w:szCs w:val="22"/>
          <w:lang w:val="pt-PT"/>
        </w:rPr>
        <w:t>4</w:t>
      </w:r>
      <w:r w:rsidR="00B910F9" w:rsidRPr="00110D6C">
        <w:rPr>
          <w:rFonts w:cs="Times New Roman"/>
          <w:color w:val="auto"/>
          <w:szCs w:val="22"/>
          <w:lang w:val="pt-PT"/>
        </w:rPr>
        <w:t>4</w:t>
      </w:r>
      <w:r w:rsidR="005562CC" w:rsidRPr="00110D6C">
        <w:rPr>
          <w:rFonts w:cs="Times New Roman"/>
          <w:color w:val="auto"/>
          <w:szCs w:val="22"/>
          <w:lang w:val="pt-PT"/>
        </w:rPr>
        <w:t xml:space="preserve"> </w:t>
      </w:r>
      <w:r w:rsidRPr="00110D6C">
        <w:rPr>
          <w:rFonts w:cs="Times New Roman"/>
          <w:color w:val="auto"/>
          <w:szCs w:val="22"/>
          <w:lang w:val="pt-PT"/>
        </w:rPr>
        <w:t>em comparação com o placebo. A melhoria na qualidade de vida relacionada com a saúde foi geralmente mantida durante a extensão até à semana</w:t>
      </w:r>
      <w:r w:rsidR="005562CC" w:rsidRPr="00110D6C">
        <w:rPr>
          <w:rFonts w:cs="Times New Roman"/>
          <w:color w:val="auto"/>
          <w:szCs w:val="22"/>
          <w:lang w:val="pt-PT"/>
        </w:rPr>
        <w:t> </w:t>
      </w:r>
      <w:r w:rsidRPr="00110D6C">
        <w:rPr>
          <w:rFonts w:cs="Times New Roman"/>
          <w:color w:val="auto"/>
          <w:szCs w:val="22"/>
          <w:lang w:val="pt-PT"/>
        </w:rPr>
        <w:t>252.</w:t>
      </w:r>
    </w:p>
    <w:p w14:paraId="6BBA8C0B" w14:textId="77777777" w:rsidR="00E77794" w:rsidRPr="00110D6C" w:rsidRDefault="00E77794" w:rsidP="00A17623">
      <w:pPr>
        <w:widowControl/>
        <w:rPr>
          <w:rFonts w:cs="Times New Roman"/>
          <w:color w:val="auto"/>
          <w:szCs w:val="22"/>
          <w:lang w:val="pt-PT"/>
        </w:rPr>
      </w:pPr>
    </w:p>
    <w:p w14:paraId="6E9B7875" w14:textId="77777777" w:rsidR="0077031F" w:rsidRPr="00110D6C" w:rsidRDefault="00030085" w:rsidP="005B7CFE">
      <w:pPr>
        <w:keepNext/>
        <w:widowControl/>
        <w:rPr>
          <w:rFonts w:cs="Times New Roman"/>
          <w:color w:val="auto"/>
          <w:szCs w:val="22"/>
          <w:lang w:val="pt-PT"/>
        </w:rPr>
      </w:pPr>
      <w:r w:rsidRPr="00110D6C">
        <w:rPr>
          <w:rFonts w:cs="Times New Roman"/>
          <w:color w:val="auto"/>
          <w:szCs w:val="22"/>
          <w:u w:val="single"/>
          <w:lang w:val="pt-PT"/>
        </w:rPr>
        <w:t>Imunogenicidade</w:t>
      </w:r>
    </w:p>
    <w:p w14:paraId="5D690116" w14:textId="474B8973" w:rsidR="0077031F" w:rsidRPr="00110D6C" w:rsidRDefault="00030085" w:rsidP="005B7CFE">
      <w:pPr>
        <w:keepNext/>
        <w:widowControl/>
        <w:rPr>
          <w:rFonts w:cs="Times New Roman"/>
          <w:color w:val="auto"/>
          <w:szCs w:val="22"/>
          <w:lang w:val="pt-PT"/>
        </w:rPr>
      </w:pPr>
      <w:r w:rsidRPr="00110D6C">
        <w:rPr>
          <w:rFonts w:cs="Times New Roman"/>
          <w:color w:val="auto"/>
          <w:szCs w:val="22"/>
          <w:lang w:val="pt-PT"/>
        </w:rPr>
        <w:t>Durante o tratamento com ustecinumab podem desenvolver-se anticorpos contra o ustecinumab e a maioria é neutralizante. A formação de anticorpos anti-ustecinumab está associada ao aumento da depuração de ustecinumab e à redução de eficácia do ustecinumab, exceto em doentes com doença de Crohn nos quais não foi observada redução de eficácia. Não existe correlação aparente entre a presença de anticorpos anti-ustecinumab e a ocorrência de reações no local de injeção.</w:t>
      </w:r>
    </w:p>
    <w:p w14:paraId="205B8814" w14:textId="77777777" w:rsidR="00E77794" w:rsidRPr="00110D6C" w:rsidRDefault="00E77794" w:rsidP="00A17623">
      <w:pPr>
        <w:widowControl/>
        <w:rPr>
          <w:rFonts w:cs="Times New Roman"/>
          <w:color w:val="auto"/>
          <w:szCs w:val="22"/>
          <w:lang w:val="pt-PT"/>
        </w:rPr>
      </w:pPr>
    </w:p>
    <w:p w14:paraId="72802DFF"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População pediátrica</w:t>
      </w:r>
    </w:p>
    <w:p w14:paraId="3A717B76" w14:textId="37E4CEEE"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 Agência Europeia de Medicamentos diferiu a obrigação de submissão dos resultados dos estudos com </w:t>
      </w:r>
      <w:r w:rsidR="00291A38">
        <w:rPr>
          <w:rFonts w:cs="Times New Roman"/>
          <w:color w:val="auto"/>
          <w:szCs w:val="22"/>
          <w:lang w:val="pt-PT"/>
        </w:rPr>
        <w:t xml:space="preserve">o medicamento de referência contendo </w:t>
      </w:r>
      <w:r w:rsidRPr="00110D6C">
        <w:rPr>
          <w:rFonts w:cs="Times New Roman"/>
          <w:color w:val="auto"/>
          <w:szCs w:val="22"/>
          <w:lang w:val="pt-PT"/>
        </w:rPr>
        <w:t>ustecinumab em um ou mais subgrupos da população pediátrica na doença de Crohn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w:t>
      </w:r>
      <w:r w:rsidR="00B910F9" w:rsidRPr="00110D6C">
        <w:rPr>
          <w:rFonts w:cs="Times New Roman"/>
          <w:color w:val="auto"/>
          <w:szCs w:val="22"/>
          <w:lang w:val="pt-PT"/>
        </w:rPr>
        <w:t>2 </w:t>
      </w:r>
      <w:r w:rsidRPr="00110D6C">
        <w:rPr>
          <w:rFonts w:cs="Times New Roman"/>
          <w:color w:val="auto"/>
          <w:szCs w:val="22"/>
          <w:lang w:val="pt-PT"/>
        </w:rPr>
        <w:t>para informação sobre o uso pediátrico)</w:t>
      </w:r>
      <w:r w:rsidRPr="00110D6C">
        <w:rPr>
          <w:rFonts w:cs="Times New Roman"/>
          <w:b/>
          <w:bCs/>
          <w:color w:val="auto"/>
          <w:szCs w:val="22"/>
          <w:lang w:val="pt-PT"/>
        </w:rPr>
        <w:t>.</w:t>
      </w:r>
    </w:p>
    <w:p w14:paraId="2E9A2008" w14:textId="77777777" w:rsidR="00DC3C01" w:rsidRPr="00110D6C" w:rsidRDefault="00DC3C01" w:rsidP="002057DA">
      <w:pPr>
        <w:widowControl/>
        <w:rPr>
          <w:rFonts w:cs="Times New Roman"/>
          <w:bCs/>
          <w:color w:val="auto"/>
          <w:szCs w:val="22"/>
          <w:lang w:val="pt-PT"/>
        </w:rPr>
      </w:pPr>
      <w:bookmarkStart w:id="39" w:name="bookmark76"/>
    </w:p>
    <w:p w14:paraId="69CB954A"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5.2</w:t>
      </w:r>
      <w:r w:rsidRPr="00110D6C">
        <w:rPr>
          <w:rFonts w:cs="Times New Roman"/>
          <w:b/>
          <w:bCs/>
          <w:color w:val="auto"/>
          <w:szCs w:val="22"/>
          <w:lang w:val="pt-PT"/>
        </w:rPr>
        <w:tab/>
      </w:r>
      <w:r w:rsidR="00030085" w:rsidRPr="00110D6C">
        <w:rPr>
          <w:rFonts w:cs="Times New Roman"/>
          <w:b/>
          <w:bCs/>
          <w:color w:val="auto"/>
          <w:szCs w:val="22"/>
          <w:lang w:val="pt-PT"/>
        </w:rPr>
        <w:t>Propriedades farmacocinéticas</w:t>
      </w:r>
      <w:bookmarkEnd w:id="39"/>
    </w:p>
    <w:p w14:paraId="422B358A" w14:textId="77777777" w:rsidR="00E77794" w:rsidRPr="00110D6C" w:rsidRDefault="00E77794" w:rsidP="00A17623">
      <w:pPr>
        <w:widowControl/>
        <w:rPr>
          <w:rFonts w:cs="Times New Roman"/>
          <w:color w:val="auto"/>
          <w:szCs w:val="22"/>
          <w:lang w:val="pt-PT"/>
        </w:rPr>
      </w:pPr>
    </w:p>
    <w:p w14:paraId="0EB1BA10"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Absorção</w:t>
      </w:r>
    </w:p>
    <w:p w14:paraId="533BC3DD"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 mediana do tempo até atingir a concentração sérica máxima (t</w:t>
      </w:r>
      <w:r w:rsidRPr="00110D6C">
        <w:rPr>
          <w:rFonts w:cs="Times New Roman"/>
          <w:color w:val="auto"/>
          <w:szCs w:val="22"/>
          <w:vertAlign w:val="subscript"/>
          <w:lang w:val="pt-PT"/>
        </w:rPr>
        <w:t>max</w:t>
      </w:r>
      <w:r w:rsidRPr="00110D6C">
        <w:rPr>
          <w:rFonts w:cs="Times New Roman"/>
          <w:color w:val="auto"/>
          <w:szCs w:val="22"/>
          <w:lang w:val="pt-PT"/>
        </w:rPr>
        <w:t>) foi de 8,</w:t>
      </w:r>
      <w:r w:rsidR="00B910F9" w:rsidRPr="00110D6C">
        <w:rPr>
          <w:rFonts w:cs="Times New Roman"/>
          <w:color w:val="auto"/>
          <w:szCs w:val="22"/>
          <w:lang w:val="pt-PT"/>
        </w:rPr>
        <w:t>5 </w:t>
      </w:r>
      <w:r w:rsidRPr="00110D6C">
        <w:rPr>
          <w:rFonts w:cs="Times New Roman"/>
          <w:color w:val="auto"/>
          <w:szCs w:val="22"/>
          <w:lang w:val="pt-PT"/>
        </w:rPr>
        <w:t>dias após uma administração única de 9</w:t>
      </w:r>
      <w:r w:rsidR="00B910F9" w:rsidRPr="00110D6C">
        <w:rPr>
          <w:rFonts w:cs="Times New Roman"/>
          <w:color w:val="auto"/>
          <w:szCs w:val="22"/>
          <w:lang w:val="pt-PT"/>
        </w:rPr>
        <w:t>0 </w:t>
      </w:r>
      <w:r w:rsidRPr="00110D6C">
        <w:rPr>
          <w:rFonts w:cs="Times New Roman"/>
          <w:color w:val="auto"/>
          <w:szCs w:val="22"/>
          <w:lang w:val="pt-PT"/>
        </w:rPr>
        <w:t>mg por via subcutânea em indivíduos saudáveis. As medianas dos valores de t</w:t>
      </w:r>
      <w:r w:rsidRPr="00110D6C">
        <w:rPr>
          <w:rFonts w:cs="Times New Roman"/>
          <w:color w:val="auto"/>
          <w:szCs w:val="22"/>
          <w:vertAlign w:val="subscript"/>
          <w:lang w:val="pt-PT"/>
        </w:rPr>
        <w:t>max</w:t>
      </w:r>
      <w:r w:rsidRPr="00110D6C">
        <w:rPr>
          <w:rFonts w:cs="Times New Roman"/>
          <w:color w:val="auto"/>
          <w:szCs w:val="22"/>
          <w:lang w:val="pt-PT"/>
        </w:rPr>
        <w:t xml:space="preserve"> do ustecinumab após administrações únicas subcutâneas de 4</w:t>
      </w:r>
      <w:r w:rsidR="00B910F9" w:rsidRPr="00110D6C">
        <w:rPr>
          <w:rFonts w:cs="Times New Roman"/>
          <w:color w:val="auto"/>
          <w:szCs w:val="22"/>
          <w:lang w:val="pt-PT"/>
        </w:rPr>
        <w:t>5 </w:t>
      </w:r>
      <w:r w:rsidRPr="00110D6C">
        <w:rPr>
          <w:rFonts w:cs="Times New Roman"/>
          <w:color w:val="auto"/>
          <w:szCs w:val="22"/>
          <w:lang w:val="pt-PT"/>
        </w:rPr>
        <w:t>mg ou 9</w:t>
      </w:r>
      <w:r w:rsidR="00B910F9" w:rsidRPr="00110D6C">
        <w:rPr>
          <w:rFonts w:cs="Times New Roman"/>
          <w:color w:val="auto"/>
          <w:szCs w:val="22"/>
          <w:lang w:val="pt-PT"/>
        </w:rPr>
        <w:t>0 </w:t>
      </w:r>
      <w:r w:rsidRPr="00110D6C">
        <w:rPr>
          <w:rFonts w:cs="Times New Roman"/>
          <w:color w:val="auto"/>
          <w:szCs w:val="22"/>
          <w:lang w:val="pt-PT"/>
        </w:rPr>
        <w:t>mg em doentes com psoríase foram comparáveis às observadas em indivíduos saudáveis.</w:t>
      </w:r>
    </w:p>
    <w:p w14:paraId="36D5DD23" w14:textId="77777777" w:rsidR="00E77794" w:rsidRPr="00110D6C" w:rsidRDefault="00E77794" w:rsidP="00A17623">
      <w:pPr>
        <w:widowControl/>
        <w:rPr>
          <w:rFonts w:cs="Times New Roman"/>
          <w:color w:val="auto"/>
          <w:szCs w:val="22"/>
          <w:lang w:val="pt-PT"/>
        </w:rPr>
      </w:pPr>
    </w:p>
    <w:p w14:paraId="4591581D"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 biodisponibilidade absoluta do ustecinumab após uma administração única subcutânea foi estimada em 57,2% nos doentes com psoríase.</w:t>
      </w:r>
    </w:p>
    <w:p w14:paraId="73EE268D" w14:textId="77777777" w:rsidR="00E77794" w:rsidRPr="00110D6C" w:rsidRDefault="00E77794" w:rsidP="00A17623">
      <w:pPr>
        <w:widowControl/>
        <w:rPr>
          <w:rFonts w:cs="Times New Roman"/>
          <w:color w:val="auto"/>
          <w:szCs w:val="22"/>
          <w:lang w:val="pt-PT"/>
        </w:rPr>
      </w:pPr>
    </w:p>
    <w:p w14:paraId="1249DD25"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Distribuição</w:t>
      </w:r>
    </w:p>
    <w:p w14:paraId="36B599E7"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 mediana do volume de distribuição durante a fase terminal (Vz) após uma administração única intravenosa em doentes com psoríase encontra-se dentro do intervalo de 5</w:t>
      </w:r>
      <w:r w:rsidR="00B910F9" w:rsidRPr="00110D6C">
        <w:rPr>
          <w:rFonts w:cs="Times New Roman"/>
          <w:color w:val="auto"/>
          <w:szCs w:val="22"/>
          <w:lang w:val="pt-PT"/>
        </w:rPr>
        <w:t>7 </w:t>
      </w:r>
      <w:r w:rsidRPr="00110D6C">
        <w:rPr>
          <w:rFonts w:cs="Times New Roman"/>
          <w:color w:val="auto"/>
          <w:szCs w:val="22"/>
          <w:lang w:val="pt-PT"/>
        </w:rPr>
        <w:t>a 8</w:t>
      </w:r>
      <w:r w:rsidR="00B910F9" w:rsidRPr="00110D6C">
        <w:rPr>
          <w:rFonts w:cs="Times New Roman"/>
          <w:color w:val="auto"/>
          <w:szCs w:val="22"/>
          <w:lang w:val="pt-PT"/>
        </w:rPr>
        <w:t>3 </w:t>
      </w:r>
      <w:r w:rsidRPr="00110D6C">
        <w:rPr>
          <w:rFonts w:cs="Times New Roman"/>
          <w:color w:val="auto"/>
          <w:szCs w:val="22"/>
          <w:lang w:val="pt-PT"/>
        </w:rPr>
        <w:t>ml/kg.</w:t>
      </w:r>
    </w:p>
    <w:p w14:paraId="6FDDF501" w14:textId="77777777" w:rsidR="00E77794" w:rsidRPr="00110D6C" w:rsidRDefault="00E77794" w:rsidP="00A17623">
      <w:pPr>
        <w:widowControl/>
        <w:rPr>
          <w:rFonts w:cs="Times New Roman"/>
          <w:color w:val="auto"/>
          <w:szCs w:val="22"/>
          <w:lang w:val="pt-PT"/>
        </w:rPr>
      </w:pPr>
    </w:p>
    <w:p w14:paraId="310D0925"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Biotransformação</w:t>
      </w:r>
    </w:p>
    <w:p w14:paraId="5C24ABED"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Desconhece-se a via metabólica exata do ustecinumab.</w:t>
      </w:r>
    </w:p>
    <w:p w14:paraId="05E49AFD" w14:textId="77777777" w:rsidR="00E77794" w:rsidRPr="00110D6C" w:rsidRDefault="00E77794" w:rsidP="00A17623">
      <w:pPr>
        <w:widowControl/>
        <w:rPr>
          <w:rFonts w:cs="Times New Roman"/>
          <w:color w:val="auto"/>
          <w:szCs w:val="22"/>
          <w:lang w:val="pt-PT"/>
        </w:rPr>
      </w:pPr>
    </w:p>
    <w:p w14:paraId="2E1A8100"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lastRenderedPageBreak/>
        <w:t>Eliminação</w:t>
      </w:r>
    </w:p>
    <w:p w14:paraId="49D3B378" w14:textId="2CE451FD" w:rsidR="0077031F" w:rsidRPr="00110D6C" w:rsidRDefault="00030085" w:rsidP="00A17623">
      <w:pPr>
        <w:widowControl/>
        <w:rPr>
          <w:rFonts w:cs="Times New Roman"/>
          <w:color w:val="auto"/>
          <w:szCs w:val="22"/>
          <w:lang w:val="pt-PT"/>
        </w:rPr>
      </w:pPr>
      <w:r w:rsidRPr="00110D6C">
        <w:rPr>
          <w:rFonts w:cs="Times New Roman"/>
          <w:color w:val="auto"/>
          <w:szCs w:val="22"/>
          <w:lang w:val="pt-PT"/>
        </w:rPr>
        <w:t>A mediana da depuração sistémica (Cl) após uma administração única intravenosa em doentes com psoríase situa-se entre 1,9</w:t>
      </w:r>
      <w:r w:rsidR="00B910F9" w:rsidRPr="00110D6C">
        <w:rPr>
          <w:rFonts w:cs="Times New Roman"/>
          <w:color w:val="auto"/>
          <w:szCs w:val="22"/>
          <w:lang w:val="pt-PT"/>
        </w:rPr>
        <w:t>9 </w:t>
      </w:r>
      <w:r w:rsidRPr="00110D6C">
        <w:rPr>
          <w:rFonts w:cs="Times New Roman"/>
          <w:color w:val="auto"/>
          <w:szCs w:val="22"/>
          <w:lang w:val="pt-PT"/>
        </w:rPr>
        <w:t>e 2,3</w:t>
      </w:r>
      <w:r w:rsidR="00B910F9" w:rsidRPr="00110D6C">
        <w:rPr>
          <w:rFonts w:cs="Times New Roman"/>
          <w:color w:val="auto"/>
          <w:szCs w:val="22"/>
          <w:lang w:val="pt-PT"/>
        </w:rPr>
        <w:t>4 </w:t>
      </w:r>
      <w:r w:rsidRPr="00110D6C">
        <w:rPr>
          <w:rFonts w:cs="Times New Roman"/>
          <w:color w:val="auto"/>
          <w:szCs w:val="22"/>
          <w:lang w:val="pt-PT"/>
        </w:rPr>
        <w:t>ml/dia/kg. A mediana da semivida (t</w:t>
      </w:r>
      <w:r w:rsidRPr="00110D6C">
        <w:rPr>
          <w:rFonts w:cs="Times New Roman"/>
          <w:color w:val="auto"/>
          <w:szCs w:val="22"/>
          <w:vertAlign w:val="subscript"/>
          <w:lang w:val="pt-PT"/>
        </w:rPr>
        <w:t>1/2</w:t>
      </w:r>
      <w:r w:rsidRPr="00110D6C">
        <w:rPr>
          <w:rFonts w:cs="Times New Roman"/>
          <w:color w:val="auto"/>
          <w:szCs w:val="22"/>
          <w:lang w:val="pt-PT"/>
        </w:rPr>
        <w:t xml:space="preserve">) do ustecinumab foi de, aproximadamente, </w:t>
      </w:r>
      <w:r w:rsidR="00B910F9" w:rsidRPr="00110D6C">
        <w:rPr>
          <w:rFonts w:cs="Times New Roman"/>
          <w:color w:val="auto"/>
          <w:szCs w:val="22"/>
          <w:lang w:val="pt-PT"/>
        </w:rPr>
        <w:t>3 </w:t>
      </w:r>
      <w:r w:rsidRPr="00110D6C">
        <w:rPr>
          <w:rFonts w:cs="Times New Roman"/>
          <w:color w:val="auto"/>
          <w:szCs w:val="22"/>
          <w:lang w:val="pt-PT"/>
        </w:rPr>
        <w:t>semanas nos doentes com psoríase, artrite psoriática</w:t>
      </w:r>
      <w:r w:rsidR="004978E3">
        <w:rPr>
          <w:rFonts w:cs="Times New Roman"/>
          <w:color w:val="auto"/>
          <w:szCs w:val="22"/>
          <w:lang w:val="pt-PT"/>
        </w:rPr>
        <w:t xml:space="preserve"> ou</w:t>
      </w:r>
      <w:r w:rsidRPr="00110D6C">
        <w:rPr>
          <w:rFonts w:cs="Times New Roman"/>
          <w:color w:val="auto"/>
          <w:szCs w:val="22"/>
          <w:lang w:val="pt-PT"/>
        </w:rPr>
        <w:t xml:space="preserve"> doença de Crohn situando-se entre 1</w:t>
      </w:r>
      <w:r w:rsidR="00B910F9" w:rsidRPr="00110D6C">
        <w:rPr>
          <w:rFonts w:cs="Times New Roman"/>
          <w:color w:val="auto"/>
          <w:szCs w:val="22"/>
          <w:lang w:val="pt-PT"/>
        </w:rPr>
        <w:t>5 </w:t>
      </w:r>
      <w:r w:rsidRPr="00110D6C">
        <w:rPr>
          <w:rFonts w:cs="Times New Roman"/>
          <w:color w:val="auto"/>
          <w:szCs w:val="22"/>
          <w:lang w:val="pt-PT"/>
        </w:rPr>
        <w:t>e 3</w:t>
      </w:r>
      <w:r w:rsidR="00B910F9" w:rsidRPr="00110D6C">
        <w:rPr>
          <w:rFonts w:cs="Times New Roman"/>
          <w:color w:val="auto"/>
          <w:szCs w:val="22"/>
          <w:lang w:val="pt-PT"/>
        </w:rPr>
        <w:t>2 </w:t>
      </w:r>
      <w:r w:rsidRPr="00110D6C">
        <w:rPr>
          <w:rFonts w:cs="Times New Roman"/>
          <w:color w:val="auto"/>
          <w:szCs w:val="22"/>
          <w:lang w:val="pt-PT"/>
        </w:rPr>
        <w:t>dias em todos os estudos na psoríase e artrite psoriática. Numa análise farmacocinética da população, a depuração aparente (Cl/F) e o volume de distribuição aparente (V/F) foram de 0,46</w:t>
      </w:r>
      <w:r w:rsidR="00B910F9" w:rsidRPr="00110D6C">
        <w:rPr>
          <w:rFonts w:cs="Times New Roman"/>
          <w:color w:val="auto"/>
          <w:szCs w:val="22"/>
          <w:lang w:val="pt-PT"/>
        </w:rPr>
        <w:t>5 </w:t>
      </w:r>
      <w:r w:rsidRPr="00110D6C">
        <w:rPr>
          <w:rFonts w:cs="Times New Roman"/>
          <w:color w:val="auto"/>
          <w:szCs w:val="22"/>
          <w:lang w:val="pt-PT"/>
        </w:rPr>
        <w:t>l/d e 15,</w:t>
      </w:r>
      <w:r w:rsidR="00B910F9" w:rsidRPr="00110D6C">
        <w:rPr>
          <w:rFonts w:cs="Times New Roman"/>
          <w:color w:val="auto"/>
          <w:szCs w:val="22"/>
          <w:lang w:val="pt-PT"/>
        </w:rPr>
        <w:t>7 </w:t>
      </w:r>
      <w:r w:rsidRPr="00110D6C">
        <w:rPr>
          <w:rFonts w:cs="Times New Roman"/>
          <w:color w:val="auto"/>
          <w:szCs w:val="22"/>
          <w:lang w:val="pt-PT"/>
        </w:rPr>
        <w:t>l, respetivamente, nos doentes com psoríase. A Cl/F do ustecinumab não foi alterada pelo género. A análise farmacocinética da população demonstrou a existência de uma tendência para uma maior depuração do ustecinumab em doentes com teste positivo para anticorpos ao ustecinumab.</w:t>
      </w:r>
    </w:p>
    <w:p w14:paraId="5998CD99" w14:textId="77777777" w:rsidR="00E77794" w:rsidRPr="00110D6C" w:rsidRDefault="00E77794" w:rsidP="00A17623">
      <w:pPr>
        <w:widowControl/>
        <w:rPr>
          <w:rFonts w:cs="Times New Roman"/>
          <w:color w:val="auto"/>
          <w:szCs w:val="22"/>
          <w:lang w:val="pt-PT"/>
        </w:rPr>
      </w:pPr>
    </w:p>
    <w:p w14:paraId="5614399A" w14:textId="77777777" w:rsidR="0077031F" w:rsidRPr="00110D6C" w:rsidRDefault="00030085" w:rsidP="00E77794">
      <w:pPr>
        <w:keepNext/>
        <w:keepLines/>
        <w:widowControl/>
        <w:rPr>
          <w:rFonts w:cs="Times New Roman"/>
          <w:color w:val="auto"/>
          <w:szCs w:val="22"/>
          <w:lang w:val="pt-PT"/>
        </w:rPr>
      </w:pPr>
      <w:r w:rsidRPr="00110D6C">
        <w:rPr>
          <w:rFonts w:cs="Times New Roman"/>
          <w:color w:val="auto"/>
          <w:szCs w:val="22"/>
          <w:u w:val="single"/>
          <w:lang w:val="pt-PT"/>
        </w:rPr>
        <w:t>Linearidade da dose</w:t>
      </w:r>
    </w:p>
    <w:p w14:paraId="60F2ACAC"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 exposição sistémica do ustecinumab (C</w:t>
      </w:r>
      <w:r w:rsidRPr="00110D6C">
        <w:rPr>
          <w:rFonts w:cs="Times New Roman"/>
          <w:color w:val="auto"/>
          <w:szCs w:val="22"/>
          <w:vertAlign w:val="subscript"/>
          <w:lang w:val="pt-PT"/>
        </w:rPr>
        <w:t>max</w:t>
      </w:r>
      <w:r w:rsidRPr="00110D6C">
        <w:rPr>
          <w:rFonts w:cs="Times New Roman"/>
          <w:color w:val="auto"/>
          <w:szCs w:val="22"/>
          <w:lang w:val="pt-PT"/>
        </w:rPr>
        <w:t xml:space="preserve"> e AUC) aumentou de uma forma aproximadamente proporcional à dose após uma administração única intravenosa de doses situadas no intervalo entre 0,0</w:t>
      </w:r>
      <w:r w:rsidR="00B910F9" w:rsidRPr="00110D6C">
        <w:rPr>
          <w:rFonts w:cs="Times New Roman"/>
          <w:color w:val="auto"/>
          <w:szCs w:val="22"/>
          <w:lang w:val="pt-PT"/>
        </w:rPr>
        <w:t>9 </w:t>
      </w:r>
      <w:r w:rsidRPr="00110D6C">
        <w:rPr>
          <w:rFonts w:cs="Times New Roman"/>
          <w:color w:val="auto"/>
          <w:szCs w:val="22"/>
          <w:lang w:val="pt-PT"/>
        </w:rPr>
        <w:t>mg/kg e 4,</w:t>
      </w:r>
      <w:r w:rsidR="00B910F9" w:rsidRPr="00110D6C">
        <w:rPr>
          <w:rFonts w:cs="Times New Roman"/>
          <w:color w:val="auto"/>
          <w:szCs w:val="22"/>
          <w:lang w:val="pt-PT"/>
        </w:rPr>
        <w:t>5 </w:t>
      </w:r>
      <w:r w:rsidRPr="00110D6C">
        <w:rPr>
          <w:rFonts w:cs="Times New Roman"/>
          <w:color w:val="auto"/>
          <w:szCs w:val="22"/>
          <w:lang w:val="pt-PT"/>
        </w:rPr>
        <w:t>mg/kg ou após uma administração única subcutânea de doses de aproximadamente 2</w:t>
      </w:r>
      <w:r w:rsidR="00B910F9" w:rsidRPr="00110D6C">
        <w:rPr>
          <w:rFonts w:cs="Times New Roman"/>
          <w:color w:val="auto"/>
          <w:szCs w:val="22"/>
          <w:lang w:val="pt-PT"/>
        </w:rPr>
        <w:t>4 </w:t>
      </w:r>
      <w:r w:rsidRPr="00110D6C">
        <w:rPr>
          <w:rFonts w:cs="Times New Roman"/>
          <w:color w:val="auto"/>
          <w:szCs w:val="22"/>
          <w:lang w:val="pt-PT"/>
        </w:rPr>
        <w:t>mg a 24</w:t>
      </w:r>
      <w:r w:rsidR="00B910F9" w:rsidRPr="00110D6C">
        <w:rPr>
          <w:rFonts w:cs="Times New Roman"/>
          <w:color w:val="auto"/>
          <w:szCs w:val="22"/>
          <w:lang w:val="pt-PT"/>
        </w:rPr>
        <w:t>0 </w:t>
      </w:r>
      <w:r w:rsidRPr="00110D6C">
        <w:rPr>
          <w:rFonts w:cs="Times New Roman"/>
          <w:color w:val="auto"/>
          <w:szCs w:val="22"/>
          <w:lang w:val="pt-PT"/>
        </w:rPr>
        <w:t>mg nos doentes com psoríase.</w:t>
      </w:r>
    </w:p>
    <w:p w14:paraId="58D7399F" w14:textId="77777777" w:rsidR="00C57076" w:rsidRPr="00110D6C" w:rsidRDefault="00C57076" w:rsidP="00C57076">
      <w:pPr>
        <w:widowControl/>
        <w:rPr>
          <w:rFonts w:cs="Times New Roman"/>
          <w:color w:val="auto"/>
          <w:szCs w:val="22"/>
          <w:lang w:val="pt-PT"/>
        </w:rPr>
      </w:pPr>
    </w:p>
    <w:p w14:paraId="53CA5B42" w14:textId="77777777" w:rsidR="0077031F" w:rsidRPr="00110D6C" w:rsidRDefault="00030085" w:rsidP="00C57076">
      <w:pPr>
        <w:widowControl/>
        <w:rPr>
          <w:rFonts w:cs="Times New Roman"/>
          <w:color w:val="auto"/>
          <w:szCs w:val="22"/>
          <w:lang w:val="pt-PT"/>
        </w:rPr>
      </w:pPr>
      <w:r w:rsidRPr="00110D6C">
        <w:rPr>
          <w:rFonts w:cs="Times New Roman"/>
          <w:color w:val="auto"/>
          <w:szCs w:val="22"/>
          <w:u w:val="single"/>
          <w:lang w:val="pt-PT"/>
        </w:rPr>
        <w:t>Dose única versus doses múltiplas</w:t>
      </w:r>
    </w:p>
    <w:p w14:paraId="151BCC4B"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Os perfis de concentração sérica/tempo do ustecinumab foram geralmente previsíveis após a administração de uma dose única ou de doses múltiplas, por via subcutânea. Nos doentes com psoríase, as concentrações séricas de ustecinumab no estado estacionário foram atingidas na Semana</w:t>
      </w:r>
      <w:r w:rsidR="005562CC" w:rsidRPr="00110D6C">
        <w:rPr>
          <w:rFonts w:cs="Times New Roman"/>
          <w:color w:val="auto"/>
          <w:szCs w:val="22"/>
          <w:lang w:val="pt-PT"/>
        </w:rPr>
        <w:t> </w:t>
      </w:r>
      <w:r w:rsidRPr="00110D6C">
        <w:rPr>
          <w:rFonts w:cs="Times New Roman"/>
          <w:color w:val="auto"/>
          <w:szCs w:val="22"/>
          <w:lang w:val="pt-PT"/>
        </w:rPr>
        <w:t>2</w:t>
      </w:r>
      <w:r w:rsidR="00B910F9" w:rsidRPr="00110D6C">
        <w:rPr>
          <w:rFonts w:cs="Times New Roman"/>
          <w:color w:val="auto"/>
          <w:szCs w:val="22"/>
          <w:lang w:val="pt-PT"/>
        </w:rPr>
        <w:t>8</w:t>
      </w:r>
      <w:r w:rsidR="005562CC" w:rsidRPr="00110D6C">
        <w:rPr>
          <w:rFonts w:cs="Times New Roman"/>
          <w:color w:val="auto"/>
          <w:szCs w:val="22"/>
          <w:lang w:val="pt-PT"/>
        </w:rPr>
        <w:t xml:space="preserve"> </w:t>
      </w:r>
      <w:r w:rsidRPr="00110D6C">
        <w:rPr>
          <w:rFonts w:cs="Times New Roman"/>
          <w:color w:val="auto"/>
          <w:szCs w:val="22"/>
          <w:lang w:val="pt-PT"/>
        </w:rPr>
        <w:t>após a administração de doses subcutâneas iniciais nas Semanas</w:t>
      </w:r>
      <w:r w:rsidR="005562CC" w:rsidRPr="00110D6C">
        <w:rPr>
          <w:rFonts w:cs="Times New Roman"/>
          <w:color w:val="auto"/>
          <w:szCs w:val="22"/>
          <w:lang w:val="pt-PT"/>
        </w:rPr>
        <w:t> </w:t>
      </w:r>
      <w:r w:rsidR="00B910F9" w:rsidRPr="00110D6C">
        <w:rPr>
          <w:rFonts w:cs="Times New Roman"/>
          <w:color w:val="auto"/>
          <w:szCs w:val="22"/>
          <w:lang w:val="pt-PT"/>
        </w:rPr>
        <w:t>0</w:t>
      </w:r>
      <w:r w:rsidR="005562CC" w:rsidRPr="00110D6C">
        <w:rPr>
          <w:rFonts w:cs="Times New Roman"/>
          <w:color w:val="auto"/>
          <w:szCs w:val="22"/>
          <w:lang w:val="pt-PT"/>
        </w:rPr>
        <w:t xml:space="preserve"> </w:t>
      </w:r>
      <w:r w:rsidRPr="00110D6C">
        <w:rPr>
          <w:rFonts w:cs="Times New Roman"/>
          <w:color w:val="auto"/>
          <w:szCs w:val="22"/>
          <w:lang w:val="pt-PT"/>
        </w:rPr>
        <w:t>e 4, seguidas de doses em intervalos de 1</w:t>
      </w:r>
      <w:r w:rsidR="00B910F9" w:rsidRPr="00110D6C">
        <w:rPr>
          <w:rFonts w:cs="Times New Roman"/>
          <w:color w:val="auto"/>
          <w:szCs w:val="22"/>
          <w:lang w:val="pt-PT"/>
        </w:rPr>
        <w:t>2 </w:t>
      </w:r>
      <w:r w:rsidRPr="00110D6C">
        <w:rPr>
          <w:rFonts w:cs="Times New Roman"/>
          <w:color w:val="auto"/>
          <w:szCs w:val="22"/>
          <w:lang w:val="pt-PT"/>
        </w:rPr>
        <w:t>semanas. A mediana da concentração mínima no estado estacionário situa-se entre 0,2</w:t>
      </w:r>
      <w:r w:rsidR="00B910F9" w:rsidRPr="00110D6C">
        <w:rPr>
          <w:rFonts w:cs="Times New Roman"/>
          <w:color w:val="auto"/>
          <w:szCs w:val="22"/>
          <w:lang w:val="pt-PT"/>
        </w:rPr>
        <w:t>1 </w:t>
      </w:r>
      <w:r w:rsidRPr="00110D6C">
        <w:rPr>
          <w:rFonts w:cs="Times New Roman"/>
          <w:color w:val="auto"/>
          <w:szCs w:val="22"/>
          <w:lang w:val="pt-PT"/>
        </w:rPr>
        <w:t>μg/ml e 0,2</w:t>
      </w:r>
      <w:r w:rsidR="00B910F9" w:rsidRPr="00110D6C">
        <w:rPr>
          <w:rFonts w:cs="Times New Roman"/>
          <w:color w:val="auto"/>
          <w:szCs w:val="22"/>
          <w:lang w:val="pt-PT"/>
        </w:rPr>
        <w:t>6 </w:t>
      </w:r>
      <w:r w:rsidRPr="00110D6C">
        <w:rPr>
          <w:rFonts w:cs="Times New Roman"/>
          <w:color w:val="auto"/>
          <w:szCs w:val="22"/>
          <w:lang w:val="pt-PT"/>
        </w:rPr>
        <w:t>μg/ml (4</w:t>
      </w:r>
      <w:r w:rsidR="00B910F9" w:rsidRPr="00110D6C">
        <w:rPr>
          <w:rFonts w:cs="Times New Roman"/>
          <w:color w:val="auto"/>
          <w:szCs w:val="22"/>
          <w:lang w:val="pt-PT"/>
        </w:rPr>
        <w:t>5 </w:t>
      </w:r>
      <w:r w:rsidRPr="00110D6C">
        <w:rPr>
          <w:rFonts w:cs="Times New Roman"/>
          <w:color w:val="auto"/>
          <w:szCs w:val="22"/>
          <w:lang w:val="pt-PT"/>
        </w:rPr>
        <w:t>mg) e entre 0,4</w:t>
      </w:r>
      <w:r w:rsidR="00B910F9" w:rsidRPr="00110D6C">
        <w:rPr>
          <w:rFonts w:cs="Times New Roman"/>
          <w:color w:val="auto"/>
          <w:szCs w:val="22"/>
          <w:lang w:val="pt-PT"/>
        </w:rPr>
        <w:t>7 </w:t>
      </w:r>
      <w:r w:rsidRPr="00110D6C">
        <w:rPr>
          <w:rFonts w:cs="Times New Roman"/>
          <w:color w:val="auto"/>
          <w:szCs w:val="22"/>
          <w:lang w:val="pt-PT"/>
        </w:rPr>
        <w:t>μg/ml e 0,4</w:t>
      </w:r>
      <w:r w:rsidR="00B910F9" w:rsidRPr="00110D6C">
        <w:rPr>
          <w:rFonts w:cs="Times New Roman"/>
          <w:color w:val="auto"/>
          <w:szCs w:val="22"/>
          <w:lang w:val="pt-PT"/>
        </w:rPr>
        <w:t>9 </w:t>
      </w:r>
      <w:r w:rsidRPr="00110D6C">
        <w:rPr>
          <w:rFonts w:cs="Times New Roman"/>
          <w:color w:val="auto"/>
          <w:szCs w:val="22"/>
          <w:lang w:val="pt-PT"/>
        </w:rPr>
        <w:t>μg/ml (9</w:t>
      </w:r>
      <w:r w:rsidR="00B910F9" w:rsidRPr="00110D6C">
        <w:rPr>
          <w:rFonts w:cs="Times New Roman"/>
          <w:color w:val="auto"/>
          <w:szCs w:val="22"/>
          <w:lang w:val="pt-PT"/>
        </w:rPr>
        <w:t>0 </w:t>
      </w:r>
      <w:r w:rsidRPr="00110D6C">
        <w:rPr>
          <w:rFonts w:cs="Times New Roman"/>
          <w:color w:val="auto"/>
          <w:szCs w:val="22"/>
          <w:lang w:val="pt-PT"/>
        </w:rPr>
        <w:t>mg). Não se verificou acumulação aparente na concentração sérica de ustecinumab ao longo do tempo quando administrado por via subcutânea em intervalos de 1</w:t>
      </w:r>
      <w:r w:rsidR="00B910F9" w:rsidRPr="00110D6C">
        <w:rPr>
          <w:rFonts w:cs="Times New Roman"/>
          <w:color w:val="auto"/>
          <w:szCs w:val="22"/>
          <w:lang w:val="pt-PT"/>
        </w:rPr>
        <w:t>2 </w:t>
      </w:r>
      <w:r w:rsidRPr="00110D6C">
        <w:rPr>
          <w:rFonts w:cs="Times New Roman"/>
          <w:color w:val="auto"/>
          <w:szCs w:val="22"/>
          <w:lang w:val="pt-PT"/>
        </w:rPr>
        <w:t>semanas.</w:t>
      </w:r>
    </w:p>
    <w:p w14:paraId="66792080" w14:textId="77777777" w:rsidR="00C57076" w:rsidRPr="00110D6C" w:rsidRDefault="00C57076" w:rsidP="00A17623">
      <w:pPr>
        <w:widowControl/>
        <w:rPr>
          <w:rFonts w:cs="Times New Roman"/>
          <w:color w:val="auto"/>
          <w:szCs w:val="22"/>
          <w:lang w:val="pt-PT"/>
        </w:rPr>
      </w:pPr>
    </w:p>
    <w:p w14:paraId="4FE0C4BC" w14:textId="251B9663" w:rsidR="0077031F" w:rsidRPr="00110D6C" w:rsidRDefault="00030085" w:rsidP="00A17623">
      <w:pPr>
        <w:widowControl/>
        <w:rPr>
          <w:rFonts w:cs="Times New Roman"/>
          <w:color w:val="auto"/>
          <w:szCs w:val="22"/>
          <w:lang w:val="pt-PT"/>
        </w:rPr>
      </w:pPr>
      <w:r w:rsidRPr="00110D6C">
        <w:rPr>
          <w:rFonts w:cs="Times New Roman"/>
          <w:color w:val="auto"/>
          <w:szCs w:val="22"/>
          <w:lang w:val="pt-PT"/>
        </w:rPr>
        <w:t>Nos doentes com doença de Crohn, após uma dose intravenosa de ~</w:t>
      </w:r>
      <w:r w:rsidR="00B910F9" w:rsidRPr="00110D6C">
        <w:rPr>
          <w:rFonts w:cs="Times New Roman"/>
          <w:color w:val="auto"/>
          <w:szCs w:val="22"/>
          <w:lang w:val="pt-PT"/>
        </w:rPr>
        <w:t>6 </w:t>
      </w:r>
      <w:r w:rsidRPr="00110D6C">
        <w:rPr>
          <w:rFonts w:cs="Times New Roman"/>
          <w:color w:val="auto"/>
          <w:szCs w:val="22"/>
          <w:lang w:val="pt-PT"/>
        </w:rPr>
        <w:t>mg/kg, iniciada na semana</w:t>
      </w:r>
      <w:r w:rsidR="005562CC" w:rsidRPr="00110D6C">
        <w:rPr>
          <w:rFonts w:cs="Times New Roman"/>
          <w:color w:val="auto"/>
          <w:szCs w:val="22"/>
          <w:lang w:val="pt-PT"/>
        </w:rPr>
        <w:t> </w:t>
      </w:r>
      <w:r w:rsidRPr="00110D6C">
        <w:rPr>
          <w:rFonts w:cs="Times New Roman"/>
          <w:color w:val="auto"/>
          <w:szCs w:val="22"/>
          <w:lang w:val="pt-PT"/>
        </w:rPr>
        <w:t>8, foi iniciada uma administração de manutenção, por via subcutânea, de 9</w:t>
      </w:r>
      <w:r w:rsidR="00B910F9" w:rsidRPr="00110D6C">
        <w:rPr>
          <w:rFonts w:cs="Times New Roman"/>
          <w:color w:val="auto"/>
          <w:szCs w:val="22"/>
          <w:lang w:val="pt-PT"/>
        </w:rPr>
        <w:t>0 </w:t>
      </w:r>
      <w:r w:rsidRPr="00110D6C">
        <w:rPr>
          <w:rFonts w:cs="Times New Roman"/>
          <w:color w:val="auto"/>
          <w:szCs w:val="22"/>
          <w:lang w:val="pt-PT"/>
        </w:rPr>
        <w:t xml:space="preserve">mg de ustecinumab em intervalos de </w:t>
      </w:r>
      <w:r w:rsidR="00B910F9" w:rsidRPr="00110D6C">
        <w:rPr>
          <w:rFonts w:cs="Times New Roman"/>
          <w:color w:val="auto"/>
          <w:szCs w:val="22"/>
          <w:lang w:val="pt-PT"/>
        </w:rPr>
        <w:t>8 </w:t>
      </w:r>
      <w:r w:rsidRPr="00110D6C">
        <w:rPr>
          <w:rFonts w:cs="Times New Roman"/>
          <w:color w:val="auto"/>
          <w:szCs w:val="22"/>
          <w:lang w:val="pt-PT"/>
        </w:rPr>
        <w:t>ou 1</w:t>
      </w:r>
      <w:r w:rsidR="00B910F9" w:rsidRPr="00110D6C">
        <w:rPr>
          <w:rFonts w:cs="Times New Roman"/>
          <w:color w:val="auto"/>
          <w:szCs w:val="22"/>
          <w:lang w:val="pt-PT"/>
        </w:rPr>
        <w:t>2 </w:t>
      </w:r>
      <w:r w:rsidRPr="00110D6C">
        <w:rPr>
          <w:rFonts w:cs="Times New Roman"/>
          <w:color w:val="auto"/>
          <w:szCs w:val="22"/>
          <w:lang w:val="pt-PT"/>
        </w:rPr>
        <w:t>semanas. A concentração de ustecinumab no estado estacionário foi atingida no início da segunda dose de manutenção. Em doentes com doença de Crohn, a mediana da concentração mínima no estado estacionário situou-se entre 1,9</w:t>
      </w:r>
      <w:r w:rsidR="00B910F9" w:rsidRPr="00110D6C">
        <w:rPr>
          <w:rFonts w:cs="Times New Roman"/>
          <w:color w:val="auto"/>
          <w:szCs w:val="22"/>
          <w:lang w:val="pt-PT"/>
        </w:rPr>
        <w:t>7 </w:t>
      </w:r>
      <w:r w:rsidRPr="00110D6C">
        <w:rPr>
          <w:rFonts w:cs="Times New Roman"/>
          <w:color w:val="auto"/>
          <w:szCs w:val="22"/>
          <w:lang w:val="pt-PT"/>
        </w:rPr>
        <w:t>µg/ml e 2,2</w:t>
      </w:r>
      <w:r w:rsidR="00B910F9" w:rsidRPr="00110D6C">
        <w:rPr>
          <w:rFonts w:cs="Times New Roman"/>
          <w:color w:val="auto"/>
          <w:szCs w:val="22"/>
          <w:lang w:val="pt-PT"/>
        </w:rPr>
        <w:t>4 </w:t>
      </w:r>
      <w:r w:rsidRPr="00110D6C">
        <w:rPr>
          <w:rFonts w:cs="Times New Roman"/>
          <w:color w:val="auto"/>
          <w:szCs w:val="22"/>
          <w:lang w:val="pt-PT"/>
        </w:rPr>
        <w:t>µg/ml e entre 0,6</w:t>
      </w:r>
      <w:r w:rsidR="00B910F9" w:rsidRPr="00110D6C">
        <w:rPr>
          <w:rFonts w:cs="Times New Roman"/>
          <w:color w:val="auto"/>
          <w:szCs w:val="22"/>
          <w:lang w:val="pt-PT"/>
        </w:rPr>
        <w:t>1 </w:t>
      </w:r>
      <w:r w:rsidRPr="00110D6C">
        <w:rPr>
          <w:rFonts w:cs="Times New Roman"/>
          <w:color w:val="auto"/>
          <w:szCs w:val="22"/>
          <w:lang w:val="pt-PT"/>
        </w:rPr>
        <w:t>ug/ml e 0,7</w:t>
      </w:r>
      <w:r w:rsidR="00B910F9" w:rsidRPr="00110D6C">
        <w:rPr>
          <w:rFonts w:cs="Times New Roman"/>
          <w:color w:val="auto"/>
          <w:szCs w:val="22"/>
          <w:lang w:val="pt-PT"/>
        </w:rPr>
        <w:t>6 </w:t>
      </w:r>
      <w:r w:rsidRPr="00110D6C">
        <w:rPr>
          <w:rFonts w:cs="Times New Roman"/>
          <w:color w:val="auto"/>
          <w:szCs w:val="22"/>
          <w:lang w:val="pt-PT"/>
        </w:rPr>
        <w:t>ug/ml para 9</w:t>
      </w:r>
      <w:r w:rsidR="00B910F9" w:rsidRPr="00110D6C">
        <w:rPr>
          <w:rFonts w:cs="Times New Roman"/>
          <w:color w:val="auto"/>
          <w:szCs w:val="22"/>
          <w:lang w:val="pt-PT"/>
        </w:rPr>
        <w:t>0 </w:t>
      </w:r>
      <w:r w:rsidRPr="00110D6C">
        <w:rPr>
          <w:rFonts w:cs="Times New Roman"/>
          <w:color w:val="auto"/>
          <w:szCs w:val="22"/>
          <w:lang w:val="pt-PT"/>
        </w:rPr>
        <w:t xml:space="preserve">mg de ustecinumab em intervalos de </w:t>
      </w:r>
      <w:r w:rsidR="00B910F9" w:rsidRPr="00110D6C">
        <w:rPr>
          <w:rFonts w:cs="Times New Roman"/>
          <w:color w:val="auto"/>
          <w:szCs w:val="22"/>
          <w:lang w:val="pt-PT"/>
        </w:rPr>
        <w:t>8 </w:t>
      </w:r>
      <w:r w:rsidRPr="00110D6C">
        <w:rPr>
          <w:rFonts w:cs="Times New Roman"/>
          <w:color w:val="auto"/>
          <w:szCs w:val="22"/>
          <w:lang w:val="pt-PT"/>
        </w:rPr>
        <w:t>semanas e 1</w:t>
      </w:r>
      <w:r w:rsidR="00B910F9" w:rsidRPr="00110D6C">
        <w:rPr>
          <w:rFonts w:cs="Times New Roman"/>
          <w:color w:val="auto"/>
          <w:szCs w:val="22"/>
          <w:lang w:val="pt-PT"/>
        </w:rPr>
        <w:t>2 </w:t>
      </w:r>
      <w:r w:rsidRPr="00110D6C">
        <w:rPr>
          <w:rFonts w:cs="Times New Roman"/>
          <w:color w:val="auto"/>
          <w:szCs w:val="22"/>
          <w:lang w:val="pt-PT"/>
        </w:rPr>
        <w:t>semanas, respetivamente. Os níveis mínimos de ustecinumab no estado estacionário resultantes de 9</w:t>
      </w:r>
      <w:r w:rsidR="00B910F9" w:rsidRPr="00110D6C">
        <w:rPr>
          <w:rFonts w:cs="Times New Roman"/>
          <w:color w:val="auto"/>
          <w:szCs w:val="22"/>
          <w:lang w:val="pt-PT"/>
        </w:rPr>
        <w:t>0 </w:t>
      </w:r>
      <w:r w:rsidRPr="00110D6C">
        <w:rPr>
          <w:rFonts w:cs="Times New Roman"/>
          <w:color w:val="auto"/>
          <w:szCs w:val="22"/>
          <w:lang w:val="pt-PT"/>
        </w:rPr>
        <w:t xml:space="preserve">mg de ustecinumab em intervalos de </w:t>
      </w:r>
      <w:r w:rsidR="00B910F9" w:rsidRPr="00110D6C">
        <w:rPr>
          <w:rFonts w:cs="Times New Roman"/>
          <w:color w:val="auto"/>
          <w:szCs w:val="22"/>
          <w:lang w:val="pt-PT"/>
        </w:rPr>
        <w:t>8 </w:t>
      </w:r>
      <w:r w:rsidRPr="00110D6C">
        <w:rPr>
          <w:rFonts w:cs="Times New Roman"/>
          <w:color w:val="auto"/>
          <w:szCs w:val="22"/>
          <w:lang w:val="pt-PT"/>
        </w:rPr>
        <w:t>semanas foram associados a taxas de remissão clínica mais elevadas em comparação com os níveis mínimos no estado estacionário resultantes de 9</w:t>
      </w:r>
      <w:r w:rsidR="00B910F9" w:rsidRPr="00110D6C">
        <w:rPr>
          <w:rFonts w:cs="Times New Roman"/>
          <w:color w:val="auto"/>
          <w:szCs w:val="22"/>
          <w:lang w:val="pt-PT"/>
        </w:rPr>
        <w:t>0 </w:t>
      </w:r>
      <w:r w:rsidRPr="00110D6C">
        <w:rPr>
          <w:rFonts w:cs="Times New Roman"/>
          <w:color w:val="auto"/>
          <w:szCs w:val="22"/>
          <w:lang w:val="pt-PT"/>
        </w:rPr>
        <w:t>mg em intervalos de 1</w:t>
      </w:r>
      <w:r w:rsidR="00B910F9" w:rsidRPr="00110D6C">
        <w:rPr>
          <w:rFonts w:cs="Times New Roman"/>
          <w:color w:val="auto"/>
          <w:szCs w:val="22"/>
          <w:lang w:val="pt-PT"/>
        </w:rPr>
        <w:t>2 </w:t>
      </w:r>
      <w:r w:rsidRPr="00110D6C">
        <w:rPr>
          <w:rFonts w:cs="Times New Roman"/>
          <w:color w:val="auto"/>
          <w:szCs w:val="22"/>
          <w:lang w:val="pt-PT"/>
        </w:rPr>
        <w:t>semanas.</w:t>
      </w:r>
    </w:p>
    <w:p w14:paraId="7CE85242" w14:textId="77777777" w:rsidR="00C57076" w:rsidRPr="00110D6C" w:rsidRDefault="00C57076" w:rsidP="00A17623">
      <w:pPr>
        <w:widowControl/>
        <w:rPr>
          <w:rFonts w:cs="Times New Roman"/>
          <w:color w:val="auto"/>
          <w:szCs w:val="22"/>
          <w:lang w:val="pt-PT"/>
        </w:rPr>
      </w:pPr>
    </w:p>
    <w:p w14:paraId="77A8B8BE"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Impacto do peso na farmacocinética</w:t>
      </w:r>
    </w:p>
    <w:p w14:paraId="1EC43A26"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Numa análise farmacocinética da população, utilizando dados de doentes com psoríase, verificou-se que o peso corporal era a covariável com o efeito mais significativo sobre a depuração do ustecinumab. A mediana da Cl/F nos doentes com peso &gt;</w:t>
      </w:r>
      <w:r w:rsidR="00F5387C" w:rsidRPr="00110D6C">
        <w:rPr>
          <w:rFonts w:cs="Times New Roman"/>
          <w:color w:val="auto"/>
          <w:szCs w:val="22"/>
          <w:lang w:val="pt-PT"/>
        </w:rPr>
        <w:t> </w:t>
      </w:r>
      <w:r w:rsidRPr="00110D6C">
        <w:rPr>
          <w:rFonts w:cs="Times New Roman"/>
          <w:color w:val="auto"/>
          <w:szCs w:val="22"/>
          <w:lang w:val="pt-PT"/>
        </w:rPr>
        <w:t>10</w:t>
      </w:r>
      <w:r w:rsidR="00B910F9" w:rsidRPr="00110D6C">
        <w:rPr>
          <w:rFonts w:cs="Times New Roman"/>
          <w:color w:val="auto"/>
          <w:szCs w:val="22"/>
          <w:lang w:val="pt-PT"/>
        </w:rPr>
        <w:t>0 </w:t>
      </w:r>
      <w:r w:rsidRPr="00110D6C">
        <w:rPr>
          <w:rFonts w:cs="Times New Roman"/>
          <w:color w:val="auto"/>
          <w:szCs w:val="22"/>
          <w:lang w:val="pt-PT"/>
        </w:rPr>
        <w:t>kg foi, aproximadamente, 55% superior em comparação com os doentes com peso ≤</w:t>
      </w:r>
      <w:r w:rsidR="00F5387C" w:rsidRPr="00110D6C">
        <w:rPr>
          <w:rFonts w:cs="Times New Roman"/>
          <w:color w:val="auto"/>
          <w:szCs w:val="22"/>
          <w:lang w:val="pt-PT"/>
        </w:rPr>
        <w:t> </w:t>
      </w:r>
      <w:r w:rsidRPr="00110D6C">
        <w:rPr>
          <w:rFonts w:cs="Times New Roman"/>
          <w:color w:val="auto"/>
          <w:szCs w:val="22"/>
          <w:lang w:val="pt-PT"/>
        </w:rPr>
        <w:t>10</w:t>
      </w:r>
      <w:r w:rsidR="00B910F9" w:rsidRPr="00110D6C">
        <w:rPr>
          <w:rFonts w:cs="Times New Roman"/>
          <w:color w:val="auto"/>
          <w:szCs w:val="22"/>
          <w:lang w:val="pt-PT"/>
        </w:rPr>
        <w:t>0 </w:t>
      </w:r>
      <w:r w:rsidRPr="00110D6C">
        <w:rPr>
          <w:rFonts w:cs="Times New Roman"/>
          <w:color w:val="auto"/>
          <w:szCs w:val="22"/>
          <w:lang w:val="pt-PT"/>
        </w:rPr>
        <w:t>kg. A mediana de V/F nos doentes com peso &gt;</w:t>
      </w:r>
      <w:r w:rsidR="00F5387C" w:rsidRPr="00110D6C">
        <w:rPr>
          <w:rFonts w:cs="Times New Roman"/>
          <w:color w:val="auto"/>
          <w:szCs w:val="22"/>
          <w:lang w:val="pt-PT"/>
        </w:rPr>
        <w:t> </w:t>
      </w:r>
      <w:r w:rsidRPr="00110D6C">
        <w:rPr>
          <w:rFonts w:cs="Times New Roman"/>
          <w:color w:val="auto"/>
          <w:szCs w:val="22"/>
          <w:lang w:val="pt-PT"/>
        </w:rPr>
        <w:t>10</w:t>
      </w:r>
      <w:r w:rsidR="00B910F9" w:rsidRPr="00110D6C">
        <w:rPr>
          <w:rFonts w:cs="Times New Roman"/>
          <w:color w:val="auto"/>
          <w:szCs w:val="22"/>
          <w:lang w:val="pt-PT"/>
        </w:rPr>
        <w:t>0 </w:t>
      </w:r>
      <w:r w:rsidRPr="00110D6C">
        <w:rPr>
          <w:rFonts w:cs="Times New Roman"/>
          <w:color w:val="auto"/>
          <w:szCs w:val="22"/>
          <w:lang w:val="pt-PT"/>
        </w:rPr>
        <w:t>kg foi, aproximadamente, 37% superior em comparação com os doentes com peso ≤</w:t>
      </w:r>
      <w:r w:rsidR="00F5387C" w:rsidRPr="00110D6C">
        <w:rPr>
          <w:rFonts w:cs="Times New Roman"/>
          <w:color w:val="auto"/>
          <w:szCs w:val="22"/>
          <w:lang w:val="pt-PT"/>
        </w:rPr>
        <w:t> </w:t>
      </w:r>
      <w:r w:rsidRPr="00110D6C">
        <w:rPr>
          <w:rFonts w:cs="Times New Roman"/>
          <w:color w:val="auto"/>
          <w:szCs w:val="22"/>
          <w:lang w:val="pt-PT"/>
        </w:rPr>
        <w:t>10</w:t>
      </w:r>
      <w:r w:rsidR="00B910F9" w:rsidRPr="00110D6C">
        <w:rPr>
          <w:rFonts w:cs="Times New Roman"/>
          <w:color w:val="auto"/>
          <w:szCs w:val="22"/>
          <w:lang w:val="pt-PT"/>
        </w:rPr>
        <w:t>0 </w:t>
      </w:r>
      <w:r w:rsidRPr="00110D6C">
        <w:rPr>
          <w:rFonts w:cs="Times New Roman"/>
          <w:color w:val="auto"/>
          <w:szCs w:val="22"/>
          <w:lang w:val="pt-PT"/>
        </w:rPr>
        <w:t>kg. A mediana das concentrações séricas mínimas do ustecinumab nos doentes com maior peso (&gt;</w:t>
      </w:r>
      <w:r w:rsidR="00F5387C" w:rsidRPr="00110D6C">
        <w:rPr>
          <w:rFonts w:cs="Times New Roman"/>
          <w:color w:val="auto"/>
          <w:szCs w:val="22"/>
          <w:lang w:val="pt-PT"/>
        </w:rPr>
        <w:t> </w:t>
      </w:r>
      <w:r w:rsidRPr="00110D6C">
        <w:rPr>
          <w:rFonts w:cs="Times New Roman"/>
          <w:color w:val="auto"/>
          <w:szCs w:val="22"/>
          <w:lang w:val="pt-PT"/>
        </w:rPr>
        <w:t>10</w:t>
      </w:r>
      <w:r w:rsidR="00B910F9" w:rsidRPr="00110D6C">
        <w:rPr>
          <w:rFonts w:cs="Times New Roman"/>
          <w:color w:val="auto"/>
          <w:szCs w:val="22"/>
          <w:lang w:val="pt-PT"/>
        </w:rPr>
        <w:t>0 </w:t>
      </w:r>
      <w:r w:rsidRPr="00110D6C">
        <w:rPr>
          <w:rFonts w:cs="Times New Roman"/>
          <w:color w:val="auto"/>
          <w:szCs w:val="22"/>
          <w:lang w:val="pt-PT"/>
        </w:rPr>
        <w:t>kg) no grupo com 9</w:t>
      </w:r>
      <w:r w:rsidR="00B910F9" w:rsidRPr="00110D6C">
        <w:rPr>
          <w:rFonts w:cs="Times New Roman"/>
          <w:color w:val="auto"/>
          <w:szCs w:val="22"/>
          <w:lang w:val="pt-PT"/>
        </w:rPr>
        <w:t>0 </w:t>
      </w:r>
      <w:r w:rsidRPr="00110D6C">
        <w:rPr>
          <w:rFonts w:cs="Times New Roman"/>
          <w:color w:val="auto"/>
          <w:szCs w:val="22"/>
          <w:lang w:val="pt-PT"/>
        </w:rPr>
        <w:t>mg foi comparável à dos doentes com menor peso (≤</w:t>
      </w:r>
      <w:r w:rsidR="00F5387C" w:rsidRPr="00110D6C">
        <w:rPr>
          <w:rFonts w:cs="Times New Roman"/>
          <w:color w:val="auto"/>
          <w:szCs w:val="22"/>
          <w:lang w:val="pt-PT"/>
        </w:rPr>
        <w:t> </w:t>
      </w:r>
      <w:r w:rsidRPr="00110D6C">
        <w:rPr>
          <w:rFonts w:cs="Times New Roman"/>
          <w:color w:val="auto"/>
          <w:szCs w:val="22"/>
          <w:lang w:val="pt-PT"/>
        </w:rPr>
        <w:t>10</w:t>
      </w:r>
      <w:r w:rsidR="00B910F9" w:rsidRPr="00110D6C">
        <w:rPr>
          <w:rFonts w:cs="Times New Roman"/>
          <w:color w:val="auto"/>
          <w:szCs w:val="22"/>
          <w:lang w:val="pt-PT"/>
        </w:rPr>
        <w:t>0 </w:t>
      </w:r>
      <w:r w:rsidRPr="00110D6C">
        <w:rPr>
          <w:rFonts w:cs="Times New Roman"/>
          <w:color w:val="auto"/>
          <w:szCs w:val="22"/>
          <w:lang w:val="pt-PT"/>
        </w:rPr>
        <w:t>kg) no grupo com 4</w:t>
      </w:r>
      <w:r w:rsidR="00B910F9" w:rsidRPr="00110D6C">
        <w:rPr>
          <w:rFonts w:cs="Times New Roman"/>
          <w:color w:val="auto"/>
          <w:szCs w:val="22"/>
          <w:lang w:val="pt-PT"/>
        </w:rPr>
        <w:t>5 </w:t>
      </w:r>
      <w:r w:rsidRPr="00110D6C">
        <w:rPr>
          <w:rFonts w:cs="Times New Roman"/>
          <w:color w:val="auto"/>
          <w:szCs w:val="22"/>
          <w:lang w:val="pt-PT"/>
        </w:rPr>
        <w:t>mg. Numa análise farmacocinética da população com caráter confirmatório, obtiveram-se resultados semelhantes utilizando dados de doentes com artrite psoriática.</w:t>
      </w:r>
    </w:p>
    <w:p w14:paraId="68F797A6" w14:textId="77777777" w:rsidR="00C57076" w:rsidRPr="00110D6C" w:rsidRDefault="00C57076" w:rsidP="00A17623">
      <w:pPr>
        <w:widowControl/>
        <w:rPr>
          <w:rFonts w:cs="Times New Roman"/>
          <w:color w:val="auto"/>
          <w:szCs w:val="22"/>
          <w:lang w:val="pt-PT"/>
        </w:rPr>
      </w:pPr>
    </w:p>
    <w:p w14:paraId="7D819EF5"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Ajuste da frequência de dose</w:t>
      </w:r>
    </w:p>
    <w:p w14:paraId="70BC0D2B" w14:textId="05F5E8F3" w:rsidR="0077031F" w:rsidRPr="00110D6C" w:rsidRDefault="00030085" w:rsidP="00A17623">
      <w:pPr>
        <w:widowControl/>
        <w:rPr>
          <w:rFonts w:cs="Times New Roman"/>
          <w:color w:val="auto"/>
          <w:szCs w:val="22"/>
          <w:lang w:val="pt-PT"/>
        </w:rPr>
      </w:pPr>
      <w:r w:rsidRPr="00110D6C">
        <w:rPr>
          <w:rFonts w:cs="Times New Roman"/>
          <w:color w:val="auto"/>
          <w:szCs w:val="22"/>
          <w:lang w:val="pt-PT"/>
        </w:rPr>
        <w:t>Em doentes com doença de Crohn, com base em dados observados e análises de farmacocinética da população, indivíduos aleatorizados que deixaram de responder ao tratamento apresentaram concentrações séricas de ustecinumab inferiores, ao longo do tempo, em comparação com doentes que não deixaram de responder. Na doença de Crohn, o ajuste da dose de 9</w:t>
      </w:r>
      <w:r w:rsidR="00B910F9" w:rsidRPr="00110D6C">
        <w:rPr>
          <w:rFonts w:cs="Times New Roman"/>
          <w:color w:val="auto"/>
          <w:szCs w:val="22"/>
          <w:lang w:val="pt-PT"/>
        </w:rPr>
        <w:t>0 </w:t>
      </w:r>
      <w:r w:rsidRPr="00110D6C">
        <w:rPr>
          <w:rFonts w:cs="Times New Roman"/>
          <w:color w:val="auto"/>
          <w:szCs w:val="22"/>
          <w:lang w:val="pt-PT"/>
        </w:rPr>
        <w:t>mg a cada 1</w:t>
      </w:r>
      <w:r w:rsidR="00B910F9" w:rsidRPr="00110D6C">
        <w:rPr>
          <w:rFonts w:cs="Times New Roman"/>
          <w:color w:val="auto"/>
          <w:szCs w:val="22"/>
          <w:lang w:val="pt-PT"/>
        </w:rPr>
        <w:t>2 </w:t>
      </w:r>
      <w:r w:rsidRPr="00110D6C">
        <w:rPr>
          <w:rFonts w:cs="Times New Roman"/>
          <w:color w:val="auto"/>
          <w:szCs w:val="22"/>
          <w:lang w:val="pt-PT"/>
        </w:rPr>
        <w:t>semanas para 9</w:t>
      </w:r>
      <w:r w:rsidR="00B910F9" w:rsidRPr="00110D6C">
        <w:rPr>
          <w:rFonts w:cs="Times New Roman"/>
          <w:color w:val="auto"/>
          <w:szCs w:val="22"/>
          <w:lang w:val="pt-PT"/>
        </w:rPr>
        <w:t>0 </w:t>
      </w:r>
      <w:r w:rsidRPr="00110D6C">
        <w:rPr>
          <w:rFonts w:cs="Times New Roman"/>
          <w:color w:val="auto"/>
          <w:szCs w:val="22"/>
          <w:lang w:val="pt-PT"/>
        </w:rPr>
        <w:t xml:space="preserve">mg a cada </w:t>
      </w:r>
      <w:r w:rsidR="00B910F9" w:rsidRPr="00110D6C">
        <w:rPr>
          <w:rFonts w:cs="Times New Roman"/>
          <w:color w:val="auto"/>
          <w:szCs w:val="22"/>
          <w:lang w:val="pt-PT"/>
        </w:rPr>
        <w:t>8 </w:t>
      </w:r>
      <w:r w:rsidRPr="00110D6C">
        <w:rPr>
          <w:rFonts w:cs="Times New Roman"/>
          <w:color w:val="auto"/>
          <w:szCs w:val="22"/>
          <w:lang w:val="pt-PT"/>
        </w:rPr>
        <w:t>semanas foi associado a um aumento das concentrações séricas mínimas de ustecinumab e um aumento correspondente da eficácia.</w:t>
      </w:r>
    </w:p>
    <w:p w14:paraId="795227AC" w14:textId="77777777" w:rsidR="00C57076" w:rsidRPr="00110D6C" w:rsidRDefault="00C57076" w:rsidP="00A17623">
      <w:pPr>
        <w:widowControl/>
        <w:rPr>
          <w:rFonts w:cs="Times New Roman"/>
          <w:color w:val="auto"/>
          <w:szCs w:val="22"/>
          <w:lang w:val="pt-PT"/>
        </w:rPr>
      </w:pPr>
    </w:p>
    <w:p w14:paraId="5FC8F7D4"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Populações especiais</w:t>
      </w:r>
    </w:p>
    <w:p w14:paraId="3BD87415"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lastRenderedPageBreak/>
        <w:t>Não estão disponíveis dados farmacocinéticos em doentes com compromisso renal ou afeção hepática. Não foram realizados estudos específicos em doentes idosos.</w:t>
      </w:r>
    </w:p>
    <w:p w14:paraId="79EA0AF7" w14:textId="77777777" w:rsidR="00C57076" w:rsidRPr="00110D6C" w:rsidRDefault="00C57076" w:rsidP="00A17623">
      <w:pPr>
        <w:widowControl/>
        <w:rPr>
          <w:rFonts w:cs="Times New Roman"/>
          <w:color w:val="auto"/>
          <w:szCs w:val="22"/>
          <w:lang w:val="pt-PT"/>
        </w:rPr>
      </w:pPr>
    </w:p>
    <w:p w14:paraId="22B38E8F" w14:textId="45F6600F" w:rsidR="0077031F" w:rsidRPr="00110D6C" w:rsidRDefault="00030085" w:rsidP="00A17623">
      <w:pPr>
        <w:widowControl/>
        <w:rPr>
          <w:rFonts w:cs="Times New Roman"/>
          <w:color w:val="auto"/>
          <w:szCs w:val="22"/>
          <w:lang w:val="pt-PT"/>
        </w:rPr>
      </w:pPr>
      <w:r w:rsidRPr="00110D6C">
        <w:rPr>
          <w:rFonts w:cs="Times New Roman"/>
          <w:color w:val="auto"/>
          <w:szCs w:val="22"/>
          <w:lang w:val="pt-PT"/>
        </w:rPr>
        <w:t>A farmacocinética do ustecinumab foi comparável, de uma forma geral, entre doentes com psoríase Asiáticos e não Asiáticos.</w:t>
      </w:r>
    </w:p>
    <w:p w14:paraId="5D70BBEB" w14:textId="77777777" w:rsidR="00C57076" w:rsidRPr="00110D6C" w:rsidRDefault="00C57076" w:rsidP="00A17623">
      <w:pPr>
        <w:widowControl/>
        <w:rPr>
          <w:rFonts w:cs="Times New Roman"/>
          <w:color w:val="auto"/>
          <w:szCs w:val="22"/>
          <w:lang w:val="pt-PT"/>
        </w:rPr>
      </w:pPr>
    </w:p>
    <w:p w14:paraId="48E61A82" w14:textId="17CFF89E"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Em doentes com doença de Crohn, a variabilidade da depuração do ustecinumab foi afetada pelo peso corporal, nível sérico de albumina, sexo, e estado de anticorpos a ustecinumab, embora o peso corporal tenha sido a principal covariável que afetou o volume de distribuição. Adicionalmente na doença de Crohn, a depuração foi afetada pela Proteína C Reativa, estado de falência ao antagonista do TNF, raça (asiático </w:t>
      </w:r>
      <w:r w:rsidRPr="00110D6C">
        <w:rPr>
          <w:rFonts w:cs="Times New Roman"/>
          <w:i/>
          <w:iCs/>
          <w:color w:val="auto"/>
          <w:szCs w:val="22"/>
          <w:lang w:val="pt-PT"/>
        </w:rPr>
        <w:t>versus</w:t>
      </w:r>
      <w:r w:rsidRPr="00110D6C">
        <w:rPr>
          <w:rFonts w:cs="Times New Roman"/>
          <w:color w:val="auto"/>
          <w:szCs w:val="22"/>
          <w:lang w:val="pt-PT"/>
        </w:rPr>
        <w:t xml:space="preserve"> não-asiático). O impacto destas covariáveis situou-se dentro de</w:t>
      </w:r>
      <w:r w:rsidR="00373B63">
        <w:rPr>
          <w:rFonts w:cs="Times New Roman"/>
          <w:color w:val="auto"/>
          <w:szCs w:val="22"/>
          <w:lang w:val="pt-PT"/>
        </w:rPr>
        <w:t xml:space="preserve"> </w:t>
      </w:r>
      <w:r w:rsidRPr="00110D6C">
        <w:rPr>
          <w:rFonts w:cs="Times New Roman"/>
          <w:color w:val="auto"/>
          <w:szCs w:val="22"/>
          <w:lang w:val="pt-PT"/>
        </w:rPr>
        <w:t>±</w:t>
      </w:r>
      <w:r w:rsidR="00F639D3" w:rsidRPr="00110D6C">
        <w:rPr>
          <w:rFonts w:cs="Times New Roman"/>
          <w:color w:val="auto"/>
          <w:szCs w:val="22"/>
          <w:lang w:val="pt-PT"/>
        </w:rPr>
        <w:t> </w:t>
      </w:r>
      <w:r w:rsidRPr="00110D6C">
        <w:rPr>
          <w:rFonts w:cs="Times New Roman"/>
          <w:color w:val="auto"/>
          <w:szCs w:val="22"/>
          <w:lang w:val="pt-PT"/>
        </w:rPr>
        <w:t>20% do valor normal ou de referência do respetivo parâmetro farmacocinético, assim o ajuste da dose não é necessário para estas covariáveis. A utilização concomitante de imunomoduladores não teve um impacto significativo na distribuição do ustecinumab.</w:t>
      </w:r>
    </w:p>
    <w:p w14:paraId="3E93DBE5" w14:textId="77777777" w:rsidR="00C57076" w:rsidRPr="00110D6C" w:rsidRDefault="00C57076" w:rsidP="00A17623">
      <w:pPr>
        <w:widowControl/>
        <w:rPr>
          <w:rFonts w:cs="Times New Roman"/>
          <w:color w:val="auto"/>
          <w:szCs w:val="22"/>
          <w:lang w:val="pt-PT"/>
        </w:rPr>
      </w:pPr>
    </w:p>
    <w:p w14:paraId="4967C4E5"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Na análise farmacocinética da população, não se verificaram indícios de quaisquer efeitos do tabaco ou do álcool sobre a farmacocinética do ustecinumab.</w:t>
      </w:r>
    </w:p>
    <w:p w14:paraId="615B8B28" w14:textId="77777777" w:rsidR="00C57076" w:rsidRPr="00110D6C" w:rsidRDefault="00C57076" w:rsidP="00A17623">
      <w:pPr>
        <w:widowControl/>
        <w:rPr>
          <w:rFonts w:cs="Times New Roman"/>
          <w:color w:val="auto"/>
          <w:szCs w:val="22"/>
          <w:lang w:val="pt-PT"/>
        </w:rPr>
      </w:pPr>
    </w:p>
    <w:p w14:paraId="0FF663D0"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As concentrações séricas de ustecinumab em doentes com psoríase pediátrica com idade entre </w:t>
      </w:r>
      <w:r w:rsidR="00B910F9" w:rsidRPr="00110D6C">
        <w:rPr>
          <w:rFonts w:cs="Times New Roman"/>
          <w:color w:val="auto"/>
          <w:szCs w:val="22"/>
          <w:lang w:val="pt-PT"/>
        </w:rPr>
        <w:t>6 </w:t>
      </w:r>
      <w:r w:rsidRPr="00110D6C">
        <w:rPr>
          <w:rFonts w:cs="Times New Roman"/>
          <w:color w:val="auto"/>
          <w:szCs w:val="22"/>
          <w:lang w:val="pt-PT"/>
        </w:rPr>
        <w:t>e 1</w:t>
      </w:r>
      <w:r w:rsidR="00B910F9" w:rsidRPr="00110D6C">
        <w:rPr>
          <w:rFonts w:cs="Times New Roman"/>
          <w:color w:val="auto"/>
          <w:szCs w:val="22"/>
          <w:lang w:val="pt-PT"/>
        </w:rPr>
        <w:t>7 </w:t>
      </w:r>
      <w:r w:rsidRPr="00110D6C">
        <w:rPr>
          <w:rFonts w:cs="Times New Roman"/>
          <w:color w:val="auto"/>
          <w:szCs w:val="22"/>
          <w:lang w:val="pt-PT"/>
        </w:rPr>
        <w:t>anos, tratados com a dose recomendada com base no peso foram geralmente comparáveis às observadas na população adulta com psoríase tratada com a dose de adulto. As concentrações séricas de ustecinumab em doentes pediátricos com psoríase com idade entre os 12-1</w:t>
      </w:r>
      <w:r w:rsidR="00B910F9" w:rsidRPr="00110D6C">
        <w:rPr>
          <w:rFonts w:cs="Times New Roman"/>
          <w:color w:val="auto"/>
          <w:szCs w:val="22"/>
          <w:lang w:val="pt-PT"/>
        </w:rPr>
        <w:t>7 </w:t>
      </w:r>
      <w:r w:rsidRPr="00110D6C">
        <w:rPr>
          <w:rFonts w:cs="Times New Roman"/>
          <w:color w:val="auto"/>
          <w:szCs w:val="22"/>
          <w:lang w:val="pt-PT"/>
        </w:rPr>
        <w:t>anos (CADMUS) tratados com metade da dose recomendada com base no peso foram geralmente inferiores às observadas em adultos.</w:t>
      </w:r>
    </w:p>
    <w:p w14:paraId="7A5FD3B6" w14:textId="77777777" w:rsidR="00C57076" w:rsidRPr="00110D6C" w:rsidRDefault="00C57076" w:rsidP="00A17623">
      <w:pPr>
        <w:widowControl/>
        <w:rPr>
          <w:rFonts w:cs="Times New Roman"/>
          <w:color w:val="auto"/>
          <w:szCs w:val="22"/>
          <w:lang w:val="pt-PT"/>
        </w:rPr>
      </w:pPr>
    </w:p>
    <w:p w14:paraId="4949F350"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Regulação enzimática do CYP450</w:t>
      </w:r>
    </w:p>
    <w:p w14:paraId="35082A31"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Os efeitos da IL-1</w:t>
      </w:r>
      <w:r w:rsidR="00B910F9" w:rsidRPr="00110D6C">
        <w:rPr>
          <w:rFonts w:cs="Times New Roman"/>
          <w:color w:val="auto"/>
          <w:szCs w:val="22"/>
          <w:lang w:val="pt-PT"/>
        </w:rPr>
        <w:t>2 </w:t>
      </w:r>
      <w:r w:rsidRPr="00110D6C">
        <w:rPr>
          <w:rFonts w:cs="Times New Roman"/>
          <w:color w:val="auto"/>
          <w:szCs w:val="22"/>
          <w:lang w:val="pt-PT"/>
        </w:rPr>
        <w:t>ou IL-2</w:t>
      </w:r>
      <w:r w:rsidR="00B910F9" w:rsidRPr="00110D6C">
        <w:rPr>
          <w:rFonts w:cs="Times New Roman"/>
          <w:color w:val="auto"/>
          <w:szCs w:val="22"/>
          <w:lang w:val="pt-PT"/>
        </w:rPr>
        <w:t>3 </w:t>
      </w:r>
      <w:r w:rsidRPr="00110D6C">
        <w:rPr>
          <w:rFonts w:cs="Times New Roman"/>
          <w:color w:val="auto"/>
          <w:szCs w:val="22"/>
          <w:lang w:val="pt-PT"/>
        </w:rPr>
        <w:t>na regulação das enzimas CYP45</w:t>
      </w:r>
      <w:r w:rsidR="00B910F9" w:rsidRPr="00110D6C">
        <w:rPr>
          <w:rFonts w:cs="Times New Roman"/>
          <w:color w:val="auto"/>
          <w:szCs w:val="22"/>
          <w:lang w:val="pt-PT"/>
        </w:rPr>
        <w:t>0 </w:t>
      </w:r>
      <w:r w:rsidRPr="00110D6C">
        <w:rPr>
          <w:rFonts w:cs="Times New Roman"/>
          <w:color w:val="auto"/>
          <w:szCs w:val="22"/>
          <w:lang w:val="pt-PT"/>
        </w:rPr>
        <w:t xml:space="preserve">foram avaliados num estudo </w:t>
      </w:r>
      <w:r w:rsidRPr="00110D6C">
        <w:rPr>
          <w:rFonts w:cs="Times New Roman"/>
          <w:i/>
          <w:iCs/>
          <w:color w:val="auto"/>
          <w:szCs w:val="22"/>
          <w:lang w:val="pt-PT"/>
        </w:rPr>
        <w:t>in</w:t>
      </w:r>
      <w:r w:rsidR="009E0064" w:rsidRPr="00110D6C">
        <w:rPr>
          <w:rFonts w:cs="Times New Roman"/>
          <w:i/>
          <w:iCs/>
          <w:color w:val="auto"/>
          <w:szCs w:val="22"/>
          <w:lang w:val="pt-PT"/>
        </w:rPr>
        <w:t> </w:t>
      </w:r>
      <w:r w:rsidRPr="00110D6C">
        <w:rPr>
          <w:rFonts w:cs="Times New Roman"/>
          <w:i/>
          <w:iCs/>
          <w:color w:val="auto"/>
          <w:szCs w:val="22"/>
          <w:lang w:val="pt-PT"/>
        </w:rPr>
        <w:t xml:space="preserve">vitro </w:t>
      </w:r>
      <w:r w:rsidRPr="00110D6C">
        <w:rPr>
          <w:rFonts w:cs="Times New Roman"/>
          <w:color w:val="auto"/>
          <w:szCs w:val="22"/>
          <w:lang w:val="pt-PT"/>
        </w:rPr>
        <w:t>utilizando hepatócitos humanos, que demonstrou que a IL-1</w:t>
      </w:r>
      <w:r w:rsidR="00B910F9" w:rsidRPr="00110D6C">
        <w:rPr>
          <w:rFonts w:cs="Times New Roman"/>
          <w:color w:val="auto"/>
          <w:szCs w:val="22"/>
          <w:lang w:val="pt-PT"/>
        </w:rPr>
        <w:t>2 </w:t>
      </w:r>
      <w:r w:rsidRPr="00110D6C">
        <w:rPr>
          <w:rFonts w:cs="Times New Roman"/>
          <w:color w:val="auto"/>
          <w:szCs w:val="22"/>
          <w:lang w:val="pt-PT"/>
        </w:rPr>
        <w:t>e/ou a IL-23, em concentrações de 1</w:t>
      </w:r>
      <w:r w:rsidR="00B910F9" w:rsidRPr="00110D6C">
        <w:rPr>
          <w:rFonts w:cs="Times New Roman"/>
          <w:color w:val="auto"/>
          <w:szCs w:val="22"/>
          <w:lang w:val="pt-PT"/>
        </w:rPr>
        <w:t>0 </w:t>
      </w:r>
      <w:r w:rsidRPr="00110D6C">
        <w:rPr>
          <w:rFonts w:cs="Times New Roman"/>
          <w:color w:val="auto"/>
          <w:szCs w:val="22"/>
          <w:lang w:val="pt-PT"/>
        </w:rPr>
        <w:t>ng/ml não alteraram a atividade enzimática humana do CYP45</w:t>
      </w:r>
      <w:r w:rsidR="00B910F9" w:rsidRPr="00110D6C">
        <w:rPr>
          <w:rFonts w:cs="Times New Roman"/>
          <w:color w:val="auto"/>
          <w:szCs w:val="22"/>
          <w:lang w:val="pt-PT"/>
        </w:rPr>
        <w:t>0 </w:t>
      </w:r>
      <w:r w:rsidRPr="00110D6C">
        <w:rPr>
          <w:rFonts w:cs="Times New Roman"/>
          <w:color w:val="auto"/>
          <w:szCs w:val="22"/>
          <w:lang w:val="pt-PT"/>
        </w:rPr>
        <w:t>(CYP1A2, 2B6, 2C9, 2C19, 2D</w:t>
      </w:r>
      <w:r w:rsidR="00B910F9" w:rsidRPr="00110D6C">
        <w:rPr>
          <w:rFonts w:cs="Times New Roman"/>
          <w:color w:val="auto"/>
          <w:szCs w:val="22"/>
          <w:lang w:val="pt-PT"/>
        </w:rPr>
        <w:t>6 </w:t>
      </w:r>
      <w:r w:rsidRPr="00110D6C">
        <w:rPr>
          <w:rFonts w:cs="Times New Roman"/>
          <w:color w:val="auto"/>
          <w:szCs w:val="22"/>
          <w:lang w:val="pt-PT"/>
        </w:rPr>
        <w:t>ou 3A4;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4.5).</w:t>
      </w:r>
    </w:p>
    <w:p w14:paraId="15476362" w14:textId="77777777" w:rsidR="00DC3C01" w:rsidRPr="00110D6C" w:rsidRDefault="00DC3C01" w:rsidP="002057DA">
      <w:pPr>
        <w:widowControl/>
        <w:rPr>
          <w:rFonts w:cs="Times New Roman"/>
          <w:bCs/>
          <w:color w:val="auto"/>
          <w:szCs w:val="22"/>
          <w:lang w:val="pt-PT"/>
        </w:rPr>
      </w:pPr>
      <w:bookmarkStart w:id="40" w:name="bookmark78"/>
    </w:p>
    <w:p w14:paraId="6D9B0C54" w14:textId="77777777" w:rsidR="00CC0C9B" w:rsidRDefault="00CC0C9B" w:rsidP="00CC0C9B">
      <w:pPr>
        <w:rPr>
          <w:color w:val="000000" w:themeColor="text1"/>
          <w:szCs w:val="22"/>
        </w:rPr>
      </w:pPr>
      <w:r w:rsidRPr="003A7179">
        <w:rPr>
          <w:color w:val="000000" w:themeColor="text1"/>
          <w:szCs w:val="22"/>
        </w:rPr>
        <w:t>F</w:t>
      </w:r>
      <w:r w:rsidRPr="001C0338">
        <w:rPr>
          <w:color w:val="000000" w:themeColor="text1"/>
          <w:szCs w:val="22"/>
          <w:lang w:val="pt-PT"/>
        </w:rPr>
        <w:t>oi conduzido um estudo de interação medicamentosa, aberto, de fase</w:t>
      </w:r>
      <w:r>
        <w:rPr>
          <w:color w:val="000000" w:themeColor="text1"/>
          <w:szCs w:val="22"/>
        </w:rPr>
        <w:t> </w:t>
      </w:r>
      <w:r w:rsidRPr="001C0338">
        <w:rPr>
          <w:color w:val="000000" w:themeColor="text1"/>
          <w:szCs w:val="22"/>
          <w:lang w:val="pt-PT"/>
        </w:rPr>
        <w:t xml:space="preserve">1, o </w:t>
      </w:r>
      <w:r w:rsidRPr="003A7179">
        <w:rPr>
          <w:color w:val="000000" w:themeColor="text1"/>
          <w:szCs w:val="22"/>
        </w:rPr>
        <w:t xml:space="preserve">Estudo CNTO1275CRD1003, </w:t>
      </w:r>
      <w:r w:rsidRPr="001C0338">
        <w:rPr>
          <w:color w:val="000000" w:themeColor="text1"/>
          <w:szCs w:val="22"/>
          <w:lang w:val="pt-PT"/>
        </w:rPr>
        <w:t>para avaliar o efeito de us</w:t>
      </w:r>
      <w:r>
        <w:rPr>
          <w:color w:val="000000" w:themeColor="text1"/>
          <w:szCs w:val="22"/>
        </w:rPr>
        <w:t xml:space="preserve">tecinumab na atividade enzimática do citocromo </w:t>
      </w:r>
      <w:r w:rsidRPr="003A7179">
        <w:rPr>
          <w:color w:val="000000" w:themeColor="text1"/>
          <w:szCs w:val="22"/>
        </w:rPr>
        <w:t>P450</w:t>
      </w:r>
      <w:r>
        <w:rPr>
          <w:color w:val="000000" w:themeColor="text1"/>
          <w:szCs w:val="22"/>
        </w:rPr>
        <w:t xml:space="preserve"> após indução e dose de manutenção em doentes com doença de Crohn ativa </w:t>
      </w:r>
      <w:r w:rsidRPr="003A7179">
        <w:rPr>
          <w:color w:val="000000" w:themeColor="text1"/>
          <w:szCs w:val="22"/>
        </w:rPr>
        <w:t>(n=18). N</w:t>
      </w:r>
      <w:r w:rsidRPr="001C0338">
        <w:rPr>
          <w:color w:val="000000" w:themeColor="text1"/>
          <w:szCs w:val="22"/>
          <w:lang w:val="pt-PT"/>
        </w:rPr>
        <w:t xml:space="preserve">ão foram observadas alterações clínicas significativas na exposição de cafeína </w:t>
      </w:r>
      <w:r w:rsidRPr="003A7179">
        <w:rPr>
          <w:color w:val="000000" w:themeColor="text1"/>
          <w:szCs w:val="22"/>
        </w:rPr>
        <w:t>(</w:t>
      </w:r>
      <w:r w:rsidRPr="001C0338">
        <w:rPr>
          <w:color w:val="000000" w:themeColor="text1"/>
          <w:szCs w:val="22"/>
          <w:lang w:val="pt-PT"/>
        </w:rPr>
        <w:t xml:space="preserve">substrato </w:t>
      </w:r>
      <w:r w:rsidRPr="003A7179">
        <w:rPr>
          <w:color w:val="000000" w:themeColor="text1"/>
          <w:szCs w:val="22"/>
        </w:rPr>
        <w:t xml:space="preserve">CYP1A2), </w:t>
      </w:r>
      <w:r w:rsidRPr="001C0338">
        <w:rPr>
          <w:color w:val="000000" w:themeColor="text1"/>
          <w:szCs w:val="22"/>
          <w:lang w:val="pt-PT"/>
        </w:rPr>
        <w:t>varfarina</w:t>
      </w:r>
      <w:r w:rsidRPr="003A7179">
        <w:rPr>
          <w:color w:val="000000" w:themeColor="text1"/>
          <w:szCs w:val="22"/>
        </w:rPr>
        <w:t xml:space="preserve"> (</w:t>
      </w:r>
      <w:r w:rsidRPr="001C0338">
        <w:rPr>
          <w:color w:val="000000" w:themeColor="text1"/>
          <w:szCs w:val="22"/>
          <w:lang w:val="pt-PT"/>
        </w:rPr>
        <w:t xml:space="preserve">substrato </w:t>
      </w:r>
      <w:r w:rsidRPr="003A7179">
        <w:rPr>
          <w:color w:val="000000" w:themeColor="text1"/>
          <w:szCs w:val="22"/>
        </w:rPr>
        <w:t>CYP2C9), omeprazol (</w:t>
      </w:r>
      <w:r w:rsidRPr="001C0338">
        <w:rPr>
          <w:color w:val="000000" w:themeColor="text1"/>
          <w:szCs w:val="22"/>
          <w:lang w:val="pt-PT"/>
        </w:rPr>
        <w:t>substr</w:t>
      </w:r>
      <w:r>
        <w:rPr>
          <w:color w:val="000000" w:themeColor="text1"/>
          <w:szCs w:val="22"/>
        </w:rPr>
        <w:t xml:space="preserve">ato </w:t>
      </w:r>
      <w:r w:rsidRPr="003A7179">
        <w:rPr>
          <w:color w:val="000000" w:themeColor="text1"/>
          <w:szCs w:val="22"/>
        </w:rPr>
        <w:t>CYP2C19), dextromet</w:t>
      </w:r>
      <w:r>
        <w:rPr>
          <w:color w:val="000000" w:themeColor="text1"/>
          <w:szCs w:val="22"/>
        </w:rPr>
        <w:t xml:space="preserve">orfano </w:t>
      </w:r>
      <w:r w:rsidRPr="003A7179">
        <w:rPr>
          <w:color w:val="000000" w:themeColor="text1"/>
          <w:szCs w:val="22"/>
        </w:rPr>
        <w:t>(</w:t>
      </w:r>
      <w:r>
        <w:rPr>
          <w:color w:val="000000" w:themeColor="text1"/>
          <w:szCs w:val="22"/>
        </w:rPr>
        <w:t xml:space="preserve">substrato </w:t>
      </w:r>
      <w:r w:rsidRPr="003A7179">
        <w:rPr>
          <w:color w:val="000000" w:themeColor="text1"/>
          <w:szCs w:val="22"/>
        </w:rPr>
        <w:t>CYP2D6)</w:t>
      </w:r>
      <w:r>
        <w:rPr>
          <w:color w:val="000000" w:themeColor="text1"/>
          <w:szCs w:val="22"/>
        </w:rPr>
        <w:t xml:space="preserve"> ou </w:t>
      </w:r>
      <w:r w:rsidRPr="003A7179">
        <w:rPr>
          <w:color w:val="000000" w:themeColor="text1"/>
          <w:szCs w:val="22"/>
        </w:rPr>
        <w:t>midazolam (</w:t>
      </w:r>
      <w:r>
        <w:rPr>
          <w:color w:val="000000" w:themeColor="text1"/>
          <w:szCs w:val="22"/>
        </w:rPr>
        <w:t xml:space="preserve">substrato </w:t>
      </w:r>
      <w:r w:rsidRPr="003A7179">
        <w:rPr>
          <w:color w:val="000000" w:themeColor="text1"/>
          <w:szCs w:val="22"/>
        </w:rPr>
        <w:t>CYP3A)</w:t>
      </w:r>
      <w:r>
        <w:rPr>
          <w:color w:val="000000" w:themeColor="text1"/>
          <w:szCs w:val="22"/>
        </w:rPr>
        <w:t xml:space="preserve"> quando utilizados concomitantemente com ustecinumab à dose recomendada aprovada em doentes com doença de Crohn </w:t>
      </w:r>
      <w:r w:rsidRPr="003A7179">
        <w:rPr>
          <w:color w:val="000000" w:themeColor="text1"/>
          <w:szCs w:val="22"/>
        </w:rPr>
        <w:t>(</w:t>
      </w:r>
      <w:r>
        <w:rPr>
          <w:color w:val="000000" w:themeColor="text1"/>
          <w:szCs w:val="22"/>
        </w:rPr>
        <w:t xml:space="preserve">ver </w:t>
      </w:r>
      <w:r w:rsidRPr="003A7179">
        <w:rPr>
          <w:color w:val="000000" w:themeColor="text1"/>
          <w:szCs w:val="22"/>
        </w:rPr>
        <w:t>sec</w:t>
      </w:r>
      <w:r>
        <w:rPr>
          <w:color w:val="000000" w:themeColor="text1"/>
          <w:szCs w:val="22"/>
        </w:rPr>
        <w:t>ção </w:t>
      </w:r>
      <w:r w:rsidRPr="003A7179">
        <w:rPr>
          <w:color w:val="000000" w:themeColor="text1"/>
          <w:szCs w:val="22"/>
        </w:rPr>
        <w:t>4.5).</w:t>
      </w:r>
    </w:p>
    <w:p w14:paraId="0D4CBFF8" w14:textId="77777777" w:rsidR="00CC0C9B" w:rsidRPr="003A7179" w:rsidRDefault="00CC0C9B" w:rsidP="00CC0C9B">
      <w:pPr>
        <w:rPr>
          <w:color w:val="000000" w:themeColor="text1"/>
          <w:szCs w:val="22"/>
        </w:rPr>
      </w:pPr>
    </w:p>
    <w:p w14:paraId="6EBC6850"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5.3</w:t>
      </w:r>
      <w:r w:rsidRPr="00110D6C">
        <w:rPr>
          <w:rFonts w:cs="Times New Roman"/>
          <w:b/>
          <w:bCs/>
          <w:color w:val="auto"/>
          <w:szCs w:val="22"/>
          <w:lang w:val="pt-PT"/>
        </w:rPr>
        <w:tab/>
      </w:r>
      <w:r w:rsidR="00030085" w:rsidRPr="00110D6C">
        <w:rPr>
          <w:rFonts w:cs="Times New Roman"/>
          <w:b/>
          <w:bCs/>
          <w:color w:val="auto"/>
          <w:szCs w:val="22"/>
          <w:lang w:val="pt-PT"/>
        </w:rPr>
        <w:t>Dados de segurança pré-clínica</w:t>
      </w:r>
      <w:bookmarkEnd w:id="40"/>
    </w:p>
    <w:p w14:paraId="4CFAAA5D" w14:textId="77777777" w:rsidR="00C57076" w:rsidRPr="00110D6C" w:rsidRDefault="00C57076" w:rsidP="00A17623">
      <w:pPr>
        <w:widowControl/>
        <w:rPr>
          <w:rFonts w:cs="Times New Roman"/>
          <w:color w:val="auto"/>
          <w:szCs w:val="22"/>
          <w:lang w:val="pt-PT"/>
        </w:rPr>
      </w:pPr>
    </w:p>
    <w:p w14:paraId="4766A1CE"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Os dados não clínicos não revelam riscos especiais (ex. toxicidade de órgãos) para o ser humano, segundo estudos de toxicidade de dose repetida e toxicidade reprodutiva e de desenvolvimento, incluindo avaliações de farmacologia de segurança. Em estudos de toxicidade reprodutiva e de desenvolvimento em macacos </w:t>
      </w:r>
      <w:r w:rsidRPr="00110D6C">
        <w:rPr>
          <w:rFonts w:cs="Times New Roman"/>
          <w:i/>
          <w:iCs/>
          <w:color w:val="auto"/>
          <w:szCs w:val="22"/>
          <w:lang w:val="pt-PT"/>
        </w:rPr>
        <w:t>cynomolgus</w:t>
      </w:r>
      <w:r w:rsidRPr="00110D6C">
        <w:rPr>
          <w:rFonts w:cs="Times New Roman"/>
          <w:color w:val="auto"/>
          <w:szCs w:val="22"/>
          <w:lang w:val="pt-PT"/>
        </w:rPr>
        <w:t>, não foram observados efeitos adversos nos índices de fertilidade masculina nem anomalias congénitas ou toxicidade de desenvolvimento. Não foram observados efeitos adversos nos índices de fertilidade feminina utilizando um anticorpo análogo à IL- 12/2</w:t>
      </w:r>
      <w:r w:rsidR="00B910F9" w:rsidRPr="00110D6C">
        <w:rPr>
          <w:rFonts w:cs="Times New Roman"/>
          <w:color w:val="auto"/>
          <w:szCs w:val="22"/>
          <w:lang w:val="pt-PT"/>
        </w:rPr>
        <w:t>3 </w:t>
      </w:r>
      <w:r w:rsidRPr="00110D6C">
        <w:rPr>
          <w:rFonts w:cs="Times New Roman"/>
          <w:color w:val="auto"/>
          <w:szCs w:val="22"/>
          <w:lang w:val="pt-PT"/>
        </w:rPr>
        <w:t>em ratos.</w:t>
      </w:r>
    </w:p>
    <w:p w14:paraId="475A2484" w14:textId="77777777" w:rsidR="00C57076" w:rsidRPr="00110D6C" w:rsidRDefault="00C57076" w:rsidP="00A17623">
      <w:pPr>
        <w:widowControl/>
        <w:rPr>
          <w:rFonts w:cs="Times New Roman"/>
          <w:color w:val="auto"/>
          <w:szCs w:val="22"/>
          <w:lang w:val="pt-PT"/>
        </w:rPr>
      </w:pPr>
    </w:p>
    <w:p w14:paraId="6837BD22"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Os níveis de dose em estudos em animais eram, aproximadamente, 4</w:t>
      </w:r>
      <w:r w:rsidR="00B910F9" w:rsidRPr="00110D6C">
        <w:rPr>
          <w:rFonts w:cs="Times New Roman"/>
          <w:color w:val="auto"/>
          <w:szCs w:val="22"/>
          <w:lang w:val="pt-PT"/>
        </w:rPr>
        <w:t>5 </w:t>
      </w:r>
      <w:r w:rsidRPr="00110D6C">
        <w:rPr>
          <w:rFonts w:cs="Times New Roman"/>
          <w:color w:val="auto"/>
          <w:szCs w:val="22"/>
          <w:lang w:val="pt-PT"/>
        </w:rPr>
        <w:t>vezes superiores à maior dose equivalente a ser administrada em doentes com psoríase e deram origem a concentrações séricas máximas em macacos que eram mais de 10</w:t>
      </w:r>
      <w:r w:rsidR="00B910F9" w:rsidRPr="00110D6C">
        <w:rPr>
          <w:rFonts w:cs="Times New Roman"/>
          <w:color w:val="auto"/>
          <w:szCs w:val="22"/>
          <w:lang w:val="pt-PT"/>
        </w:rPr>
        <w:t>0 </w:t>
      </w:r>
      <w:r w:rsidRPr="00110D6C">
        <w:rPr>
          <w:rFonts w:cs="Times New Roman"/>
          <w:color w:val="auto"/>
          <w:szCs w:val="22"/>
          <w:lang w:val="pt-PT"/>
        </w:rPr>
        <w:t>vezes superiores às observadas no ser humano.</w:t>
      </w:r>
    </w:p>
    <w:p w14:paraId="3D5FB1BF" w14:textId="77777777" w:rsidR="00C57076" w:rsidRPr="00110D6C" w:rsidRDefault="00C57076" w:rsidP="00A17623">
      <w:pPr>
        <w:widowControl/>
        <w:rPr>
          <w:rFonts w:cs="Times New Roman"/>
          <w:color w:val="auto"/>
          <w:szCs w:val="22"/>
          <w:lang w:val="pt-PT"/>
        </w:rPr>
      </w:pPr>
    </w:p>
    <w:p w14:paraId="1B32B18C"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Não foram realizados estudos de carcinogenicidade com ustecinumab devido à falta de modelos apropriados para um anticorpo sem reatividade cruzada para a proteína IL-12/2</w:t>
      </w:r>
      <w:r w:rsidR="00B910F9" w:rsidRPr="00110D6C">
        <w:rPr>
          <w:rFonts w:cs="Times New Roman"/>
          <w:color w:val="auto"/>
          <w:szCs w:val="22"/>
          <w:lang w:val="pt-PT"/>
        </w:rPr>
        <w:t>3 </w:t>
      </w:r>
      <w:r w:rsidRPr="00110D6C">
        <w:rPr>
          <w:rFonts w:cs="Times New Roman"/>
          <w:color w:val="auto"/>
          <w:szCs w:val="22"/>
          <w:lang w:val="pt-PT"/>
        </w:rPr>
        <w:t>p4</w:t>
      </w:r>
      <w:r w:rsidR="00B910F9" w:rsidRPr="00110D6C">
        <w:rPr>
          <w:rFonts w:cs="Times New Roman"/>
          <w:color w:val="auto"/>
          <w:szCs w:val="22"/>
          <w:lang w:val="pt-PT"/>
        </w:rPr>
        <w:t>0 </w:t>
      </w:r>
      <w:r w:rsidRPr="00110D6C">
        <w:rPr>
          <w:rFonts w:cs="Times New Roman"/>
          <w:color w:val="auto"/>
          <w:szCs w:val="22"/>
          <w:lang w:val="pt-PT"/>
        </w:rPr>
        <w:t>de roedores.</w:t>
      </w:r>
    </w:p>
    <w:p w14:paraId="02D21471" w14:textId="77777777" w:rsidR="00C57076" w:rsidRPr="00110D6C" w:rsidRDefault="00C57076" w:rsidP="00A17623">
      <w:pPr>
        <w:widowControl/>
        <w:rPr>
          <w:rFonts w:cs="Times New Roman"/>
          <w:color w:val="auto"/>
          <w:szCs w:val="22"/>
          <w:lang w:val="pt-PT"/>
        </w:rPr>
      </w:pPr>
    </w:p>
    <w:p w14:paraId="5066D897" w14:textId="77777777" w:rsidR="00C57076" w:rsidRPr="00110D6C" w:rsidRDefault="00C57076" w:rsidP="00A17623">
      <w:pPr>
        <w:widowControl/>
        <w:rPr>
          <w:rFonts w:cs="Times New Roman"/>
          <w:color w:val="auto"/>
          <w:szCs w:val="22"/>
          <w:lang w:val="pt-PT"/>
        </w:rPr>
      </w:pPr>
    </w:p>
    <w:p w14:paraId="148FF2C6"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lastRenderedPageBreak/>
        <w:t>6.</w:t>
      </w:r>
      <w:r w:rsidRPr="00110D6C">
        <w:rPr>
          <w:rFonts w:cs="Times New Roman"/>
          <w:b/>
          <w:bCs/>
          <w:color w:val="auto"/>
          <w:szCs w:val="22"/>
          <w:lang w:val="pt-PT"/>
        </w:rPr>
        <w:tab/>
      </w:r>
      <w:r w:rsidR="00030085" w:rsidRPr="00110D6C">
        <w:rPr>
          <w:rFonts w:cs="Times New Roman"/>
          <w:b/>
          <w:bCs/>
          <w:color w:val="auto"/>
          <w:szCs w:val="22"/>
          <w:lang w:val="pt-PT"/>
        </w:rPr>
        <w:t>INFORMAÇÕES FARMACÊUTICAS</w:t>
      </w:r>
    </w:p>
    <w:p w14:paraId="71615F35" w14:textId="77777777" w:rsidR="00DC3C01" w:rsidRPr="00110D6C" w:rsidRDefault="00DC3C01" w:rsidP="002057DA">
      <w:pPr>
        <w:widowControl/>
        <w:rPr>
          <w:rFonts w:cs="Times New Roman"/>
          <w:bCs/>
          <w:color w:val="auto"/>
          <w:szCs w:val="22"/>
          <w:lang w:val="pt-PT"/>
        </w:rPr>
      </w:pPr>
      <w:bookmarkStart w:id="41" w:name="bookmark80"/>
    </w:p>
    <w:p w14:paraId="3F8E66D2"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6.1</w:t>
      </w:r>
      <w:r w:rsidRPr="00110D6C">
        <w:rPr>
          <w:rFonts w:cs="Times New Roman"/>
          <w:b/>
          <w:bCs/>
          <w:color w:val="auto"/>
          <w:szCs w:val="22"/>
          <w:lang w:val="pt-PT"/>
        </w:rPr>
        <w:tab/>
      </w:r>
      <w:r w:rsidR="00030085" w:rsidRPr="00110D6C">
        <w:rPr>
          <w:rFonts w:cs="Times New Roman"/>
          <w:b/>
          <w:bCs/>
          <w:color w:val="auto"/>
          <w:szCs w:val="22"/>
          <w:lang w:val="pt-PT"/>
        </w:rPr>
        <w:t>Lista dos excipientes</w:t>
      </w:r>
      <w:bookmarkEnd w:id="41"/>
    </w:p>
    <w:p w14:paraId="550B55C9" w14:textId="77777777" w:rsidR="00C57076" w:rsidRPr="00110D6C" w:rsidRDefault="00C57076" w:rsidP="00A17623">
      <w:pPr>
        <w:widowControl/>
        <w:rPr>
          <w:rFonts w:cs="Times New Roman"/>
          <w:color w:val="auto"/>
          <w:szCs w:val="22"/>
          <w:lang w:val="pt-PT"/>
        </w:rPr>
      </w:pPr>
    </w:p>
    <w:p w14:paraId="2EE6F582"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L-histidina</w:t>
      </w:r>
    </w:p>
    <w:p w14:paraId="628FA843" w14:textId="18140690" w:rsidR="0077031F" w:rsidRPr="00110D6C" w:rsidRDefault="00030085" w:rsidP="00A17623">
      <w:pPr>
        <w:widowControl/>
        <w:rPr>
          <w:rFonts w:cs="Times New Roman"/>
          <w:color w:val="auto"/>
          <w:szCs w:val="22"/>
          <w:lang w:val="pt-PT"/>
        </w:rPr>
      </w:pPr>
      <w:r w:rsidRPr="00110D6C">
        <w:rPr>
          <w:rFonts w:cs="Times New Roman"/>
          <w:color w:val="auto"/>
          <w:szCs w:val="22"/>
          <w:lang w:val="pt-PT"/>
        </w:rPr>
        <w:t>Polissorbato 80</w:t>
      </w:r>
      <w:r w:rsidR="002F6714">
        <w:rPr>
          <w:rFonts w:cs="Times New Roman"/>
          <w:color w:val="auto"/>
          <w:szCs w:val="22"/>
          <w:lang w:val="pt-PT"/>
        </w:rPr>
        <w:t xml:space="preserve"> (E433)</w:t>
      </w:r>
    </w:p>
    <w:p w14:paraId="3C36F7DE"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Sacarose</w:t>
      </w:r>
    </w:p>
    <w:p w14:paraId="23CFDE36"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Água para preparações injetáveis</w:t>
      </w:r>
    </w:p>
    <w:p w14:paraId="71AA279A" w14:textId="77777777" w:rsidR="00373B63" w:rsidRPr="00AD342C" w:rsidRDefault="00373B63" w:rsidP="00373B63">
      <w:pPr>
        <w:widowControl/>
        <w:rPr>
          <w:rFonts w:cs="Times New Roman"/>
          <w:color w:val="auto"/>
          <w:szCs w:val="22"/>
          <w:lang w:val="pt-PT"/>
        </w:rPr>
      </w:pPr>
      <w:bookmarkStart w:id="42" w:name="bookmark82"/>
      <w:r>
        <w:rPr>
          <w:rFonts w:cs="Times New Roman"/>
          <w:color w:val="auto"/>
          <w:szCs w:val="22"/>
          <w:lang w:val="pt-PT"/>
        </w:rPr>
        <w:t>Ácido clorídrico (para ajuste do pH)</w:t>
      </w:r>
    </w:p>
    <w:p w14:paraId="788C79EE" w14:textId="77777777" w:rsidR="00DC3C01" w:rsidRPr="00110D6C" w:rsidRDefault="00DC3C01" w:rsidP="002057DA">
      <w:pPr>
        <w:widowControl/>
        <w:rPr>
          <w:rFonts w:cs="Times New Roman"/>
          <w:bCs/>
          <w:color w:val="auto"/>
          <w:szCs w:val="22"/>
          <w:lang w:val="pt-PT"/>
        </w:rPr>
      </w:pPr>
    </w:p>
    <w:p w14:paraId="402EA821"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6.2</w:t>
      </w:r>
      <w:r w:rsidRPr="00110D6C">
        <w:rPr>
          <w:rFonts w:cs="Times New Roman"/>
          <w:b/>
          <w:bCs/>
          <w:color w:val="auto"/>
          <w:szCs w:val="22"/>
          <w:lang w:val="pt-PT"/>
        </w:rPr>
        <w:tab/>
      </w:r>
      <w:r w:rsidR="00030085" w:rsidRPr="00110D6C">
        <w:rPr>
          <w:rFonts w:cs="Times New Roman"/>
          <w:b/>
          <w:bCs/>
          <w:color w:val="auto"/>
          <w:szCs w:val="22"/>
          <w:lang w:val="pt-PT"/>
        </w:rPr>
        <w:t>Incompatibilidades</w:t>
      </w:r>
      <w:bookmarkEnd w:id="42"/>
    </w:p>
    <w:p w14:paraId="58F4DFD1" w14:textId="77777777" w:rsidR="00F639D3" w:rsidRPr="00110D6C" w:rsidRDefault="00F639D3" w:rsidP="00A17623">
      <w:pPr>
        <w:widowControl/>
        <w:rPr>
          <w:rFonts w:cs="Times New Roman"/>
          <w:color w:val="auto"/>
          <w:szCs w:val="22"/>
          <w:lang w:val="pt-PT"/>
        </w:rPr>
      </w:pPr>
    </w:p>
    <w:p w14:paraId="453B28FF"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Na ausência de estudos de compatibilidade, este medicamento não deve ser misturado com outros medicamentos.</w:t>
      </w:r>
    </w:p>
    <w:p w14:paraId="09A090D6" w14:textId="77777777" w:rsidR="00DC3C01" w:rsidRPr="00110D6C" w:rsidRDefault="00DC3C01" w:rsidP="002057DA">
      <w:pPr>
        <w:widowControl/>
        <w:rPr>
          <w:rFonts w:cs="Times New Roman"/>
          <w:bCs/>
          <w:color w:val="auto"/>
          <w:szCs w:val="22"/>
          <w:lang w:val="pt-PT"/>
        </w:rPr>
      </w:pPr>
      <w:bookmarkStart w:id="43" w:name="bookmark84"/>
    </w:p>
    <w:p w14:paraId="6FE11F2E"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6.3</w:t>
      </w:r>
      <w:r w:rsidRPr="00110D6C">
        <w:rPr>
          <w:rFonts w:cs="Times New Roman"/>
          <w:b/>
          <w:bCs/>
          <w:color w:val="auto"/>
          <w:szCs w:val="22"/>
          <w:lang w:val="pt-PT"/>
        </w:rPr>
        <w:tab/>
      </w:r>
      <w:r w:rsidR="00030085" w:rsidRPr="00110D6C">
        <w:rPr>
          <w:rFonts w:cs="Times New Roman"/>
          <w:b/>
          <w:bCs/>
          <w:color w:val="auto"/>
          <w:szCs w:val="22"/>
          <w:lang w:val="pt-PT"/>
        </w:rPr>
        <w:t>Prazo de validade</w:t>
      </w:r>
      <w:bookmarkEnd w:id="43"/>
    </w:p>
    <w:p w14:paraId="69767762" w14:textId="77777777" w:rsidR="00AE6759" w:rsidRPr="00110D6C" w:rsidRDefault="00AE6759" w:rsidP="00A17623">
      <w:pPr>
        <w:widowControl/>
        <w:rPr>
          <w:rFonts w:cs="Times New Roman"/>
          <w:color w:val="auto"/>
          <w:szCs w:val="22"/>
          <w:lang w:val="pt-PT"/>
        </w:rPr>
      </w:pPr>
    </w:p>
    <w:p w14:paraId="00CECC9D" w14:textId="602FF925" w:rsidR="0077031F" w:rsidRPr="00110D6C" w:rsidRDefault="00D05FE6" w:rsidP="00A17623">
      <w:pPr>
        <w:widowControl/>
        <w:rPr>
          <w:rFonts w:cs="Times New Roman"/>
          <w:color w:val="auto"/>
          <w:szCs w:val="22"/>
          <w:lang w:val="pt-PT"/>
        </w:rPr>
      </w:pPr>
      <w:r w:rsidRPr="00110D6C">
        <w:rPr>
          <w:rFonts w:cs="Times New Roman"/>
          <w:color w:val="auto"/>
          <w:szCs w:val="22"/>
          <w:lang w:val="pt-PT"/>
        </w:rPr>
        <w:t>F</w:t>
      </w:r>
      <w:r w:rsidR="00373B63" w:rsidRPr="00110D6C">
        <w:rPr>
          <w:rFonts w:cs="Times New Roman"/>
          <w:color w:val="auto"/>
          <w:szCs w:val="22"/>
          <w:lang w:val="pt-PT"/>
        </w:rPr>
        <w:t>ymskina</w:t>
      </w:r>
      <w:r w:rsidR="00030085" w:rsidRPr="00110D6C">
        <w:rPr>
          <w:rFonts w:cs="Times New Roman"/>
          <w:color w:val="auto"/>
          <w:szCs w:val="22"/>
          <w:lang w:val="pt-PT"/>
        </w:rPr>
        <w:t xml:space="preserve"> 4</w:t>
      </w:r>
      <w:r w:rsidR="00B910F9" w:rsidRPr="00110D6C">
        <w:rPr>
          <w:rFonts w:cs="Times New Roman"/>
          <w:color w:val="auto"/>
          <w:szCs w:val="22"/>
          <w:lang w:val="pt-PT"/>
        </w:rPr>
        <w:t>5 </w:t>
      </w:r>
      <w:r w:rsidR="00030085" w:rsidRPr="00110D6C">
        <w:rPr>
          <w:rFonts w:cs="Times New Roman"/>
          <w:color w:val="auto"/>
          <w:szCs w:val="22"/>
          <w:lang w:val="pt-PT"/>
        </w:rPr>
        <w:t>mg solução injetável em seringa pré-cheia</w:t>
      </w:r>
    </w:p>
    <w:p w14:paraId="188C46A1" w14:textId="77777777" w:rsidR="0077031F" w:rsidRPr="00110D6C" w:rsidRDefault="00B910F9" w:rsidP="00A17623">
      <w:pPr>
        <w:widowControl/>
        <w:rPr>
          <w:rFonts w:cs="Times New Roman"/>
          <w:color w:val="auto"/>
          <w:szCs w:val="22"/>
          <w:lang w:val="pt-PT"/>
        </w:rPr>
      </w:pPr>
      <w:r w:rsidRPr="00110D6C">
        <w:rPr>
          <w:rFonts w:cs="Times New Roman"/>
          <w:color w:val="auto"/>
          <w:szCs w:val="22"/>
          <w:lang w:val="pt-PT"/>
        </w:rPr>
        <w:t>3 </w:t>
      </w:r>
      <w:r w:rsidR="00030085" w:rsidRPr="00110D6C">
        <w:rPr>
          <w:rFonts w:cs="Times New Roman"/>
          <w:color w:val="auto"/>
          <w:szCs w:val="22"/>
          <w:lang w:val="pt-PT"/>
        </w:rPr>
        <w:t>anos</w:t>
      </w:r>
    </w:p>
    <w:p w14:paraId="587E4CAE" w14:textId="77777777" w:rsidR="00AE6759" w:rsidRPr="00110D6C" w:rsidRDefault="00AE6759" w:rsidP="00A17623">
      <w:pPr>
        <w:widowControl/>
        <w:rPr>
          <w:rFonts w:cs="Times New Roman"/>
          <w:color w:val="auto"/>
          <w:szCs w:val="22"/>
          <w:lang w:val="pt-PT"/>
        </w:rPr>
      </w:pPr>
    </w:p>
    <w:p w14:paraId="00508B6A" w14:textId="2B75F3D5" w:rsidR="00AE6759" w:rsidRPr="00110D6C" w:rsidRDefault="00D05FE6" w:rsidP="00AE6759">
      <w:pPr>
        <w:widowControl/>
        <w:rPr>
          <w:rFonts w:cs="Times New Roman"/>
          <w:color w:val="auto"/>
          <w:szCs w:val="22"/>
          <w:lang w:val="pt-PT"/>
        </w:rPr>
      </w:pPr>
      <w:r w:rsidRPr="00110D6C">
        <w:rPr>
          <w:rFonts w:cs="Times New Roman"/>
          <w:color w:val="auto"/>
          <w:szCs w:val="22"/>
          <w:lang w:val="pt-PT"/>
        </w:rPr>
        <w:t>F</w:t>
      </w:r>
      <w:r w:rsidR="00373B63" w:rsidRPr="00110D6C">
        <w:rPr>
          <w:rFonts w:cs="Times New Roman"/>
          <w:color w:val="auto"/>
          <w:szCs w:val="22"/>
          <w:lang w:val="pt-PT"/>
        </w:rPr>
        <w:t>ymskina</w:t>
      </w:r>
      <w:r w:rsidR="00030085" w:rsidRPr="00110D6C">
        <w:rPr>
          <w:rFonts w:cs="Times New Roman"/>
          <w:color w:val="auto"/>
          <w:szCs w:val="22"/>
          <w:lang w:val="pt-PT"/>
        </w:rPr>
        <w:t xml:space="preserve"> 9</w:t>
      </w:r>
      <w:r w:rsidR="00B910F9" w:rsidRPr="00110D6C">
        <w:rPr>
          <w:rFonts w:cs="Times New Roman"/>
          <w:color w:val="auto"/>
          <w:szCs w:val="22"/>
          <w:lang w:val="pt-PT"/>
        </w:rPr>
        <w:t>0 </w:t>
      </w:r>
      <w:r w:rsidR="00030085" w:rsidRPr="00110D6C">
        <w:rPr>
          <w:rFonts w:cs="Times New Roman"/>
          <w:color w:val="auto"/>
          <w:szCs w:val="22"/>
          <w:lang w:val="pt-PT"/>
        </w:rPr>
        <w:t>mg solução injetável em seringa pré-cheia</w:t>
      </w:r>
    </w:p>
    <w:p w14:paraId="2D01155C" w14:textId="77777777" w:rsidR="0077031F" w:rsidRPr="00110D6C" w:rsidRDefault="00B910F9" w:rsidP="00AE6759">
      <w:pPr>
        <w:widowControl/>
        <w:rPr>
          <w:rFonts w:cs="Times New Roman"/>
          <w:color w:val="auto"/>
          <w:szCs w:val="22"/>
          <w:lang w:val="pt-PT"/>
        </w:rPr>
      </w:pPr>
      <w:r w:rsidRPr="00110D6C">
        <w:rPr>
          <w:rFonts w:cs="Times New Roman"/>
          <w:color w:val="auto"/>
          <w:szCs w:val="22"/>
          <w:lang w:val="pt-PT"/>
        </w:rPr>
        <w:t>3 </w:t>
      </w:r>
      <w:r w:rsidR="00030085" w:rsidRPr="00110D6C">
        <w:rPr>
          <w:rFonts w:cs="Times New Roman"/>
          <w:color w:val="auto"/>
          <w:szCs w:val="22"/>
          <w:lang w:val="pt-PT"/>
        </w:rPr>
        <w:t>anos</w:t>
      </w:r>
    </w:p>
    <w:p w14:paraId="1D9D3893" w14:textId="77777777" w:rsidR="00AE6759" w:rsidRPr="00110D6C" w:rsidRDefault="00AE6759" w:rsidP="00A17623">
      <w:pPr>
        <w:widowControl/>
        <w:rPr>
          <w:rFonts w:cs="Times New Roman"/>
          <w:color w:val="auto"/>
          <w:szCs w:val="22"/>
          <w:lang w:val="pt-PT"/>
        </w:rPr>
      </w:pPr>
    </w:p>
    <w:p w14:paraId="33903293" w14:textId="10396D7B" w:rsidR="0077031F" w:rsidRPr="00110D6C" w:rsidRDefault="00030085" w:rsidP="00A17623">
      <w:pPr>
        <w:widowControl/>
        <w:rPr>
          <w:rFonts w:cs="Times New Roman"/>
          <w:color w:val="auto"/>
          <w:szCs w:val="22"/>
          <w:lang w:val="pt-PT"/>
        </w:rPr>
      </w:pPr>
      <w:r w:rsidRPr="00110D6C">
        <w:rPr>
          <w:rFonts w:cs="Times New Roman"/>
          <w:color w:val="auto"/>
          <w:szCs w:val="22"/>
          <w:lang w:val="pt-PT"/>
        </w:rPr>
        <w:t>As seringas individuais pré-cheias podem ser conservadas à temperatura ambiente até 30</w:t>
      </w:r>
      <w:r w:rsidR="00373B63">
        <w:rPr>
          <w:rFonts w:cs="Times New Roman"/>
          <w:color w:val="auto"/>
          <w:szCs w:val="22"/>
          <w:lang w:val="pt-PT"/>
        </w:rPr>
        <w:t> </w:t>
      </w:r>
      <w:r w:rsidRPr="00110D6C">
        <w:rPr>
          <w:rFonts w:cs="Times New Roman"/>
          <w:color w:val="auto"/>
          <w:szCs w:val="22"/>
          <w:lang w:val="pt-PT"/>
        </w:rPr>
        <w:t>ºC, por um período único máximo de até 3</w:t>
      </w:r>
      <w:r w:rsidR="00B910F9" w:rsidRPr="00110D6C">
        <w:rPr>
          <w:rFonts w:cs="Times New Roman"/>
          <w:color w:val="auto"/>
          <w:szCs w:val="22"/>
          <w:lang w:val="pt-PT"/>
        </w:rPr>
        <w:t>0 </w:t>
      </w:r>
      <w:r w:rsidRPr="00110D6C">
        <w:rPr>
          <w:rFonts w:cs="Times New Roman"/>
          <w:color w:val="auto"/>
          <w:szCs w:val="22"/>
          <w:lang w:val="pt-PT"/>
        </w:rPr>
        <w:t>dias na embalagem original, para proteger da luz. É necessário registar a data quando a seringa pré-cheia é removida pela primeira vez do frigorífico e a data de eliminação no espaço para o efeito, presente na embalagem. A data de eliminação não deve exceder o prazo de validade original impresso na embalagem. Quando uma seringa é conservada à temperatura ambiente (até 30</w:t>
      </w:r>
      <w:r w:rsidR="00373B63">
        <w:rPr>
          <w:rFonts w:cs="Times New Roman"/>
          <w:color w:val="auto"/>
          <w:szCs w:val="22"/>
          <w:lang w:val="pt-PT"/>
        </w:rPr>
        <w:t> </w:t>
      </w:r>
      <w:r w:rsidRPr="00110D6C">
        <w:rPr>
          <w:rFonts w:cs="Times New Roman"/>
          <w:color w:val="auto"/>
          <w:szCs w:val="22"/>
          <w:lang w:val="pt-PT"/>
        </w:rPr>
        <w:t>°C), esta não deve voltar de novo ao frigorífico. Eliminar a seringa se esta não foi utilizada dentro de 3</w:t>
      </w:r>
      <w:r w:rsidR="00B910F9" w:rsidRPr="00110D6C">
        <w:rPr>
          <w:rFonts w:cs="Times New Roman"/>
          <w:color w:val="auto"/>
          <w:szCs w:val="22"/>
          <w:lang w:val="pt-PT"/>
        </w:rPr>
        <w:t>0 </w:t>
      </w:r>
      <w:r w:rsidRPr="00110D6C">
        <w:rPr>
          <w:rFonts w:cs="Times New Roman"/>
          <w:color w:val="auto"/>
          <w:szCs w:val="22"/>
          <w:lang w:val="pt-PT"/>
        </w:rPr>
        <w:t>dias, quando conservada à temperatura ambiente ou dentro do prazo de validade original, aquele que ocorrer mais cedo.</w:t>
      </w:r>
    </w:p>
    <w:p w14:paraId="3DF0FCB5" w14:textId="77777777" w:rsidR="00DC3C01" w:rsidRPr="00110D6C" w:rsidRDefault="00DC3C01" w:rsidP="002057DA">
      <w:pPr>
        <w:widowControl/>
        <w:rPr>
          <w:rFonts w:cs="Times New Roman"/>
          <w:bCs/>
          <w:color w:val="auto"/>
          <w:szCs w:val="22"/>
          <w:lang w:val="pt-PT"/>
        </w:rPr>
      </w:pPr>
      <w:bookmarkStart w:id="44" w:name="bookmark86"/>
    </w:p>
    <w:p w14:paraId="611B7448"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6.4</w:t>
      </w:r>
      <w:r w:rsidRPr="00110D6C">
        <w:rPr>
          <w:rFonts w:cs="Times New Roman"/>
          <w:b/>
          <w:bCs/>
          <w:color w:val="auto"/>
          <w:szCs w:val="22"/>
          <w:lang w:val="pt-PT"/>
        </w:rPr>
        <w:tab/>
      </w:r>
      <w:r w:rsidR="00030085" w:rsidRPr="00110D6C">
        <w:rPr>
          <w:rFonts w:cs="Times New Roman"/>
          <w:b/>
          <w:bCs/>
          <w:color w:val="auto"/>
          <w:szCs w:val="22"/>
          <w:lang w:val="pt-PT"/>
        </w:rPr>
        <w:t>Precauções especiais de conservação</w:t>
      </w:r>
      <w:bookmarkEnd w:id="44"/>
    </w:p>
    <w:p w14:paraId="7548E7C3" w14:textId="77777777" w:rsidR="00AE6759" w:rsidRPr="00110D6C" w:rsidRDefault="00AE6759" w:rsidP="00A17623">
      <w:pPr>
        <w:widowControl/>
        <w:rPr>
          <w:rFonts w:cs="Times New Roman"/>
          <w:color w:val="auto"/>
          <w:szCs w:val="22"/>
          <w:lang w:val="pt-PT"/>
        </w:rPr>
      </w:pPr>
    </w:p>
    <w:p w14:paraId="08F01C7A" w14:textId="671801BA" w:rsidR="0077031F" w:rsidRPr="00110D6C" w:rsidRDefault="00030085" w:rsidP="00A17623">
      <w:pPr>
        <w:widowControl/>
        <w:rPr>
          <w:rFonts w:cs="Times New Roman"/>
          <w:color w:val="auto"/>
          <w:szCs w:val="22"/>
          <w:lang w:val="pt-PT"/>
        </w:rPr>
      </w:pPr>
      <w:r w:rsidRPr="00110D6C">
        <w:rPr>
          <w:rFonts w:cs="Times New Roman"/>
          <w:color w:val="auto"/>
          <w:szCs w:val="22"/>
          <w:lang w:val="pt-PT"/>
        </w:rPr>
        <w:t>Conservar no frigorífico (2</w:t>
      </w:r>
      <w:r w:rsidR="00373B63">
        <w:rPr>
          <w:rFonts w:cs="Times New Roman"/>
          <w:color w:val="auto"/>
          <w:szCs w:val="22"/>
          <w:lang w:val="pt-PT"/>
        </w:rPr>
        <w:t> </w:t>
      </w:r>
      <w:r w:rsidRPr="00110D6C">
        <w:rPr>
          <w:rFonts w:cs="Times New Roman"/>
          <w:color w:val="auto"/>
          <w:szCs w:val="22"/>
          <w:lang w:val="pt-PT"/>
        </w:rPr>
        <w:t>°C-8</w:t>
      </w:r>
      <w:r w:rsidR="00373B63">
        <w:rPr>
          <w:rFonts w:cs="Times New Roman"/>
          <w:color w:val="auto"/>
          <w:szCs w:val="22"/>
          <w:lang w:val="pt-PT"/>
        </w:rPr>
        <w:t> </w:t>
      </w:r>
      <w:r w:rsidRPr="00110D6C">
        <w:rPr>
          <w:rFonts w:cs="Times New Roman"/>
          <w:color w:val="auto"/>
          <w:szCs w:val="22"/>
          <w:lang w:val="pt-PT"/>
        </w:rPr>
        <w:t>°C). Não congelar.</w:t>
      </w:r>
    </w:p>
    <w:p w14:paraId="7E8138E0" w14:textId="1F072420" w:rsidR="0077031F" w:rsidRPr="00110D6C" w:rsidRDefault="00030085" w:rsidP="00A17623">
      <w:pPr>
        <w:widowControl/>
        <w:rPr>
          <w:rFonts w:cs="Times New Roman"/>
          <w:color w:val="auto"/>
          <w:szCs w:val="22"/>
          <w:lang w:val="pt-PT"/>
        </w:rPr>
      </w:pPr>
      <w:r w:rsidRPr="00110D6C">
        <w:rPr>
          <w:rFonts w:cs="Times New Roman"/>
          <w:color w:val="auto"/>
          <w:szCs w:val="22"/>
          <w:lang w:val="pt-PT"/>
        </w:rPr>
        <w:t>Manter a seringa pré-cheia dentro da embalagem exterior para proteger da luz.</w:t>
      </w:r>
    </w:p>
    <w:p w14:paraId="3E6FF14C" w14:textId="6F1D4F6F" w:rsidR="0077031F" w:rsidRPr="00110D6C" w:rsidRDefault="00030085" w:rsidP="00A17623">
      <w:pPr>
        <w:widowControl/>
        <w:rPr>
          <w:rFonts w:cs="Times New Roman"/>
          <w:color w:val="auto"/>
          <w:szCs w:val="22"/>
          <w:lang w:val="pt-PT"/>
        </w:rPr>
      </w:pPr>
      <w:r w:rsidRPr="00110D6C">
        <w:rPr>
          <w:rFonts w:cs="Times New Roman"/>
          <w:color w:val="auto"/>
          <w:szCs w:val="22"/>
          <w:lang w:val="pt-PT"/>
        </w:rPr>
        <w:t>Se necessário, as seringas individuais pré-cheias podem ser conservadas à temperatura ambiente até 30</w:t>
      </w:r>
      <w:r w:rsidR="00373B63">
        <w:rPr>
          <w:rFonts w:cs="Times New Roman"/>
          <w:color w:val="auto"/>
          <w:szCs w:val="22"/>
          <w:lang w:val="pt-PT"/>
        </w:rPr>
        <w:t> </w:t>
      </w:r>
      <w:r w:rsidRPr="00110D6C">
        <w:rPr>
          <w:rFonts w:cs="Times New Roman"/>
          <w:color w:val="auto"/>
          <w:szCs w:val="22"/>
          <w:lang w:val="pt-PT"/>
        </w:rPr>
        <w:t>°C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6.3).</w:t>
      </w:r>
    </w:p>
    <w:p w14:paraId="6788B744" w14:textId="77777777" w:rsidR="00DC3C01" w:rsidRPr="00110D6C" w:rsidRDefault="00DC3C01" w:rsidP="002057DA">
      <w:pPr>
        <w:widowControl/>
        <w:rPr>
          <w:rFonts w:cs="Times New Roman"/>
          <w:bCs/>
          <w:color w:val="auto"/>
          <w:szCs w:val="22"/>
          <w:lang w:val="pt-PT"/>
        </w:rPr>
      </w:pPr>
      <w:bookmarkStart w:id="45" w:name="bookmark88"/>
    </w:p>
    <w:p w14:paraId="02EB9090"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6.5</w:t>
      </w:r>
      <w:r w:rsidRPr="00110D6C">
        <w:rPr>
          <w:rFonts w:cs="Times New Roman"/>
          <w:b/>
          <w:bCs/>
          <w:color w:val="auto"/>
          <w:szCs w:val="22"/>
          <w:lang w:val="pt-PT"/>
        </w:rPr>
        <w:tab/>
      </w:r>
      <w:r w:rsidR="00030085" w:rsidRPr="00110D6C">
        <w:rPr>
          <w:rFonts w:cs="Times New Roman"/>
          <w:b/>
          <w:bCs/>
          <w:color w:val="auto"/>
          <w:szCs w:val="22"/>
          <w:lang w:val="pt-PT"/>
        </w:rPr>
        <w:t>Natureza e conteúdo do recipiente</w:t>
      </w:r>
      <w:bookmarkEnd w:id="45"/>
    </w:p>
    <w:p w14:paraId="160565B8" w14:textId="77777777" w:rsidR="00AE6759" w:rsidRPr="00110D6C" w:rsidRDefault="00AE6759" w:rsidP="00A17623">
      <w:pPr>
        <w:widowControl/>
        <w:rPr>
          <w:rFonts w:cs="Times New Roman"/>
          <w:color w:val="auto"/>
          <w:szCs w:val="22"/>
          <w:lang w:val="pt-PT"/>
        </w:rPr>
      </w:pPr>
    </w:p>
    <w:p w14:paraId="681C125E" w14:textId="33DDC707" w:rsidR="0077031F" w:rsidRPr="00110D6C" w:rsidRDefault="00D05FE6" w:rsidP="00A17623">
      <w:pPr>
        <w:widowControl/>
        <w:rPr>
          <w:rFonts w:cs="Times New Roman"/>
          <w:color w:val="auto"/>
          <w:szCs w:val="22"/>
          <w:lang w:val="pt-PT"/>
        </w:rPr>
      </w:pPr>
      <w:r w:rsidRPr="00110D6C">
        <w:rPr>
          <w:rFonts w:cs="Times New Roman"/>
          <w:color w:val="auto"/>
          <w:szCs w:val="22"/>
          <w:u w:val="single"/>
          <w:lang w:val="pt-PT"/>
        </w:rPr>
        <w:t>F</w:t>
      </w:r>
      <w:r w:rsidR="00373B63" w:rsidRPr="00110D6C">
        <w:rPr>
          <w:rFonts w:cs="Times New Roman"/>
          <w:color w:val="auto"/>
          <w:szCs w:val="22"/>
          <w:u w:val="single"/>
          <w:lang w:val="pt-PT"/>
        </w:rPr>
        <w:t>ymskina</w:t>
      </w:r>
      <w:r w:rsidR="00030085" w:rsidRPr="00110D6C">
        <w:rPr>
          <w:rFonts w:cs="Times New Roman"/>
          <w:color w:val="auto"/>
          <w:szCs w:val="22"/>
          <w:u w:val="single"/>
          <w:lang w:val="pt-PT"/>
        </w:rPr>
        <w:t xml:space="preserve"> 4</w:t>
      </w:r>
      <w:r w:rsidR="00B910F9" w:rsidRPr="00110D6C">
        <w:rPr>
          <w:rFonts w:cs="Times New Roman"/>
          <w:color w:val="auto"/>
          <w:szCs w:val="22"/>
          <w:u w:val="single"/>
          <w:lang w:val="pt-PT"/>
        </w:rPr>
        <w:t>5 </w:t>
      </w:r>
      <w:r w:rsidR="00030085" w:rsidRPr="00110D6C">
        <w:rPr>
          <w:rFonts w:cs="Times New Roman"/>
          <w:color w:val="auto"/>
          <w:szCs w:val="22"/>
          <w:u w:val="single"/>
          <w:lang w:val="pt-PT"/>
        </w:rPr>
        <w:t>mg solução injetável em seringa pré-cheia</w:t>
      </w:r>
    </w:p>
    <w:p w14:paraId="17F987C7" w14:textId="5E2533D1" w:rsidR="0077031F" w:rsidRPr="00110D6C" w:rsidRDefault="00030085" w:rsidP="00A17623">
      <w:pPr>
        <w:widowControl/>
        <w:rPr>
          <w:rFonts w:cs="Times New Roman"/>
          <w:color w:val="auto"/>
          <w:szCs w:val="22"/>
          <w:lang w:val="pt-PT"/>
        </w:rPr>
      </w:pPr>
      <w:r w:rsidRPr="00110D6C">
        <w:rPr>
          <w:rFonts w:cs="Times New Roman"/>
          <w:color w:val="auto"/>
          <w:szCs w:val="22"/>
          <w:lang w:val="pt-PT"/>
        </w:rPr>
        <w:t>0,</w:t>
      </w:r>
      <w:r w:rsidR="00B910F9" w:rsidRPr="00110D6C">
        <w:rPr>
          <w:rFonts w:cs="Times New Roman"/>
          <w:color w:val="auto"/>
          <w:szCs w:val="22"/>
          <w:lang w:val="pt-PT"/>
        </w:rPr>
        <w:t>5 </w:t>
      </w:r>
      <w:r w:rsidRPr="00110D6C">
        <w:rPr>
          <w:rFonts w:cs="Times New Roman"/>
          <w:color w:val="auto"/>
          <w:szCs w:val="22"/>
          <w:lang w:val="pt-PT"/>
        </w:rPr>
        <w:t xml:space="preserve">ml de solução numa seringa de </w:t>
      </w:r>
      <w:r w:rsidR="00B910F9" w:rsidRPr="00110D6C">
        <w:rPr>
          <w:rFonts w:cs="Times New Roman"/>
          <w:color w:val="auto"/>
          <w:szCs w:val="22"/>
          <w:lang w:val="pt-PT"/>
        </w:rPr>
        <w:t>1 </w:t>
      </w:r>
      <w:r w:rsidRPr="00110D6C">
        <w:rPr>
          <w:rFonts w:cs="Times New Roman"/>
          <w:color w:val="auto"/>
          <w:szCs w:val="22"/>
          <w:lang w:val="pt-PT"/>
        </w:rPr>
        <w:t xml:space="preserve">ml, de vidro tipo I, com uma agulha fixa de aço inoxidável, uma proteção da agulha </w:t>
      </w:r>
      <w:r w:rsidR="00373B63">
        <w:rPr>
          <w:rFonts w:cs="Times New Roman"/>
          <w:color w:val="auto"/>
          <w:szCs w:val="22"/>
          <w:lang w:val="pt-PT"/>
        </w:rPr>
        <w:t>sem látex e um batente do êmbolo de</w:t>
      </w:r>
      <w:r w:rsidR="00373B63" w:rsidRPr="00110D6C">
        <w:rPr>
          <w:rFonts w:cs="Times New Roman"/>
          <w:color w:val="auto"/>
          <w:szCs w:val="22"/>
          <w:lang w:val="pt-PT"/>
        </w:rPr>
        <w:t xml:space="preserve"> </w:t>
      </w:r>
      <w:r w:rsidRPr="00110D6C">
        <w:rPr>
          <w:rFonts w:cs="Times New Roman"/>
          <w:color w:val="auto"/>
          <w:szCs w:val="22"/>
          <w:lang w:val="pt-PT"/>
        </w:rPr>
        <w:t xml:space="preserve">borracha </w:t>
      </w:r>
      <w:r w:rsidR="00373B63">
        <w:rPr>
          <w:rFonts w:cs="Times New Roman"/>
          <w:color w:val="auto"/>
          <w:szCs w:val="22"/>
          <w:lang w:val="pt-PT"/>
        </w:rPr>
        <w:t>bromobutílica</w:t>
      </w:r>
      <w:r w:rsidRPr="00110D6C">
        <w:rPr>
          <w:rFonts w:cs="Times New Roman"/>
          <w:color w:val="auto"/>
          <w:szCs w:val="22"/>
          <w:lang w:val="pt-PT"/>
        </w:rPr>
        <w:t>. A seringa está equipada com um sistema de segurança passivo.</w:t>
      </w:r>
    </w:p>
    <w:p w14:paraId="5ADA98C9" w14:textId="77777777" w:rsidR="00AE6759" w:rsidRPr="00110D6C" w:rsidRDefault="00AE6759" w:rsidP="00A17623">
      <w:pPr>
        <w:widowControl/>
        <w:rPr>
          <w:rFonts w:cs="Times New Roman"/>
          <w:color w:val="auto"/>
          <w:szCs w:val="22"/>
          <w:lang w:val="pt-PT"/>
        </w:rPr>
      </w:pPr>
    </w:p>
    <w:p w14:paraId="0F243967" w14:textId="5441B59C" w:rsidR="0077031F" w:rsidRPr="00110D6C" w:rsidRDefault="00D05FE6" w:rsidP="00A17623">
      <w:pPr>
        <w:widowControl/>
        <w:rPr>
          <w:rFonts w:cs="Times New Roman"/>
          <w:color w:val="auto"/>
          <w:szCs w:val="22"/>
          <w:lang w:val="pt-PT"/>
        </w:rPr>
      </w:pPr>
      <w:r w:rsidRPr="00110D6C">
        <w:rPr>
          <w:rFonts w:cs="Times New Roman"/>
          <w:color w:val="auto"/>
          <w:szCs w:val="22"/>
          <w:u w:val="single"/>
          <w:lang w:val="pt-PT"/>
        </w:rPr>
        <w:t>F</w:t>
      </w:r>
      <w:r w:rsidR="00373B63" w:rsidRPr="00110D6C">
        <w:rPr>
          <w:rFonts w:cs="Times New Roman"/>
          <w:color w:val="auto"/>
          <w:szCs w:val="22"/>
          <w:u w:val="single"/>
          <w:lang w:val="pt-PT"/>
        </w:rPr>
        <w:t>ymskina</w:t>
      </w:r>
      <w:r w:rsidR="00030085" w:rsidRPr="00110D6C">
        <w:rPr>
          <w:rFonts w:cs="Times New Roman"/>
          <w:color w:val="auto"/>
          <w:szCs w:val="22"/>
          <w:u w:val="single"/>
          <w:lang w:val="pt-PT"/>
        </w:rPr>
        <w:t xml:space="preserve"> 9</w:t>
      </w:r>
      <w:r w:rsidR="00B910F9" w:rsidRPr="00110D6C">
        <w:rPr>
          <w:rFonts w:cs="Times New Roman"/>
          <w:color w:val="auto"/>
          <w:szCs w:val="22"/>
          <w:u w:val="single"/>
          <w:lang w:val="pt-PT"/>
        </w:rPr>
        <w:t>0 </w:t>
      </w:r>
      <w:r w:rsidR="00030085" w:rsidRPr="00110D6C">
        <w:rPr>
          <w:rFonts w:cs="Times New Roman"/>
          <w:color w:val="auto"/>
          <w:szCs w:val="22"/>
          <w:u w:val="single"/>
          <w:lang w:val="pt-PT"/>
        </w:rPr>
        <w:t>mg solução injetável em seringa pré-cheia</w:t>
      </w:r>
    </w:p>
    <w:p w14:paraId="7BBAEAD9" w14:textId="1022BCCC" w:rsidR="0077031F" w:rsidRPr="00110D6C" w:rsidRDefault="00B910F9" w:rsidP="00A17623">
      <w:pPr>
        <w:widowControl/>
        <w:rPr>
          <w:rFonts w:cs="Times New Roman"/>
          <w:color w:val="auto"/>
          <w:szCs w:val="22"/>
          <w:lang w:val="pt-PT"/>
        </w:rPr>
      </w:pPr>
      <w:r w:rsidRPr="00110D6C">
        <w:rPr>
          <w:rFonts w:cs="Times New Roman"/>
          <w:color w:val="auto"/>
          <w:szCs w:val="22"/>
          <w:lang w:val="pt-PT"/>
        </w:rPr>
        <w:t>1 </w:t>
      </w:r>
      <w:r w:rsidR="00030085" w:rsidRPr="00110D6C">
        <w:rPr>
          <w:rFonts w:cs="Times New Roman"/>
          <w:color w:val="auto"/>
          <w:szCs w:val="22"/>
          <w:lang w:val="pt-PT"/>
        </w:rPr>
        <w:t xml:space="preserve">ml de solução numa seringa de </w:t>
      </w:r>
      <w:r w:rsidRPr="00110D6C">
        <w:rPr>
          <w:rFonts w:cs="Times New Roman"/>
          <w:color w:val="auto"/>
          <w:szCs w:val="22"/>
          <w:lang w:val="pt-PT"/>
        </w:rPr>
        <w:t>1 </w:t>
      </w:r>
      <w:r w:rsidR="00030085" w:rsidRPr="00110D6C">
        <w:rPr>
          <w:rFonts w:cs="Times New Roman"/>
          <w:color w:val="auto"/>
          <w:szCs w:val="22"/>
          <w:lang w:val="pt-PT"/>
        </w:rPr>
        <w:t xml:space="preserve">ml, de vidro tipo I, com uma agulha fixa de aço inoxidável, uma proteção da agulha </w:t>
      </w:r>
      <w:r w:rsidR="00373B63">
        <w:rPr>
          <w:rFonts w:cs="Times New Roman"/>
          <w:color w:val="auto"/>
          <w:szCs w:val="22"/>
          <w:lang w:val="pt-PT"/>
        </w:rPr>
        <w:t>sem látex e um batente do êmbolo de</w:t>
      </w:r>
      <w:r w:rsidR="00373B63" w:rsidRPr="00110D6C">
        <w:rPr>
          <w:rFonts w:cs="Times New Roman"/>
          <w:color w:val="auto"/>
          <w:szCs w:val="22"/>
          <w:lang w:val="pt-PT"/>
        </w:rPr>
        <w:t xml:space="preserve"> </w:t>
      </w:r>
      <w:r w:rsidR="00030085" w:rsidRPr="00110D6C">
        <w:rPr>
          <w:rFonts w:cs="Times New Roman"/>
          <w:color w:val="auto"/>
          <w:szCs w:val="22"/>
          <w:lang w:val="pt-PT"/>
        </w:rPr>
        <w:t xml:space="preserve">borracha </w:t>
      </w:r>
      <w:r w:rsidR="00373B63">
        <w:rPr>
          <w:rFonts w:cs="Times New Roman"/>
          <w:color w:val="auto"/>
          <w:szCs w:val="22"/>
          <w:lang w:val="pt-PT"/>
        </w:rPr>
        <w:t>bromobutílica</w:t>
      </w:r>
      <w:r w:rsidR="00030085" w:rsidRPr="00110D6C">
        <w:rPr>
          <w:rFonts w:cs="Times New Roman"/>
          <w:color w:val="auto"/>
          <w:szCs w:val="22"/>
          <w:lang w:val="pt-PT"/>
        </w:rPr>
        <w:t>. A seringa está equipada com um sistema de segurança passivo.</w:t>
      </w:r>
    </w:p>
    <w:p w14:paraId="4CD07D25" w14:textId="77777777" w:rsidR="00AE6759" w:rsidRPr="00110D6C" w:rsidRDefault="00AE6759" w:rsidP="00A17623">
      <w:pPr>
        <w:widowControl/>
        <w:rPr>
          <w:rFonts w:cs="Times New Roman"/>
          <w:color w:val="auto"/>
          <w:szCs w:val="22"/>
          <w:lang w:val="pt-PT"/>
        </w:rPr>
      </w:pPr>
    </w:p>
    <w:p w14:paraId="755DC716" w14:textId="0AC468E1" w:rsidR="0077031F" w:rsidRPr="00110D6C" w:rsidRDefault="00D05FE6" w:rsidP="00A17623">
      <w:pPr>
        <w:widowControl/>
        <w:rPr>
          <w:rFonts w:cs="Times New Roman"/>
          <w:color w:val="auto"/>
          <w:szCs w:val="22"/>
          <w:lang w:val="pt-PT"/>
        </w:rPr>
      </w:pPr>
      <w:r w:rsidRPr="00110D6C">
        <w:rPr>
          <w:rFonts w:cs="Times New Roman"/>
          <w:color w:val="auto"/>
          <w:szCs w:val="22"/>
          <w:lang w:val="pt-PT"/>
        </w:rPr>
        <w:t>F</w:t>
      </w:r>
      <w:r w:rsidR="00373B63" w:rsidRPr="00110D6C">
        <w:rPr>
          <w:rFonts w:cs="Times New Roman"/>
          <w:color w:val="auto"/>
          <w:szCs w:val="22"/>
          <w:lang w:val="pt-PT"/>
        </w:rPr>
        <w:t>ymskina</w:t>
      </w:r>
      <w:r w:rsidR="00030085" w:rsidRPr="00110D6C">
        <w:rPr>
          <w:rFonts w:cs="Times New Roman"/>
          <w:color w:val="auto"/>
          <w:szCs w:val="22"/>
          <w:lang w:val="pt-PT"/>
        </w:rPr>
        <w:t xml:space="preserve"> está disponível numa embalagem com </w:t>
      </w:r>
      <w:r w:rsidR="00B910F9" w:rsidRPr="00110D6C">
        <w:rPr>
          <w:rFonts w:cs="Times New Roman"/>
          <w:color w:val="auto"/>
          <w:szCs w:val="22"/>
          <w:lang w:val="pt-PT"/>
        </w:rPr>
        <w:t>1 </w:t>
      </w:r>
      <w:r w:rsidR="00030085" w:rsidRPr="00110D6C">
        <w:rPr>
          <w:rFonts w:cs="Times New Roman"/>
          <w:color w:val="auto"/>
          <w:szCs w:val="22"/>
          <w:lang w:val="pt-PT"/>
        </w:rPr>
        <w:t>seringa pré-cheia.</w:t>
      </w:r>
    </w:p>
    <w:p w14:paraId="29AB7E3F" w14:textId="77777777" w:rsidR="00DC3C01" w:rsidRPr="00110D6C" w:rsidRDefault="00DC3C01" w:rsidP="002057DA">
      <w:pPr>
        <w:widowControl/>
        <w:rPr>
          <w:rFonts w:cs="Times New Roman"/>
          <w:bCs/>
          <w:color w:val="auto"/>
          <w:szCs w:val="22"/>
          <w:lang w:val="pt-PT"/>
        </w:rPr>
      </w:pPr>
      <w:bookmarkStart w:id="46" w:name="bookmark90"/>
    </w:p>
    <w:p w14:paraId="3316F60D" w14:textId="77777777" w:rsidR="0077031F" w:rsidRPr="00110D6C" w:rsidRDefault="00DC3C01" w:rsidP="005B7CFE">
      <w:pPr>
        <w:widowControl/>
        <w:ind w:left="567" w:hanging="567"/>
        <w:rPr>
          <w:rFonts w:cs="Times New Roman"/>
          <w:color w:val="auto"/>
          <w:szCs w:val="22"/>
          <w:lang w:val="pt-PT"/>
        </w:rPr>
      </w:pPr>
      <w:r w:rsidRPr="00110D6C">
        <w:rPr>
          <w:rFonts w:cs="Times New Roman"/>
          <w:b/>
          <w:bCs/>
          <w:color w:val="auto"/>
          <w:szCs w:val="22"/>
          <w:lang w:val="pt-PT"/>
        </w:rPr>
        <w:t>6.6</w:t>
      </w:r>
      <w:r w:rsidRPr="00110D6C">
        <w:rPr>
          <w:rFonts w:cs="Times New Roman"/>
          <w:b/>
          <w:bCs/>
          <w:color w:val="auto"/>
          <w:szCs w:val="22"/>
          <w:lang w:val="pt-PT"/>
        </w:rPr>
        <w:tab/>
      </w:r>
      <w:r w:rsidR="00030085" w:rsidRPr="00110D6C">
        <w:rPr>
          <w:rFonts w:cs="Times New Roman"/>
          <w:b/>
          <w:bCs/>
          <w:color w:val="auto"/>
          <w:szCs w:val="22"/>
          <w:lang w:val="pt-PT"/>
        </w:rPr>
        <w:t>Precauções especiais de eliminação e manuseamento</w:t>
      </w:r>
      <w:bookmarkEnd w:id="46"/>
    </w:p>
    <w:p w14:paraId="12EA2F49" w14:textId="77777777" w:rsidR="00AE6759" w:rsidRPr="00110D6C" w:rsidRDefault="00AE6759" w:rsidP="005B7CFE">
      <w:pPr>
        <w:widowControl/>
        <w:rPr>
          <w:rFonts w:cs="Times New Roman"/>
          <w:color w:val="auto"/>
          <w:szCs w:val="22"/>
          <w:lang w:val="pt-PT"/>
        </w:rPr>
      </w:pPr>
    </w:p>
    <w:p w14:paraId="3D24BFD6" w14:textId="7834D0BD" w:rsidR="0077031F" w:rsidRPr="00110D6C" w:rsidRDefault="00030085" w:rsidP="005B7CFE">
      <w:pPr>
        <w:widowControl/>
        <w:rPr>
          <w:rFonts w:cs="Times New Roman"/>
          <w:color w:val="auto"/>
          <w:szCs w:val="22"/>
          <w:lang w:val="pt-PT"/>
        </w:rPr>
      </w:pPr>
      <w:r w:rsidRPr="00110D6C">
        <w:rPr>
          <w:rFonts w:cs="Times New Roman"/>
          <w:color w:val="auto"/>
          <w:szCs w:val="22"/>
          <w:lang w:val="pt-PT"/>
        </w:rPr>
        <w:t xml:space="preserve">A solução na seringa pré-cheia de </w:t>
      </w:r>
      <w:r w:rsidR="00D05FE6" w:rsidRPr="00110D6C">
        <w:rPr>
          <w:rFonts w:cs="Times New Roman"/>
          <w:color w:val="auto"/>
          <w:szCs w:val="22"/>
          <w:lang w:val="pt-PT"/>
        </w:rPr>
        <w:t>F</w:t>
      </w:r>
      <w:r w:rsidR="00373B63" w:rsidRPr="00110D6C">
        <w:rPr>
          <w:rFonts w:cs="Times New Roman"/>
          <w:color w:val="auto"/>
          <w:szCs w:val="22"/>
          <w:lang w:val="pt-PT"/>
        </w:rPr>
        <w:t>ymskina</w:t>
      </w:r>
      <w:r w:rsidRPr="00110D6C">
        <w:rPr>
          <w:rFonts w:cs="Times New Roman"/>
          <w:color w:val="auto"/>
          <w:szCs w:val="22"/>
          <w:lang w:val="pt-PT"/>
        </w:rPr>
        <w:t xml:space="preserve"> não deve ser agitada. A solução deve ser inspecionada visualmente em relação à presença de pequenas partículas ou de descoloração antes da administração </w:t>
      </w:r>
      <w:r w:rsidRPr="00110D6C">
        <w:rPr>
          <w:rFonts w:cs="Times New Roman"/>
          <w:color w:val="auto"/>
          <w:szCs w:val="22"/>
          <w:lang w:val="pt-PT"/>
        </w:rPr>
        <w:lastRenderedPageBreak/>
        <w:t>subcutânea. A solução é transparente a ligeiramente opalescente, incolor a amarela</w:t>
      </w:r>
      <w:r w:rsidR="004978E3">
        <w:rPr>
          <w:rFonts w:cs="Times New Roman"/>
          <w:color w:val="auto"/>
          <w:szCs w:val="22"/>
          <w:lang w:val="pt-PT"/>
        </w:rPr>
        <w:t>-acastanhada</w:t>
      </w:r>
      <w:r w:rsidRPr="00110D6C">
        <w:rPr>
          <w:rFonts w:cs="Times New Roman"/>
          <w:color w:val="auto"/>
          <w:szCs w:val="22"/>
          <w:lang w:val="pt-PT"/>
        </w:rPr>
        <w:t xml:space="preserve"> clara e pode conter algumas pequenas partículas de proteína translúcidas ou brancas. Este aspeto não é invulgar em soluções proteicas. O medicamento não deve ser utilizado se a solução apresentar descoloração ou turvação, ou se estiverem presentes pequenas partículas estranhas. Antes da administração, </w:t>
      </w:r>
      <w:r w:rsidR="00D05FE6" w:rsidRPr="00110D6C">
        <w:rPr>
          <w:rFonts w:cs="Times New Roman"/>
          <w:color w:val="auto"/>
          <w:szCs w:val="22"/>
          <w:lang w:val="pt-PT"/>
        </w:rPr>
        <w:t>F</w:t>
      </w:r>
      <w:r w:rsidR="00373B63" w:rsidRPr="00110D6C">
        <w:rPr>
          <w:rFonts w:cs="Times New Roman"/>
          <w:color w:val="auto"/>
          <w:szCs w:val="22"/>
          <w:lang w:val="pt-PT"/>
        </w:rPr>
        <w:t>ymskina</w:t>
      </w:r>
      <w:r w:rsidRPr="00110D6C">
        <w:rPr>
          <w:rFonts w:cs="Times New Roman"/>
          <w:color w:val="auto"/>
          <w:szCs w:val="22"/>
          <w:lang w:val="pt-PT"/>
        </w:rPr>
        <w:t xml:space="preserve"> deve estar à temperatura ambiente para a injeção (aproximadamente meia</w:t>
      </w:r>
      <w:r w:rsidR="00373B63">
        <w:rPr>
          <w:rFonts w:cs="Times New Roman"/>
          <w:color w:val="auto"/>
          <w:szCs w:val="22"/>
          <w:lang w:val="pt-PT"/>
        </w:rPr>
        <w:t xml:space="preserve"> </w:t>
      </w:r>
      <w:r w:rsidRPr="00110D6C">
        <w:rPr>
          <w:rFonts w:cs="Times New Roman"/>
          <w:color w:val="auto"/>
          <w:szCs w:val="22"/>
          <w:lang w:val="pt-PT"/>
        </w:rPr>
        <w:t>hora). São fornecidas no folheto informativo instruções detalhadas para a administração.</w:t>
      </w:r>
    </w:p>
    <w:p w14:paraId="45E0570C" w14:textId="77777777" w:rsidR="00AE6759" w:rsidRPr="00110D6C" w:rsidRDefault="00AE6759" w:rsidP="00A17623">
      <w:pPr>
        <w:widowControl/>
        <w:rPr>
          <w:rFonts w:cs="Times New Roman"/>
          <w:color w:val="auto"/>
          <w:szCs w:val="22"/>
          <w:lang w:val="pt-PT"/>
        </w:rPr>
      </w:pPr>
    </w:p>
    <w:p w14:paraId="4A784D30" w14:textId="0D5CEAA6" w:rsidR="0077031F" w:rsidRPr="00110D6C" w:rsidRDefault="00D05FE6" w:rsidP="00A17623">
      <w:pPr>
        <w:widowControl/>
        <w:rPr>
          <w:rFonts w:cs="Times New Roman"/>
          <w:color w:val="auto"/>
          <w:szCs w:val="22"/>
          <w:lang w:val="pt-PT"/>
        </w:rPr>
      </w:pPr>
      <w:r w:rsidRPr="00110D6C">
        <w:rPr>
          <w:rFonts w:cs="Times New Roman"/>
          <w:color w:val="auto"/>
          <w:szCs w:val="22"/>
          <w:lang w:val="pt-PT"/>
        </w:rPr>
        <w:t>F</w:t>
      </w:r>
      <w:r w:rsidR="00373B63" w:rsidRPr="00110D6C">
        <w:rPr>
          <w:rFonts w:cs="Times New Roman"/>
          <w:color w:val="auto"/>
          <w:szCs w:val="22"/>
          <w:lang w:val="pt-PT"/>
        </w:rPr>
        <w:t>ymskina</w:t>
      </w:r>
      <w:r w:rsidR="00030085" w:rsidRPr="00110D6C">
        <w:rPr>
          <w:rFonts w:cs="Times New Roman"/>
          <w:color w:val="auto"/>
          <w:szCs w:val="22"/>
          <w:lang w:val="pt-PT"/>
        </w:rPr>
        <w:t xml:space="preserve"> não contém conservantes, pelo que qualquer medicamento não utilizado que permaneça na seringa não deve ser utilizado. </w:t>
      </w:r>
      <w:r w:rsidRPr="00110D6C">
        <w:rPr>
          <w:rFonts w:cs="Times New Roman"/>
          <w:color w:val="auto"/>
          <w:szCs w:val="22"/>
          <w:lang w:val="pt-PT"/>
        </w:rPr>
        <w:t>F</w:t>
      </w:r>
      <w:r w:rsidR="00373B63" w:rsidRPr="00110D6C">
        <w:rPr>
          <w:rFonts w:cs="Times New Roman"/>
          <w:color w:val="auto"/>
          <w:szCs w:val="22"/>
          <w:lang w:val="pt-PT"/>
        </w:rPr>
        <w:t>ymskina</w:t>
      </w:r>
      <w:r w:rsidR="00030085" w:rsidRPr="00110D6C">
        <w:rPr>
          <w:rFonts w:cs="Times New Roman"/>
          <w:color w:val="auto"/>
          <w:szCs w:val="22"/>
          <w:lang w:val="pt-PT"/>
        </w:rPr>
        <w:t xml:space="preserve"> é fornecido numa seringa pré-cheia </w:t>
      </w:r>
      <w:r w:rsidR="003E435E">
        <w:rPr>
          <w:rFonts w:cs="Times New Roman"/>
          <w:color w:val="auto"/>
          <w:szCs w:val="22"/>
          <w:lang w:val="pt-PT"/>
        </w:rPr>
        <w:t xml:space="preserve">estéril </w:t>
      </w:r>
      <w:r w:rsidR="00030085" w:rsidRPr="00110D6C">
        <w:rPr>
          <w:rFonts w:cs="Times New Roman"/>
          <w:color w:val="auto"/>
          <w:szCs w:val="22"/>
          <w:lang w:val="pt-PT"/>
        </w:rPr>
        <w:t>de administração única. A seringa</w:t>
      </w:r>
      <w:r w:rsidR="00373B63">
        <w:rPr>
          <w:rFonts w:cs="Times New Roman"/>
          <w:color w:val="auto"/>
          <w:szCs w:val="22"/>
          <w:lang w:val="pt-PT"/>
        </w:rPr>
        <w:t xml:space="preserve"> e</w:t>
      </w:r>
      <w:r w:rsidR="00030085" w:rsidRPr="00110D6C">
        <w:rPr>
          <w:rFonts w:cs="Times New Roman"/>
          <w:color w:val="auto"/>
          <w:szCs w:val="22"/>
          <w:lang w:val="pt-PT"/>
        </w:rPr>
        <w:t xml:space="preserve"> a agulha nunca devem ser reutilizados. Os medicamentos não utilizados ou os resíduos devem ser eliminados de acordo com as exigências locais.</w:t>
      </w:r>
    </w:p>
    <w:p w14:paraId="2671936D" w14:textId="77777777" w:rsidR="00AE6759" w:rsidRPr="00110D6C" w:rsidRDefault="00AE6759" w:rsidP="00A17623">
      <w:pPr>
        <w:widowControl/>
        <w:rPr>
          <w:rFonts w:cs="Times New Roman"/>
          <w:color w:val="auto"/>
          <w:szCs w:val="22"/>
          <w:lang w:val="pt-PT"/>
        </w:rPr>
      </w:pPr>
    </w:p>
    <w:p w14:paraId="6E317A09" w14:textId="77777777" w:rsidR="00AE6759" w:rsidRPr="00110D6C" w:rsidRDefault="00AE6759" w:rsidP="00A17623">
      <w:pPr>
        <w:widowControl/>
        <w:rPr>
          <w:rFonts w:cs="Times New Roman"/>
          <w:color w:val="auto"/>
          <w:szCs w:val="22"/>
          <w:lang w:val="pt-PT"/>
        </w:rPr>
      </w:pPr>
    </w:p>
    <w:p w14:paraId="7B23A95F" w14:textId="77777777" w:rsidR="0077031F" w:rsidRPr="00110D6C" w:rsidRDefault="00DC3C01" w:rsidP="00A17623">
      <w:pPr>
        <w:widowControl/>
        <w:ind w:left="567" w:hanging="567"/>
        <w:rPr>
          <w:rFonts w:cs="Times New Roman"/>
          <w:color w:val="auto"/>
          <w:szCs w:val="22"/>
          <w:lang w:val="pt-PT"/>
        </w:rPr>
      </w:pPr>
      <w:bookmarkStart w:id="47" w:name="bookmark92"/>
      <w:r w:rsidRPr="00110D6C">
        <w:rPr>
          <w:rFonts w:cs="Times New Roman"/>
          <w:b/>
          <w:bCs/>
          <w:color w:val="auto"/>
          <w:szCs w:val="22"/>
          <w:lang w:val="pt-PT"/>
        </w:rPr>
        <w:t>7.</w:t>
      </w:r>
      <w:r w:rsidRPr="00110D6C">
        <w:rPr>
          <w:rFonts w:cs="Times New Roman"/>
          <w:b/>
          <w:bCs/>
          <w:color w:val="auto"/>
          <w:szCs w:val="22"/>
          <w:lang w:val="pt-PT"/>
        </w:rPr>
        <w:tab/>
      </w:r>
      <w:r w:rsidR="00030085" w:rsidRPr="00110D6C">
        <w:rPr>
          <w:rFonts w:cs="Times New Roman"/>
          <w:b/>
          <w:bCs/>
          <w:color w:val="auto"/>
          <w:szCs w:val="22"/>
          <w:lang w:val="pt-PT"/>
        </w:rPr>
        <w:t>TITULAR DA AUTORIZAÇÃO DE INTRODUÇÃO NO MERCADO</w:t>
      </w:r>
      <w:bookmarkEnd w:id="47"/>
    </w:p>
    <w:p w14:paraId="22259654" w14:textId="77777777" w:rsidR="00AE6759" w:rsidRPr="00110D6C" w:rsidRDefault="00AE6759" w:rsidP="00A17623">
      <w:pPr>
        <w:widowControl/>
        <w:rPr>
          <w:rFonts w:cs="Times New Roman"/>
          <w:color w:val="auto"/>
          <w:szCs w:val="22"/>
          <w:lang w:val="pt-PT"/>
        </w:rPr>
      </w:pPr>
    </w:p>
    <w:p w14:paraId="25AEA0D7" w14:textId="77777777" w:rsidR="00F17850" w:rsidRPr="00492A01" w:rsidRDefault="00F17850" w:rsidP="00F17850">
      <w:pPr>
        <w:pStyle w:val="Textkrper"/>
        <w:rPr>
          <w:lang w:val="pt-PT"/>
        </w:rPr>
      </w:pPr>
      <w:r w:rsidRPr="00492A01">
        <w:rPr>
          <w:lang w:val="pt-PT"/>
        </w:rPr>
        <w:t>Formycon AG</w:t>
      </w:r>
    </w:p>
    <w:p w14:paraId="375D1865" w14:textId="77777777" w:rsidR="00F17850" w:rsidRPr="00492A01" w:rsidRDefault="00F17850" w:rsidP="00F17850">
      <w:pPr>
        <w:pStyle w:val="Textkrper"/>
        <w:rPr>
          <w:lang w:val="pt-PT"/>
        </w:rPr>
      </w:pPr>
      <w:r w:rsidRPr="00492A01">
        <w:rPr>
          <w:lang w:val="pt-PT"/>
        </w:rPr>
        <w:t>Fraunhoferstraße 15</w:t>
      </w:r>
    </w:p>
    <w:p w14:paraId="097DAEB1" w14:textId="77777777" w:rsidR="00F17850" w:rsidRPr="00492A01" w:rsidRDefault="00F17850" w:rsidP="00F17850">
      <w:pPr>
        <w:pStyle w:val="Textkrper"/>
        <w:rPr>
          <w:lang w:val="pt-PT"/>
        </w:rPr>
      </w:pPr>
      <w:r w:rsidRPr="00492A01">
        <w:rPr>
          <w:lang w:val="pt-PT"/>
        </w:rPr>
        <w:t>82152 Martinsried/Planegg</w:t>
      </w:r>
    </w:p>
    <w:p w14:paraId="194936B8" w14:textId="77777777" w:rsidR="00F17850" w:rsidRDefault="00F17850" w:rsidP="00A17623">
      <w:pPr>
        <w:widowControl/>
        <w:rPr>
          <w:rFonts w:cs="Times New Roman"/>
          <w:color w:val="auto"/>
          <w:szCs w:val="22"/>
          <w:lang w:val="pt-PT"/>
        </w:rPr>
      </w:pPr>
      <w:r>
        <w:rPr>
          <w:rFonts w:cs="Times New Roman"/>
          <w:color w:val="auto"/>
          <w:szCs w:val="22"/>
          <w:lang w:val="pt-PT"/>
        </w:rPr>
        <w:t>Alemanha</w:t>
      </w:r>
    </w:p>
    <w:p w14:paraId="08402D04" w14:textId="77777777" w:rsidR="00AE6759" w:rsidRPr="00110D6C" w:rsidRDefault="00AE6759" w:rsidP="00A17623">
      <w:pPr>
        <w:widowControl/>
        <w:rPr>
          <w:rFonts w:cs="Times New Roman"/>
          <w:color w:val="auto"/>
          <w:szCs w:val="22"/>
          <w:lang w:val="pt-PT"/>
        </w:rPr>
      </w:pPr>
    </w:p>
    <w:p w14:paraId="210BAE9F" w14:textId="77777777" w:rsidR="00AE6759" w:rsidRPr="00110D6C" w:rsidRDefault="00AE6759" w:rsidP="00A17623">
      <w:pPr>
        <w:widowControl/>
        <w:rPr>
          <w:rFonts w:cs="Times New Roman"/>
          <w:color w:val="auto"/>
          <w:szCs w:val="22"/>
          <w:lang w:val="pt-PT"/>
        </w:rPr>
      </w:pPr>
    </w:p>
    <w:p w14:paraId="5836DE21" w14:textId="77777777" w:rsidR="0077031F" w:rsidRPr="00110D6C" w:rsidRDefault="00DC3C01" w:rsidP="00A17623">
      <w:pPr>
        <w:widowControl/>
        <w:ind w:left="567" w:hanging="567"/>
        <w:rPr>
          <w:rFonts w:cs="Times New Roman"/>
          <w:color w:val="auto"/>
          <w:szCs w:val="22"/>
          <w:lang w:val="pt-PT"/>
        </w:rPr>
      </w:pPr>
      <w:bookmarkStart w:id="48" w:name="bookmark94"/>
      <w:r w:rsidRPr="00110D6C">
        <w:rPr>
          <w:rFonts w:cs="Times New Roman"/>
          <w:b/>
          <w:bCs/>
          <w:color w:val="auto"/>
          <w:szCs w:val="22"/>
          <w:lang w:val="pt-PT"/>
        </w:rPr>
        <w:t>8.</w:t>
      </w:r>
      <w:r w:rsidRPr="00110D6C">
        <w:rPr>
          <w:rFonts w:cs="Times New Roman"/>
          <w:b/>
          <w:bCs/>
          <w:color w:val="auto"/>
          <w:szCs w:val="22"/>
          <w:lang w:val="pt-PT"/>
        </w:rPr>
        <w:tab/>
      </w:r>
      <w:r w:rsidR="00030085" w:rsidRPr="00110D6C">
        <w:rPr>
          <w:rFonts w:cs="Times New Roman"/>
          <w:b/>
          <w:bCs/>
          <w:color w:val="auto"/>
          <w:szCs w:val="22"/>
          <w:lang w:val="pt-PT"/>
        </w:rPr>
        <w:t>NÚMERO(S) DA AUTORIZAÇÃO DE INTRODUÇÃO NO MERCADO</w:t>
      </w:r>
      <w:bookmarkEnd w:id="48"/>
    </w:p>
    <w:p w14:paraId="0719AB91" w14:textId="77777777" w:rsidR="00AE6759" w:rsidRPr="00110D6C" w:rsidRDefault="00AE6759" w:rsidP="00A17623">
      <w:pPr>
        <w:widowControl/>
        <w:rPr>
          <w:rFonts w:cs="Times New Roman"/>
          <w:color w:val="auto"/>
          <w:szCs w:val="22"/>
          <w:lang w:val="pt-PT"/>
        </w:rPr>
      </w:pPr>
    </w:p>
    <w:p w14:paraId="7ED78E46" w14:textId="6543DC26" w:rsidR="0077031F" w:rsidRPr="00110D6C" w:rsidRDefault="00D05FE6" w:rsidP="00A17623">
      <w:pPr>
        <w:widowControl/>
        <w:rPr>
          <w:rFonts w:cs="Times New Roman"/>
          <w:color w:val="auto"/>
          <w:szCs w:val="22"/>
          <w:lang w:val="pt-PT"/>
        </w:rPr>
      </w:pPr>
      <w:r w:rsidRPr="00110D6C">
        <w:rPr>
          <w:rFonts w:cs="Times New Roman"/>
          <w:color w:val="auto"/>
          <w:szCs w:val="22"/>
          <w:u w:val="single"/>
          <w:lang w:val="pt-PT"/>
        </w:rPr>
        <w:t>F</w:t>
      </w:r>
      <w:r w:rsidR="003508E1" w:rsidRPr="00110D6C">
        <w:rPr>
          <w:rFonts w:cs="Times New Roman"/>
          <w:color w:val="auto"/>
          <w:szCs w:val="22"/>
          <w:u w:val="single"/>
          <w:lang w:val="pt-PT"/>
        </w:rPr>
        <w:t>ymskina</w:t>
      </w:r>
      <w:r w:rsidR="00030085" w:rsidRPr="00110D6C">
        <w:rPr>
          <w:rFonts w:cs="Times New Roman"/>
          <w:color w:val="auto"/>
          <w:szCs w:val="22"/>
          <w:u w:val="single"/>
          <w:lang w:val="pt-PT"/>
        </w:rPr>
        <w:t xml:space="preserve"> 4</w:t>
      </w:r>
      <w:r w:rsidR="00B910F9" w:rsidRPr="00110D6C">
        <w:rPr>
          <w:rFonts w:cs="Times New Roman"/>
          <w:color w:val="auto"/>
          <w:szCs w:val="22"/>
          <w:u w:val="single"/>
          <w:lang w:val="pt-PT"/>
        </w:rPr>
        <w:t>5 </w:t>
      </w:r>
      <w:r w:rsidR="00030085" w:rsidRPr="00110D6C">
        <w:rPr>
          <w:rFonts w:cs="Times New Roman"/>
          <w:color w:val="auto"/>
          <w:szCs w:val="22"/>
          <w:u w:val="single"/>
          <w:lang w:val="pt-PT"/>
        </w:rPr>
        <w:t>mg solução injetável em seringa pré-cheia</w:t>
      </w:r>
    </w:p>
    <w:p w14:paraId="2E7A00E7" w14:textId="77619BE8" w:rsidR="0077031F" w:rsidRPr="00110D6C" w:rsidRDefault="00030085" w:rsidP="00A17623">
      <w:pPr>
        <w:widowControl/>
        <w:rPr>
          <w:rFonts w:cs="Times New Roman"/>
          <w:color w:val="auto"/>
          <w:szCs w:val="22"/>
          <w:lang w:val="pt-PT"/>
        </w:rPr>
      </w:pPr>
      <w:r w:rsidRPr="00110D6C">
        <w:rPr>
          <w:rFonts w:cs="Times New Roman"/>
          <w:color w:val="auto"/>
          <w:szCs w:val="22"/>
          <w:lang w:val="pt-PT"/>
        </w:rPr>
        <w:t>EU/</w:t>
      </w:r>
      <w:r w:rsidR="008F6292" w:rsidRPr="008F6292">
        <w:t>1/24/1862/001</w:t>
      </w:r>
    </w:p>
    <w:p w14:paraId="19815FEF" w14:textId="77777777" w:rsidR="00AE6759" w:rsidRPr="00110D6C" w:rsidRDefault="00AE6759" w:rsidP="00A17623">
      <w:pPr>
        <w:widowControl/>
        <w:rPr>
          <w:rFonts w:cs="Times New Roman"/>
          <w:color w:val="auto"/>
          <w:szCs w:val="22"/>
          <w:lang w:val="pt-PT"/>
        </w:rPr>
      </w:pPr>
    </w:p>
    <w:p w14:paraId="134A0847" w14:textId="76A70804" w:rsidR="0077031F" w:rsidRPr="00110D6C" w:rsidRDefault="00D05FE6" w:rsidP="00A17623">
      <w:pPr>
        <w:widowControl/>
        <w:rPr>
          <w:rFonts w:cs="Times New Roman"/>
          <w:color w:val="auto"/>
          <w:szCs w:val="22"/>
          <w:lang w:val="pt-PT"/>
        </w:rPr>
      </w:pPr>
      <w:r w:rsidRPr="00110D6C">
        <w:rPr>
          <w:rFonts w:cs="Times New Roman"/>
          <w:color w:val="auto"/>
          <w:szCs w:val="22"/>
          <w:u w:val="single"/>
          <w:lang w:val="pt-PT"/>
        </w:rPr>
        <w:t>F</w:t>
      </w:r>
      <w:r w:rsidR="003508E1" w:rsidRPr="00110D6C">
        <w:rPr>
          <w:rFonts w:cs="Times New Roman"/>
          <w:color w:val="auto"/>
          <w:szCs w:val="22"/>
          <w:u w:val="single"/>
          <w:lang w:val="pt-PT"/>
        </w:rPr>
        <w:t>ymskina</w:t>
      </w:r>
      <w:r w:rsidR="00030085" w:rsidRPr="00110D6C">
        <w:rPr>
          <w:rFonts w:cs="Times New Roman"/>
          <w:color w:val="auto"/>
          <w:szCs w:val="22"/>
          <w:u w:val="single"/>
          <w:lang w:val="pt-PT"/>
        </w:rPr>
        <w:t xml:space="preserve"> 9</w:t>
      </w:r>
      <w:r w:rsidR="00B910F9" w:rsidRPr="00110D6C">
        <w:rPr>
          <w:rFonts w:cs="Times New Roman"/>
          <w:color w:val="auto"/>
          <w:szCs w:val="22"/>
          <w:u w:val="single"/>
          <w:lang w:val="pt-PT"/>
        </w:rPr>
        <w:t>0 </w:t>
      </w:r>
      <w:r w:rsidR="00030085" w:rsidRPr="00110D6C">
        <w:rPr>
          <w:rFonts w:cs="Times New Roman"/>
          <w:color w:val="auto"/>
          <w:szCs w:val="22"/>
          <w:u w:val="single"/>
          <w:lang w:val="pt-PT"/>
        </w:rPr>
        <w:t>mg solução injetável em seringa pré-cheia</w:t>
      </w:r>
    </w:p>
    <w:p w14:paraId="1A2C44F7" w14:textId="00EB81A9" w:rsidR="0077031F" w:rsidRPr="00110D6C" w:rsidRDefault="00030085" w:rsidP="00A17623">
      <w:pPr>
        <w:widowControl/>
        <w:rPr>
          <w:rFonts w:cs="Times New Roman"/>
          <w:color w:val="auto"/>
          <w:szCs w:val="22"/>
          <w:lang w:val="pt-PT"/>
        </w:rPr>
      </w:pPr>
      <w:r w:rsidRPr="00110D6C">
        <w:rPr>
          <w:rFonts w:cs="Times New Roman"/>
          <w:color w:val="auto"/>
          <w:szCs w:val="22"/>
          <w:lang w:val="pt-PT"/>
        </w:rPr>
        <w:t>EU/</w:t>
      </w:r>
      <w:r w:rsidR="008F6292" w:rsidRPr="008F6292">
        <w:t>1/24/1862/00</w:t>
      </w:r>
      <w:r w:rsidR="008F6292">
        <w:t>2</w:t>
      </w:r>
    </w:p>
    <w:p w14:paraId="2F5E81E9" w14:textId="77777777" w:rsidR="00AE6759" w:rsidRPr="00110D6C" w:rsidRDefault="00AE6759" w:rsidP="00A17623">
      <w:pPr>
        <w:widowControl/>
        <w:rPr>
          <w:rFonts w:cs="Times New Roman"/>
          <w:color w:val="auto"/>
          <w:szCs w:val="22"/>
          <w:lang w:val="pt-PT"/>
        </w:rPr>
      </w:pPr>
    </w:p>
    <w:p w14:paraId="57AA9ABD" w14:textId="77777777" w:rsidR="00AE6759" w:rsidRPr="00110D6C" w:rsidRDefault="00AE6759" w:rsidP="00A17623">
      <w:pPr>
        <w:widowControl/>
        <w:rPr>
          <w:rFonts w:cs="Times New Roman"/>
          <w:color w:val="auto"/>
          <w:szCs w:val="22"/>
          <w:lang w:val="pt-PT"/>
        </w:rPr>
      </w:pPr>
    </w:p>
    <w:p w14:paraId="46FF2F5C" w14:textId="77777777" w:rsidR="0077031F" w:rsidRPr="00110D6C" w:rsidRDefault="00DC3C01" w:rsidP="00A17623">
      <w:pPr>
        <w:widowControl/>
        <w:ind w:left="567" w:hanging="567"/>
        <w:rPr>
          <w:rFonts w:cs="Times New Roman"/>
          <w:color w:val="auto"/>
          <w:szCs w:val="22"/>
          <w:lang w:val="pt-PT"/>
        </w:rPr>
      </w:pPr>
      <w:bookmarkStart w:id="49" w:name="bookmark96"/>
      <w:r w:rsidRPr="00110D6C">
        <w:rPr>
          <w:rFonts w:cs="Times New Roman"/>
          <w:b/>
          <w:bCs/>
          <w:color w:val="auto"/>
          <w:szCs w:val="22"/>
          <w:lang w:val="pt-PT"/>
        </w:rPr>
        <w:t>9.</w:t>
      </w:r>
      <w:r w:rsidRPr="00110D6C">
        <w:rPr>
          <w:rFonts w:cs="Times New Roman"/>
          <w:b/>
          <w:bCs/>
          <w:color w:val="auto"/>
          <w:szCs w:val="22"/>
          <w:lang w:val="pt-PT"/>
        </w:rPr>
        <w:tab/>
      </w:r>
      <w:r w:rsidR="00030085" w:rsidRPr="00110D6C">
        <w:rPr>
          <w:rFonts w:cs="Times New Roman"/>
          <w:b/>
          <w:bCs/>
          <w:color w:val="auto"/>
          <w:szCs w:val="22"/>
          <w:lang w:val="pt-PT"/>
        </w:rPr>
        <w:t>DATA DA PRIMEIRA AUTORIZAÇÃO/RENOVAÇÃO DA AUTORIZAÇÃO DE INTRODUÇÃO NO MERCADO</w:t>
      </w:r>
      <w:bookmarkEnd w:id="49"/>
    </w:p>
    <w:p w14:paraId="474E6229" w14:textId="77777777" w:rsidR="00ED3E03" w:rsidRDefault="00ED3E03" w:rsidP="00A17623">
      <w:pPr>
        <w:widowControl/>
        <w:rPr>
          <w:rFonts w:cs="Times New Roman"/>
          <w:color w:val="auto"/>
          <w:szCs w:val="22"/>
          <w:lang w:val="pt-PT"/>
        </w:rPr>
      </w:pPr>
    </w:p>
    <w:p w14:paraId="46C8A913" w14:textId="22E730F6"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Data da primeira autorização: </w:t>
      </w:r>
      <w:r w:rsidR="004978E3">
        <w:t>25 de setembro de 2024</w:t>
      </w:r>
    </w:p>
    <w:p w14:paraId="128F51BA" w14:textId="77777777" w:rsidR="00272769" w:rsidRPr="00110D6C" w:rsidRDefault="00272769" w:rsidP="002057DA">
      <w:pPr>
        <w:widowControl/>
        <w:rPr>
          <w:rFonts w:cs="Times New Roman"/>
          <w:bCs/>
          <w:color w:val="auto"/>
          <w:szCs w:val="22"/>
          <w:lang w:val="pt-PT"/>
        </w:rPr>
      </w:pPr>
      <w:bookmarkStart w:id="50" w:name="bookmark98"/>
    </w:p>
    <w:p w14:paraId="1F3EFF39" w14:textId="77777777" w:rsidR="00272769" w:rsidRPr="00110D6C" w:rsidRDefault="00272769" w:rsidP="002057DA">
      <w:pPr>
        <w:widowControl/>
        <w:rPr>
          <w:rFonts w:cs="Times New Roman"/>
          <w:bCs/>
          <w:color w:val="auto"/>
          <w:szCs w:val="22"/>
          <w:lang w:val="pt-PT"/>
        </w:rPr>
      </w:pPr>
    </w:p>
    <w:p w14:paraId="4ED1FF74" w14:textId="77777777" w:rsidR="0077031F" w:rsidRPr="00110D6C" w:rsidRDefault="00272769" w:rsidP="00A17623">
      <w:pPr>
        <w:widowControl/>
        <w:ind w:left="567" w:hanging="567"/>
        <w:rPr>
          <w:rFonts w:cs="Times New Roman"/>
          <w:color w:val="auto"/>
          <w:szCs w:val="22"/>
          <w:lang w:val="pt-PT"/>
        </w:rPr>
      </w:pPr>
      <w:r w:rsidRPr="00110D6C">
        <w:rPr>
          <w:rFonts w:cs="Times New Roman"/>
          <w:b/>
          <w:bCs/>
          <w:color w:val="auto"/>
          <w:szCs w:val="22"/>
          <w:lang w:val="pt-PT"/>
        </w:rPr>
        <w:t>10.</w:t>
      </w:r>
      <w:r w:rsidRPr="00110D6C">
        <w:rPr>
          <w:rFonts w:cs="Times New Roman"/>
          <w:b/>
          <w:bCs/>
          <w:color w:val="auto"/>
          <w:szCs w:val="22"/>
          <w:lang w:val="pt-PT"/>
        </w:rPr>
        <w:tab/>
      </w:r>
      <w:r w:rsidR="00030085" w:rsidRPr="00110D6C">
        <w:rPr>
          <w:rFonts w:cs="Times New Roman"/>
          <w:b/>
          <w:bCs/>
          <w:color w:val="auto"/>
          <w:szCs w:val="22"/>
          <w:lang w:val="pt-PT"/>
        </w:rPr>
        <w:t>DATA DA REVISÃO DO TEXTO</w:t>
      </w:r>
      <w:bookmarkEnd w:id="50"/>
    </w:p>
    <w:p w14:paraId="6941E57F" w14:textId="77777777" w:rsidR="00AE6759" w:rsidRPr="00110D6C" w:rsidRDefault="00AE6759" w:rsidP="00A17623">
      <w:pPr>
        <w:widowControl/>
        <w:rPr>
          <w:rFonts w:cs="Times New Roman"/>
          <w:color w:val="auto"/>
          <w:szCs w:val="22"/>
          <w:lang w:val="pt-PT"/>
        </w:rPr>
      </w:pPr>
    </w:p>
    <w:p w14:paraId="200E299B" w14:textId="06CACD73"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Está disponível informação pormenorizada sobre este medicamento no sítio da internet da Agência Europeia de Medicamentos: </w:t>
      </w:r>
      <w:hyperlink r:id="rId15" w:history="1">
        <w:r w:rsidR="003508E1" w:rsidRPr="00244D49">
          <w:rPr>
            <w:rStyle w:val="Hyperlink"/>
            <w:rFonts w:cs="Times New Roman"/>
            <w:szCs w:val="22"/>
            <w:lang w:val="pt-PT"/>
          </w:rPr>
          <w:t>https://www.ema.europa.eu</w:t>
        </w:r>
      </w:hyperlink>
      <w:r w:rsidRPr="00110D6C">
        <w:rPr>
          <w:rFonts w:cs="Times New Roman"/>
          <w:color w:val="auto"/>
          <w:szCs w:val="22"/>
          <w:lang w:val="pt-PT"/>
        </w:rPr>
        <w:t>.</w:t>
      </w:r>
    </w:p>
    <w:p w14:paraId="5A5EEB6F" w14:textId="77777777" w:rsidR="00AE6759" w:rsidRPr="00110D6C" w:rsidRDefault="00AE6759">
      <w:pPr>
        <w:rPr>
          <w:rFonts w:cs="Times New Roman"/>
          <w:bCs/>
          <w:color w:val="auto"/>
          <w:szCs w:val="22"/>
          <w:lang w:val="pt-PT"/>
        </w:rPr>
      </w:pPr>
      <w:r w:rsidRPr="00110D6C">
        <w:rPr>
          <w:rFonts w:cs="Times New Roman"/>
          <w:b/>
          <w:bCs/>
          <w:color w:val="auto"/>
          <w:szCs w:val="22"/>
          <w:lang w:val="pt-PT"/>
        </w:rPr>
        <w:br w:type="page"/>
      </w:r>
    </w:p>
    <w:p w14:paraId="067AF026" w14:textId="77777777" w:rsidR="00AE6759" w:rsidRPr="00110D6C" w:rsidRDefault="00AE6759" w:rsidP="00AE6759">
      <w:pPr>
        <w:jc w:val="center"/>
        <w:rPr>
          <w:rFonts w:cs="Times New Roman"/>
          <w:color w:val="auto"/>
          <w:lang w:val="pt-PT"/>
        </w:rPr>
      </w:pPr>
    </w:p>
    <w:p w14:paraId="355B87B8" w14:textId="77777777" w:rsidR="00AE6759" w:rsidRPr="00110D6C" w:rsidRDefault="00AE6759" w:rsidP="00AE6759">
      <w:pPr>
        <w:jc w:val="center"/>
        <w:rPr>
          <w:rFonts w:cs="Times New Roman"/>
          <w:color w:val="auto"/>
          <w:lang w:val="pt-PT"/>
        </w:rPr>
      </w:pPr>
    </w:p>
    <w:p w14:paraId="1372743D" w14:textId="77777777" w:rsidR="00AE6759" w:rsidRPr="00110D6C" w:rsidRDefault="00AE6759" w:rsidP="00AE6759">
      <w:pPr>
        <w:jc w:val="center"/>
        <w:rPr>
          <w:rFonts w:cs="Times New Roman"/>
          <w:color w:val="auto"/>
          <w:lang w:val="pt-PT"/>
        </w:rPr>
      </w:pPr>
    </w:p>
    <w:p w14:paraId="28E20C32" w14:textId="77777777" w:rsidR="00AE6759" w:rsidRPr="00110D6C" w:rsidRDefault="00AE6759" w:rsidP="00AE6759">
      <w:pPr>
        <w:jc w:val="center"/>
        <w:rPr>
          <w:rFonts w:cs="Times New Roman"/>
          <w:color w:val="auto"/>
          <w:lang w:val="pt-PT"/>
        </w:rPr>
      </w:pPr>
    </w:p>
    <w:p w14:paraId="02FAB14F" w14:textId="77777777" w:rsidR="00AE6759" w:rsidRPr="00110D6C" w:rsidRDefault="00AE6759" w:rsidP="00AE6759">
      <w:pPr>
        <w:jc w:val="center"/>
        <w:rPr>
          <w:rFonts w:cs="Times New Roman"/>
          <w:color w:val="auto"/>
          <w:lang w:val="pt-PT"/>
        </w:rPr>
      </w:pPr>
    </w:p>
    <w:p w14:paraId="6670E0B0" w14:textId="77777777" w:rsidR="00AE6759" w:rsidRPr="00110D6C" w:rsidRDefault="00AE6759" w:rsidP="00AE6759">
      <w:pPr>
        <w:jc w:val="center"/>
        <w:rPr>
          <w:rFonts w:cs="Times New Roman"/>
          <w:color w:val="auto"/>
          <w:lang w:val="pt-PT"/>
        </w:rPr>
      </w:pPr>
    </w:p>
    <w:p w14:paraId="1368BA9A" w14:textId="77777777" w:rsidR="00AE6759" w:rsidRPr="00110D6C" w:rsidRDefault="00AE6759" w:rsidP="00AE6759">
      <w:pPr>
        <w:jc w:val="center"/>
        <w:rPr>
          <w:rFonts w:cs="Times New Roman"/>
          <w:color w:val="auto"/>
          <w:lang w:val="pt-PT"/>
        </w:rPr>
      </w:pPr>
    </w:p>
    <w:p w14:paraId="33CB5753" w14:textId="77777777" w:rsidR="00AE6759" w:rsidRPr="00110D6C" w:rsidRDefault="00AE6759" w:rsidP="00AE6759">
      <w:pPr>
        <w:jc w:val="center"/>
        <w:rPr>
          <w:rFonts w:cs="Times New Roman"/>
          <w:color w:val="auto"/>
          <w:lang w:val="pt-PT"/>
        </w:rPr>
      </w:pPr>
    </w:p>
    <w:p w14:paraId="1AE1D988" w14:textId="77777777" w:rsidR="00AE6759" w:rsidRPr="00110D6C" w:rsidRDefault="00AE6759" w:rsidP="00AE6759">
      <w:pPr>
        <w:jc w:val="center"/>
        <w:rPr>
          <w:rFonts w:cs="Times New Roman"/>
          <w:color w:val="auto"/>
          <w:lang w:val="pt-PT"/>
        </w:rPr>
      </w:pPr>
    </w:p>
    <w:p w14:paraId="6562E9BB" w14:textId="77777777" w:rsidR="00AE6759" w:rsidRPr="00110D6C" w:rsidRDefault="00AE6759" w:rsidP="00AE6759">
      <w:pPr>
        <w:jc w:val="center"/>
        <w:rPr>
          <w:rFonts w:cs="Times New Roman"/>
          <w:color w:val="auto"/>
          <w:lang w:val="pt-PT"/>
        </w:rPr>
      </w:pPr>
    </w:p>
    <w:p w14:paraId="1EAD9509" w14:textId="77777777" w:rsidR="00AE6759" w:rsidRPr="00110D6C" w:rsidRDefault="00AE6759" w:rsidP="00AE6759">
      <w:pPr>
        <w:jc w:val="center"/>
        <w:rPr>
          <w:rFonts w:cs="Times New Roman"/>
          <w:color w:val="auto"/>
          <w:lang w:val="pt-PT"/>
        </w:rPr>
      </w:pPr>
    </w:p>
    <w:p w14:paraId="043B358B" w14:textId="77777777" w:rsidR="00AE6759" w:rsidRPr="00110D6C" w:rsidRDefault="00AE6759" w:rsidP="00AE6759">
      <w:pPr>
        <w:jc w:val="center"/>
        <w:rPr>
          <w:rFonts w:cs="Times New Roman"/>
          <w:color w:val="auto"/>
          <w:lang w:val="pt-PT"/>
        </w:rPr>
      </w:pPr>
    </w:p>
    <w:p w14:paraId="6E81BC9B" w14:textId="77777777" w:rsidR="00AE6759" w:rsidRPr="00110D6C" w:rsidRDefault="00AE6759" w:rsidP="00AE6759">
      <w:pPr>
        <w:jc w:val="center"/>
        <w:rPr>
          <w:rFonts w:cs="Times New Roman"/>
          <w:color w:val="auto"/>
          <w:lang w:val="pt-PT"/>
        </w:rPr>
      </w:pPr>
    </w:p>
    <w:p w14:paraId="022D7F79" w14:textId="77777777" w:rsidR="00AE6759" w:rsidRPr="00110D6C" w:rsidRDefault="00AE6759" w:rsidP="00AE6759">
      <w:pPr>
        <w:jc w:val="center"/>
        <w:rPr>
          <w:rFonts w:cs="Times New Roman"/>
          <w:color w:val="auto"/>
          <w:lang w:val="pt-PT"/>
        </w:rPr>
      </w:pPr>
    </w:p>
    <w:p w14:paraId="267FED7F" w14:textId="77777777" w:rsidR="00AE6759" w:rsidRPr="00110D6C" w:rsidRDefault="00AE6759" w:rsidP="00AE6759">
      <w:pPr>
        <w:jc w:val="center"/>
        <w:rPr>
          <w:rFonts w:cs="Times New Roman"/>
          <w:color w:val="auto"/>
          <w:lang w:val="pt-PT"/>
        </w:rPr>
      </w:pPr>
    </w:p>
    <w:p w14:paraId="14C6DEE2" w14:textId="77777777" w:rsidR="00AE6759" w:rsidRPr="00110D6C" w:rsidRDefault="00AE6759" w:rsidP="00AE6759">
      <w:pPr>
        <w:jc w:val="center"/>
        <w:rPr>
          <w:rFonts w:cs="Times New Roman"/>
          <w:color w:val="auto"/>
          <w:lang w:val="pt-PT"/>
        </w:rPr>
      </w:pPr>
    </w:p>
    <w:p w14:paraId="2C6141FE" w14:textId="77777777" w:rsidR="00AE6759" w:rsidRPr="00110D6C" w:rsidRDefault="00AE6759" w:rsidP="00AE6759">
      <w:pPr>
        <w:jc w:val="center"/>
        <w:rPr>
          <w:rFonts w:cs="Times New Roman"/>
          <w:color w:val="auto"/>
          <w:lang w:val="pt-PT"/>
        </w:rPr>
      </w:pPr>
    </w:p>
    <w:p w14:paraId="2A2D8876" w14:textId="77777777" w:rsidR="00AE6759" w:rsidRPr="00110D6C" w:rsidRDefault="00AE6759" w:rsidP="00AE6759">
      <w:pPr>
        <w:jc w:val="center"/>
        <w:rPr>
          <w:rFonts w:cs="Times New Roman"/>
          <w:color w:val="auto"/>
          <w:lang w:val="pt-PT"/>
        </w:rPr>
      </w:pPr>
    </w:p>
    <w:p w14:paraId="2FD8F2E1" w14:textId="77777777" w:rsidR="00AE6759" w:rsidRPr="00110D6C" w:rsidRDefault="00AE6759" w:rsidP="00AE6759">
      <w:pPr>
        <w:jc w:val="center"/>
        <w:rPr>
          <w:rFonts w:cs="Times New Roman"/>
          <w:color w:val="auto"/>
          <w:lang w:val="pt-PT"/>
        </w:rPr>
      </w:pPr>
    </w:p>
    <w:p w14:paraId="30EA7DAD" w14:textId="77777777" w:rsidR="00AE6759" w:rsidRPr="00110D6C" w:rsidRDefault="00AE6759" w:rsidP="00AE6759">
      <w:pPr>
        <w:jc w:val="center"/>
        <w:rPr>
          <w:rFonts w:cs="Times New Roman"/>
          <w:color w:val="auto"/>
          <w:lang w:val="pt-PT"/>
        </w:rPr>
      </w:pPr>
    </w:p>
    <w:p w14:paraId="2EE42AD1" w14:textId="77777777" w:rsidR="008D3859" w:rsidRPr="00110D6C" w:rsidRDefault="008D3859" w:rsidP="00AE6759">
      <w:pPr>
        <w:jc w:val="center"/>
        <w:rPr>
          <w:rFonts w:cs="Times New Roman"/>
          <w:color w:val="auto"/>
          <w:lang w:val="pt-PT"/>
        </w:rPr>
      </w:pPr>
    </w:p>
    <w:p w14:paraId="024B6D05" w14:textId="77777777" w:rsidR="00AE6759" w:rsidRPr="00110D6C" w:rsidRDefault="00AE6759" w:rsidP="00AE6759">
      <w:pPr>
        <w:jc w:val="center"/>
        <w:rPr>
          <w:rFonts w:cs="Times New Roman"/>
          <w:color w:val="auto"/>
          <w:lang w:val="pt-PT"/>
        </w:rPr>
      </w:pPr>
    </w:p>
    <w:p w14:paraId="22A20B2C" w14:textId="77777777" w:rsidR="00AE6759" w:rsidRPr="00110D6C" w:rsidRDefault="00AE6759" w:rsidP="00AE6759">
      <w:pPr>
        <w:jc w:val="center"/>
        <w:rPr>
          <w:rFonts w:cs="Times New Roman"/>
          <w:color w:val="auto"/>
          <w:lang w:val="pt-PT"/>
        </w:rPr>
      </w:pPr>
    </w:p>
    <w:p w14:paraId="3D934CDC" w14:textId="77777777" w:rsidR="0077031F" w:rsidRPr="00110D6C" w:rsidRDefault="00030085" w:rsidP="00AE6759">
      <w:pPr>
        <w:widowControl/>
        <w:jc w:val="center"/>
        <w:rPr>
          <w:rFonts w:cs="Times New Roman"/>
          <w:b/>
          <w:bCs/>
          <w:color w:val="auto"/>
          <w:szCs w:val="22"/>
          <w:lang w:val="pt-PT"/>
        </w:rPr>
      </w:pPr>
      <w:r w:rsidRPr="00110D6C">
        <w:rPr>
          <w:rFonts w:cs="Times New Roman"/>
          <w:b/>
          <w:bCs/>
          <w:color w:val="auto"/>
          <w:szCs w:val="22"/>
          <w:lang w:val="pt-PT"/>
        </w:rPr>
        <w:t>ANEXO</w:t>
      </w:r>
      <w:r w:rsidR="008D3859" w:rsidRPr="00110D6C">
        <w:rPr>
          <w:rFonts w:cs="Times New Roman"/>
          <w:b/>
          <w:bCs/>
          <w:color w:val="auto"/>
          <w:szCs w:val="22"/>
          <w:lang w:val="pt-PT"/>
        </w:rPr>
        <w:t> </w:t>
      </w:r>
      <w:r w:rsidRPr="00110D6C">
        <w:rPr>
          <w:rFonts w:cs="Times New Roman"/>
          <w:b/>
          <w:bCs/>
          <w:color w:val="auto"/>
          <w:szCs w:val="22"/>
          <w:lang w:val="pt-PT"/>
        </w:rPr>
        <w:t>II</w:t>
      </w:r>
    </w:p>
    <w:p w14:paraId="56F87567" w14:textId="77777777" w:rsidR="008D3859" w:rsidRPr="00110D6C" w:rsidRDefault="008D3859" w:rsidP="008D3859">
      <w:pPr>
        <w:widowControl/>
        <w:rPr>
          <w:rFonts w:cs="Times New Roman"/>
          <w:color w:val="auto"/>
          <w:szCs w:val="22"/>
          <w:lang w:val="pt-PT"/>
        </w:rPr>
      </w:pPr>
    </w:p>
    <w:p w14:paraId="14BCD653" w14:textId="77777777" w:rsidR="0077031F" w:rsidRPr="00110D6C" w:rsidRDefault="00030085" w:rsidP="008D3859">
      <w:pPr>
        <w:widowControl/>
        <w:ind w:left="1701" w:right="1418" w:hanging="567"/>
        <w:rPr>
          <w:rFonts w:cs="Times New Roman"/>
          <w:b/>
          <w:bCs/>
          <w:color w:val="auto"/>
          <w:szCs w:val="22"/>
          <w:lang w:val="pt-PT"/>
        </w:rPr>
      </w:pPr>
      <w:r w:rsidRPr="00110D6C">
        <w:rPr>
          <w:rFonts w:cs="Times New Roman"/>
          <w:b/>
          <w:bCs/>
          <w:color w:val="auto"/>
          <w:szCs w:val="22"/>
          <w:lang w:val="pt-PT"/>
        </w:rPr>
        <w:t>A.</w:t>
      </w:r>
      <w:r w:rsidRPr="00110D6C">
        <w:rPr>
          <w:rFonts w:cs="Times New Roman"/>
          <w:b/>
          <w:bCs/>
          <w:color w:val="auto"/>
          <w:szCs w:val="22"/>
          <w:lang w:val="pt-PT"/>
        </w:rPr>
        <w:tab/>
        <w:t>FABRICANTE(S) DA(S) SUBSTÂNCIA(S) ATIVA(S) DE</w:t>
      </w:r>
      <w:r w:rsidR="00AE6759" w:rsidRPr="00110D6C">
        <w:rPr>
          <w:rFonts w:cs="Times New Roman"/>
          <w:b/>
          <w:bCs/>
          <w:color w:val="auto"/>
          <w:szCs w:val="22"/>
          <w:lang w:val="pt-PT"/>
        </w:rPr>
        <w:t xml:space="preserve"> </w:t>
      </w:r>
      <w:r w:rsidRPr="00110D6C">
        <w:rPr>
          <w:rFonts w:cs="Times New Roman"/>
          <w:b/>
          <w:bCs/>
          <w:color w:val="auto"/>
          <w:szCs w:val="22"/>
          <w:lang w:val="pt-PT"/>
        </w:rPr>
        <w:t>ORIGEM BIOLÓGICA E TITULAR FABRICANTE(S) RESPONSÁVEL(VEIS) PELA LIBERTAÇÃO DO LOTE</w:t>
      </w:r>
    </w:p>
    <w:p w14:paraId="2B76E2D4" w14:textId="77777777" w:rsidR="00AE6759" w:rsidRPr="00110D6C" w:rsidRDefault="00AE6759" w:rsidP="00AE6759">
      <w:pPr>
        <w:widowControl/>
        <w:ind w:right="1361"/>
        <w:rPr>
          <w:rFonts w:cs="Times New Roman"/>
          <w:color w:val="auto"/>
          <w:szCs w:val="22"/>
          <w:lang w:val="pt-PT"/>
        </w:rPr>
      </w:pPr>
    </w:p>
    <w:p w14:paraId="0AE8AD18" w14:textId="77777777" w:rsidR="0077031F" w:rsidRPr="00110D6C" w:rsidRDefault="00030085" w:rsidP="008D3859">
      <w:pPr>
        <w:widowControl/>
        <w:ind w:left="1701" w:right="1418" w:hanging="567"/>
        <w:rPr>
          <w:rFonts w:cs="Times New Roman"/>
          <w:b/>
          <w:bCs/>
          <w:color w:val="auto"/>
          <w:szCs w:val="22"/>
          <w:lang w:val="pt-PT"/>
        </w:rPr>
      </w:pPr>
      <w:r w:rsidRPr="00110D6C">
        <w:rPr>
          <w:rFonts w:cs="Times New Roman"/>
          <w:b/>
          <w:bCs/>
          <w:color w:val="auto"/>
          <w:szCs w:val="22"/>
          <w:lang w:val="pt-PT"/>
        </w:rPr>
        <w:t>B.</w:t>
      </w:r>
      <w:r w:rsidRPr="00110D6C">
        <w:rPr>
          <w:rFonts w:cs="Times New Roman"/>
          <w:b/>
          <w:bCs/>
          <w:color w:val="auto"/>
          <w:szCs w:val="22"/>
          <w:lang w:val="pt-PT"/>
        </w:rPr>
        <w:tab/>
        <w:t>CONDIÇÕES OU RESTRIÇÕES RELATIVAS AO FORNECIMENTO E UTILIZAÇÃO</w:t>
      </w:r>
    </w:p>
    <w:p w14:paraId="1B452F8A" w14:textId="77777777" w:rsidR="00AE6759" w:rsidRPr="00110D6C" w:rsidRDefault="00AE6759" w:rsidP="00AE6759">
      <w:pPr>
        <w:widowControl/>
        <w:ind w:right="1361"/>
        <w:rPr>
          <w:rFonts w:cs="Times New Roman"/>
          <w:color w:val="auto"/>
          <w:szCs w:val="22"/>
          <w:lang w:val="pt-PT"/>
        </w:rPr>
      </w:pPr>
    </w:p>
    <w:p w14:paraId="483D6EFD" w14:textId="77777777" w:rsidR="0077031F" w:rsidRPr="00110D6C" w:rsidRDefault="00030085" w:rsidP="008D3859">
      <w:pPr>
        <w:widowControl/>
        <w:ind w:left="1701" w:right="1418" w:hanging="567"/>
        <w:rPr>
          <w:rFonts w:cs="Times New Roman"/>
          <w:b/>
          <w:bCs/>
          <w:color w:val="auto"/>
          <w:szCs w:val="22"/>
          <w:lang w:val="pt-PT"/>
        </w:rPr>
      </w:pPr>
      <w:r w:rsidRPr="00110D6C">
        <w:rPr>
          <w:rFonts w:cs="Times New Roman"/>
          <w:b/>
          <w:bCs/>
          <w:color w:val="auto"/>
          <w:szCs w:val="22"/>
          <w:lang w:val="pt-PT"/>
        </w:rPr>
        <w:t>C.</w:t>
      </w:r>
      <w:r w:rsidRPr="00110D6C">
        <w:rPr>
          <w:rFonts w:cs="Times New Roman"/>
          <w:b/>
          <w:bCs/>
          <w:color w:val="auto"/>
          <w:szCs w:val="22"/>
          <w:lang w:val="pt-PT"/>
        </w:rPr>
        <w:tab/>
        <w:t>OUTRAS CONDIÇÕES E REQUISITOS DA AUTORIZAÇÃO DE INTRODUÇÃO NO MERCADO</w:t>
      </w:r>
    </w:p>
    <w:p w14:paraId="77D7C00A" w14:textId="77777777" w:rsidR="00AE6759" w:rsidRPr="00110D6C" w:rsidRDefault="00AE6759" w:rsidP="00AE6759">
      <w:pPr>
        <w:widowControl/>
        <w:ind w:right="1361"/>
        <w:rPr>
          <w:rFonts w:cs="Times New Roman"/>
          <w:color w:val="auto"/>
          <w:szCs w:val="22"/>
          <w:lang w:val="pt-PT"/>
        </w:rPr>
      </w:pPr>
    </w:p>
    <w:p w14:paraId="2AEF418F" w14:textId="77777777" w:rsidR="0077031F" w:rsidRPr="00110D6C" w:rsidRDefault="00030085" w:rsidP="008D3859">
      <w:pPr>
        <w:widowControl/>
        <w:ind w:left="1701" w:right="1418" w:hanging="567"/>
        <w:rPr>
          <w:rFonts w:cs="Times New Roman"/>
          <w:color w:val="auto"/>
          <w:szCs w:val="22"/>
          <w:lang w:val="pt-PT"/>
        </w:rPr>
      </w:pPr>
      <w:r w:rsidRPr="00110D6C">
        <w:rPr>
          <w:rFonts w:cs="Times New Roman"/>
          <w:b/>
          <w:bCs/>
          <w:color w:val="auto"/>
          <w:szCs w:val="22"/>
          <w:lang w:val="pt-PT"/>
        </w:rPr>
        <w:t>D.</w:t>
      </w:r>
      <w:r w:rsidRPr="00110D6C">
        <w:rPr>
          <w:rFonts w:cs="Times New Roman"/>
          <w:b/>
          <w:bCs/>
          <w:color w:val="auto"/>
          <w:szCs w:val="22"/>
          <w:lang w:val="pt-PT"/>
        </w:rPr>
        <w:tab/>
        <w:t>CONDIÇÕES OU RESTRIÇÕES RELATIVAS À UTILIZAÇÃO SEGURA E EFICAZ DO MEDICAMENTO</w:t>
      </w:r>
    </w:p>
    <w:p w14:paraId="37B2E397" w14:textId="77777777" w:rsidR="00AE6759" w:rsidRPr="00110D6C" w:rsidRDefault="00AE6759">
      <w:pPr>
        <w:rPr>
          <w:rFonts w:cs="Times New Roman"/>
          <w:b/>
          <w:bCs/>
          <w:color w:val="auto"/>
          <w:szCs w:val="22"/>
          <w:lang w:val="pt-PT"/>
        </w:rPr>
      </w:pPr>
      <w:bookmarkStart w:id="51" w:name="bookmark100"/>
      <w:r w:rsidRPr="00110D6C">
        <w:rPr>
          <w:rFonts w:cs="Times New Roman"/>
          <w:b/>
          <w:bCs/>
          <w:color w:val="auto"/>
          <w:szCs w:val="22"/>
          <w:lang w:val="pt-PT"/>
        </w:rPr>
        <w:br w:type="page"/>
      </w:r>
    </w:p>
    <w:p w14:paraId="64D1ED1F" w14:textId="77777777" w:rsidR="0077031F" w:rsidRPr="005E5EB1" w:rsidRDefault="00030085" w:rsidP="00EE0E3F">
      <w:pPr>
        <w:pStyle w:val="TitleB"/>
        <w:ind w:left="567" w:right="0" w:hanging="567"/>
        <w:outlineLvl w:val="0"/>
        <w:rPr>
          <w:lang w:val="hr-HR"/>
        </w:rPr>
      </w:pPr>
      <w:r w:rsidRPr="005E5EB1">
        <w:rPr>
          <w:lang w:val="hr-HR"/>
        </w:rPr>
        <w:lastRenderedPageBreak/>
        <w:t>A</w:t>
      </w:r>
      <w:r w:rsidRPr="005E5EB1">
        <w:rPr>
          <w:lang w:val="hr-HR"/>
        </w:rPr>
        <w:tab/>
        <w:t>FABRICANTE(S) DA(S) SUBSTÂNCIA(S) ATIVA(S) DE ORIGEM BIOLÓGICA E</w:t>
      </w:r>
      <w:bookmarkEnd w:id="51"/>
      <w:r w:rsidR="00AE6759" w:rsidRPr="005E5EB1">
        <w:rPr>
          <w:lang w:val="hr-HR"/>
        </w:rPr>
        <w:t xml:space="preserve"> </w:t>
      </w:r>
      <w:r w:rsidRPr="005E5EB1">
        <w:rPr>
          <w:lang w:val="hr-HR"/>
        </w:rPr>
        <w:t>FABRICANTE(S) RESPONSÁVEL(VEIS) PELA LIBERTAÇÃO DO LOTE</w:t>
      </w:r>
    </w:p>
    <w:p w14:paraId="6482B339" w14:textId="77777777" w:rsidR="00AE6759" w:rsidRPr="00110D6C" w:rsidRDefault="00AE6759" w:rsidP="00A17623">
      <w:pPr>
        <w:widowControl/>
        <w:rPr>
          <w:rFonts w:cs="Times New Roman"/>
          <w:color w:val="auto"/>
          <w:szCs w:val="22"/>
          <w:lang w:val="pt-PT"/>
        </w:rPr>
      </w:pPr>
    </w:p>
    <w:p w14:paraId="0522804E"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Nome e endereço do(s) fabricante(s) da(s) substância(s) ativa(s) de origem biológica</w:t>
      </w:r>
    </w:p>
    <w:p w14:paraId="17A0E7B6" w14:textId="77777777" w:rsidR="00AE6759" w:rsidRPr="00110D6C" w:rsidRDefault="00AE6759" w:rsidP="00A17623">
      <w:pPr>
        <w:widowControl/>
        <w:rPr>
          <w:rFonts w:cs="Times New Roman"/>
          <w:color w:val="auto"/>
          <w:szCs w:val="22"/>
          <w:lang w:val="pt-PT"/>
        </w:rPr>
      </w:pPr>
    </w:p>
    <w:p w14:paraId="406EEFBC" w14:textId="77777777" w:rsidR="003508E1" w:rsidRPr="00A9610F" w:rsidRDefault="003508E1" w:rsidP="003508E1">
      <w:pPr>
        <w:pStyle w:val="Textkrper"/>
        <w:rPr>
          <w:lang w:val="de-DE"/>
        </w:rPr>
      </w:pPr>
      <w:r w:rsidRPr="00A9610F">
        <w:rPr>
          <w:lang w:val="de-DE"/>
        </w:rPr>
        <w:t>Rentschler Biopharma SE</w:t>
      </w:r>
    </w:p>
    <w:p w14:paraId="7AEFE652" w14:textId="77777777" w:rsidR="003508E1" w:rsidRPr="00492A01" w:rsidRDefault="003508E1" w:rsidP="003508E1">
      <w:pPr>
        <w:pStyle w:val="Textkrper"/>
        <w:rPr>
          <w:lang w:val="pt-PT"/>
        </w:rPr>
      </w:pPr>
      <w:r w:rsidRPr="00A9610F">
        <w:rPr>
          <w:lang w:val="de-DE"/>
        </w:rPr>
        <w:t xml:space="preserve">Erwin-Rentschler-Str. </w:t>
      </w:r>
      <w:r w:rsidRPr="00492A01">
        <w:rPr>
          <w:lang w:val="pt-PT"/>
        </w:rPr>
        <w:t>21</w:t>
      </w:r>
    </w:p>
    <w:p w14:paraId="6063CEA0" w14:textId="77777777" w:rsidR="003508E1" w:rsidRPr="00492A01" w:rsidRDefault="003508E1" w:rsidP="003508E1">
      <w:pPr>
        <w:pStyle w:val="Textkrper"/>
        <w:rPr>
          <w:lang w:val="pt-PT"/>
        </w:rPr>
      </w:pPr>
      <w:r w:rsidRPr="00492A01">
        <w:rPr>
          <w:lang w:val="pt-PT"/>
        </w:rPr>
        <w:t>88471 Laupheim</w:t>
      </w:r>
    </w:p>
    <w:p w14:paraId="2F272A59" w14:textId="77777777" w:rsidR="003508E1" w:rsidRDefault="003508E1" w:rsidP="00A17623">
      <w:pPr>
        <w:widowControl/>
        <w:rPr>
          <w:rFonts w:cs="Times New Roman"/>
          <w:color w:val="auto"/>
          <w:szCs w:val="22"/>
          <w:lang w:val="pt-PT"/>
        </w:rPr>
      </w:pPr>
      <w:r>
        <w:rPr>
          <w:rFonts w:cs="Times New Roman"/>
          <w:color w:val="auto"/>
          <w:szCs w:val="22"/>
          <w:lang w:val="pt-PT"/>
        </w:rPr>
        <w:t>Alemanha</w:t>
      </w:r>
    </w:p>
    <w:p w14:paraId="7008B4FC" w14:textId="77777777" w:rsidR="00AE6759" w:rsidRPr="00110D6C" w:rsidRDefault="00AE6759" w:rsidP="00A17623">
      <w:pPr>
        <w:widowControl/>
        <w:rPr>
          <w:rFonts w:cs="Times New Roman"/>
          <w:color w:val="auto"/>
          <w:szCs w:val="22"/>
          <w:lang w:val="pt-PT"/>
        </w:rPr>
      </w:pPr>
    </w:p>
    <w:p w14:paraId="191411F3"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Nome e endereço do fabricante responsável pela libertação do lote:</w:t>
      </w:r>
    </w:p>
    <w:p w14:paraId="3201480F" w14:textId="77777777" w:rsidR="00AE6759" w:rsidRPr="00110D6C" w:rsidRDefault="00AE6759" w:rsidP="00A17623">
      <w:pPr>
        <w:widowControl/>
        <w:rPr>
          <w:rFonts w:cs="Times New Roman"/>
          <w:color w:val="auto"/>
          <w:szCs w:val="22"/>
          <w:lang w:val="pt-PT"/>
        </w:rPr>
      </w:pPr>
    </w:p>
    <w:p w14:paraId="0C47DDD5" w14:textId="77777777" w:rsidR="00EA3686" w:rsidRPr="0097727A" w:rsidRDefault="00EA3686" w:rsidP="00EA3686">
      <w:pPr>
        <w:rPr>
          <w:ins w:id="52" w:author="translator" w:date="2025-06-25T11:20:00Z"/>
          <w:lang w:val="pt-PT"/>
        </w:rPr>
      </w:pPr>
      <w:ins w:id="53" w:author="translator" w:date="2025-06-25T11:20:00Z">
        <w:r w:rsidRPr="0097727A">
          <w:rPr>
            <w:lang w:val="pt-PT"/>
          </w:rPr>
          <w:t>Formycon AG</w:t>
        </w:r>
      </w:ins>
    </w:p>
    <w:p w14:paraId="3C15E6A8" w14:textId="77777777" w:rsidR="00EA3686" w:rsidRPr="0097727A" w:rsidRDefault="00EA3686" w:rsidP="00EA3686">
      <w:pPr>
        <w:rPr>
          <w:ins w:id="54" w:author="translator" w:date="2025-06-25T11:20:00Z"/>
          <w:lang w:val="pt-PT"/>
        </w:rPr>
      </w:pPr>
      <w:ins w:id="55" w:author="translator" w:date="2025-06-25T11:20:00Z">
        <w:r w:rsidRPr="0097727A">
          <w:rPr>
            <w:lang w:val="pt-PT"/>
          </w:rPr>
          <w:t>Fraunhoferstraße 15</w:t>
        </w:r>
      </w:ins>
    </w:p>
    <w:p w14:paraId="2F3E904D" w14:textId="77777777" w:rsidR="00EA3686" w:rsidRPr="0097727A" w:rsidRDefault="00EA3686" w:rsidP="00EA3686">
      <w:pPr>
        <w:rPr>
          <w:ins w:id="56" w:author="translator" w:date="2025-06-25T11:20:00Z"/>
          <w:lang w:val="pt-PT"/>
        </w:rPr>
      </w:pPr>
      <w:ins w:id="57" w:author="translator" w:date="2025-06-25T11:20:00Z">
        <w:r w:rsidRPr="0097727A">
          <w:rPr>
            <w:lang w:val="pt-PT"/>
          </w:rPr>
          <w:t>82152 Martinsried/Planegg</w:t>
        </w:r>
      </w:ins>
    </w:p>
    <w:p w14:paraId="1CB3D5E0" w14:textId="78096EDD" w:rsidR="00EA3686" w:rsidRPr="0097727A" w:rsidRDefault="00EA3686" w:rsidP="0097727A">
      <w:pPr>
        <w:widowControl/>
        <w:rPr>
          <w:ins w:id="58" w:author="translator" w:date="2025-06-25T11:20:00Z"/>
          <w:rFonts w:cs="Times New Roman"/>
          <w:color w:val="auto"/>
          <w:szCs w:val="22"/>
          <w:lang w:val="pt-PT"/>
        </w:rPr>
      </w:pPr>
      <w:ins w:id="59" w:author="translator" w:date="2025-06-25T11:20:00Z">
        <w:r>
          <w:rPr>
            <w:rFonts w:cs="Times New Roman"/>
            <w:color w:val="auto"/>
            <w:szCs w:val="22"/>
            <w:lang w:val="pt-PT"/>
          </w:rPr>
          <w:t>Alemanha</w:t>
        </w:r>
      </w:ins>
    </w:p>
    <w:p w14:paraId="71955015" w14:textId="707D31C1" w:rsidR="003508E1" w:rsidRPr="00492A01" w:rsidDel="00EA3686" w:rsidRDefault="003508E1" w:rsidP="003508E1">
      <w:pPr>
        <w:rPr>
          <w:del w:id="60" w:author="translator" w:date="2025-06-25T11:20:00Z"/>
          <w:lang w:val="it-IT"/>
        </w:rPr>
      </w:pPr>
      <w:del w:id="61" w:author="translator" w:date="2025-06-25T11:20:00Z">
        <w:r w:rsidRPr="00492A01" w:rsidDel="00EA3686">
          <w:rPr>
            <w:lang w:val="it-IT"/>
          </w:rPr>
          <w:delText>Fresenius Kabi Austria GmbH</w:delText>
        </w:r>
      </w:del>
    </w:p>
    <w:p w14:paraId="082E18B1" w14:textId="7F9AD857" w:rsidR="003508E1" w:rsidRPr="00492A01" w:rsidDel="00EA3686" w:rsidRDefault="003508E1" w:rsidP="003508E1">
      <w:pPr>
        <w:rPr>
          <w:del w:id="62" w:author="translator" w:date="2025-06-25T11:20:00Z"/>
          <w:lang w:val="it-IT"/>
        </w:rPr>
      </w:pPr>
      <w:del w:id="63" w:author="translator" w:date="2025-06-25T11:20:00Z">
        <w:r w:rsidRPr="00492A01" w:rsidDel="00EA3686">
          <w:rPr>
            <w:lang w:val="it-IT"/>
          </w:rPr>
          <w:delText>Hafnerstraße 36</w:delText>
        </w:r>
      </w:del>
    </w:p>
    <w:p w14:paraId="6B75E76F" w14:textId="7B5BD002" w:rsidR="003508E1" w:rsidRPr="00A9610F" w:rsidDel="00EA3686" w:rsidRDefault="003508E1" w:rsidP="003508E1">
      <w:pPr>
        <w:rPr>
          <w:del w:id="64" w:author="translator" w:date="2025-06-25T11:20:00Z"/>
        </w:rPr>
      </w:pPr>
      <w:del w:id="65" w:author="translator" w:date="2025-06-25T11:20:00Z">
        <w:r w:rsidRPr="00A9610F" w:rsidDel="00EA3686">
          <w:delText>8055 Graz</w:delText>
        </w:r>
      </w:del>
    </w:p>
    <w:p w14:paraId="253C82D0" w14:textId="47214C81" w:rsidR="003508E1" w:rsidRPr="00492A01" w:rsidDel="00EA3686" w:rsidRDefault="003508E1" w:rsidP="003508E1">
      <w:pPr>
        <w:pStyle w:val="Textkrper"/>
        <w:rPr>
          <w:del w:id="66" w:author="translator" w:date="2025-06-25T11:20:00Z"/>
          <w:lang w:val="pt-PT"/>
        </w:rPr>
      </w:pPr>
      <w:del w:id="67" w:author="translator" w:date="2025-06-25T11:20:00Z">
        <w:r w:rsidRPr="00492A01" w:rsidDel="00EA3686">
          <w:rPr>
            <w:lang w:val="pt-PT"/>
          </w:rPr>
          <w:delText>Áustria</w:delText>
        </w:r>
      </w:del>
    </w:p>
    <w:p w14:paraId="2B86E6F1" w14:textId="77777777" w:rsidR="00AE6759" w:rsidRPr="00110D6C" w:rsidRDefault="00AE6759" w:rsidP="00A17623">
      <w:pPr>
        <w:widowControl/>
        <w:rPr>
          <w:rFonts w:cs="Times New Roman"/>
          <w:color w:val="auto"/>
          <w:szCs w:val="22"/>
          <w:lang w:val="pt-PT"/>
        </w:rPr>
      </w:pPr>
    </w:p>
    <w:p w14:paraId="71566FBC" w14:textId="77777777" w:rsidR="00AE6759" w:rsidRPr="00110D6C" w:rsidRDefault="00AE6759" w:rsidP="00A17623">
      <w:pPr>
        <w:widowControl/>
        <w:rPr>
          <w:rFonts w:cs="Times New Roman"/>
          <w:color w:val="auto"/>
          <w:szCs w:val="22"/>
          <w:lang w:val="pt-PT"/>
        </w:rPr>
      </w:pPr>
    </w:p>
    <w:p w14:paraId="1C096461" w14:textId="77777777" w:rsidR="0077031F" w:rsidRPr="00110D6C" w:rsidRDefault="00030085" w:rsidP="00EE0E3F">
      <w:pPr>
        <w:pStyle w:val="TitleB"/>
        <w:ind w:left="567" w:right="0" w:hanging="567"/>
        <w:outlineLvl w:val="0"/>
      </w:pPr>
      <w:bookmarkStart w:id="68" w:name="bookmark103"/>
      <w:r w:rsidRPr="00110D6C">
        <w:t>B.</w:t>
      </w:r>
      <w:r w:rsidRPr="00110D6C">
        <w:tab/>
        <w:t>CONDIÇÕES OU RESTRIÇÕES RELATIVAS AO FORNECIMENTO E UTILIZAÇÃO</w:t>
      </w:r>
      <w:bookmarkEnd w:id="68"/>
    </w:p>
    <w:p w14:paraId="2F5C9210" w14:textId="77777777" w:rsidR="00AE6759" w:rsidRPr="00110D6C" w:rsidRDefault="00AE6759" w:rsidP="00A17623">
      <w:pPr>
        <w:widowControl/>
        <w:rPr>
          <w:rFonts w:cs="Times New Roman"/>
          <w:color w:val="auto"/>
          <w:szCs w:val="22"/>
          <w:lang w:val="pt-PT"/>
        </w:rPr>
      </w:pPr>
    </w:p>
    <w:p w14:paraId="0D5C4BD4"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Medicamento de receita médica restrita, de utilização reservada a certos meios especializados (ver</w:t>
      </w:r>
      <w:r w:rsidR="008D3859" w:rsidRPr="00110D6C">
        <w:rPr>
          <w:rFonts w:cs="Times New Roman"/>
          <w:color w:val="auto"/>
          <w:szCs w:val="22"/>
          <w:lang w:val="pt-PT"/>
        </w:rPr>
        <w:t> </w:t>
      </w:r>
      <w:r w:rsidRPr="00110D6C">
        <w:rPr>
          <w:rFonts w:cs="Times New Roman"/>
          <w:color w:val="auto"/>
          <w:szCs w:val="22"/>
          <w:lang w:val="pt-PT"/>
        </w:rPr>
        <w:t>anexo</w:t>
      </w:r>
      <w:r w:rsidR="008D3859" w:rsidRPr="00110D6C">
        <w:rPr>
          <w:rFonts w:cs="Times New Roman"/>
          <w:color w:val="auto"/>
          <w:szCs w:val="22"/>
          <w:lang w:val="pt-PT"/>
        </w:rPr>
        <w:t> </w:t>
      </w:r>
      <w:r w:rsidRPr="00110D6C">
        <w:rPr>
          <w:rFonts w:cs="Times New Roman"/>
          <w:color w:val="auto"/>
          <w:szCs w:val="22"/>
          <w:lang w:val="pt-PT"/>
        </w:rPr>
        <w:t>I: Resumo das Características do Medicamento, secção</w:t>
      </w:r>
      <w:r w:rsidR="008D3859" w:rsidRPr="00110D6C">
        <w:rPr>
          <w:rFonts w:cs="Times New Roman"/>
          <w:color w:val="auto"/>
          <w:szCs w:val="22"/>
          <w:lang w:val="pt-PT"/>
        </w:rPr>
        <w:t> </w:t>
      </w:r>
      <w:r w:rsidRPr="00110D6C">
        <w:rPr>
          <w:rFonts w:cs="Times New Roman"/>
          <w:color w:val="auto"/>
          <w:szCs w:val="22"/>
          <w:lang w:val="pt-PT"/>
        </w:rPr>
        <w:t>4.2).</w:t>
      </w:r>
    </w:p>
    <w:p w14:paraId="28D5B997" w14:textId="77777777" w:rsidR="00AE6759" w:rsidRPr="00110D6C" w:rsidRDefault="00AE6759" w:rsidP="00A17623">
      <w:pPr>
        <w:widowControl/>
        <w:rPr>
          <w:rFonts w:cs="Times New Roman"/>
          <w:color w:val="auto"/>
          <w:szCs w:val="22"/>
          <w:lang w:val="pt-PT"/>
        </w:rPr>
      </w:pPr>
    </w:p>
    <w:p w14:paraId="2A3DAAD3" w14:textId="77777777" w:rsidR="00AE6759" w:rsidRPr="00110D6C" w:rsidRDefault="00AE6759" w:rsidP="00A17623">
      <w:pPr>
        <w:widowControl/>
        <w:rPr>
          <w:rFonts w:cs="Times New Roman"/>
          <w:color w:val="auto"/>
          <w:szCs w:val="22"/>
          <w:lang w:val="pt-PT"/>
        </w:rPr>
      </w:pPr>
    </w:p>
    <w:p w14:paraId="1ACF39BF" w14:textId="77777777" w:rsidR="0077031F" w:rsidRPr="00110D6C" w:rsidRDefault="00030085" w:rsidP="00EE0E3F">
      <w:pPr>
        <w:pStyle w:val="TitleB"/>
        <w:ind w:left="567" w:right="0" w:hanging="567"/>
        <w:outlineLvl w:val="0"/>
      </w:pPr>
      <w:r w:rsidRPr="00110D6C">
        <w:t>C.</w:t>
      </w:r>
      <w:r w:rsidRPr="00110D6C">
        <w:tab/>
        <w:t>OUTRAS CONDIÇÕES E REQUISITOS DA AUTORIZAÇÃO DE INTRODUÇÃO NO MERCADO</w:t>
      </w:r>
    </w:p>
    <w:p w14:paraId="1AE706BE" w14:textId="77777777" w:rsidR="00AE6759" w:rsidRPr="00110D6C" w:rsidRDefault="00AE6759" w:rsidP="00A17623">
      <w:pPr>
        <w:widowControl/>
        <w:rPr>
          <w:rFonts w:cs="Times New Roman"/>
          <w:color w:val="auto"/>
          <w:szCs w:val="22"/>
          <w:lang w:val="pt-PT"/>
        </w:rPr>
      </w:pPr>
      <w:bookmarkStart w:id="69" w:name="bookmark105"/>
    </w:p>
    <w:p w14:paraId="2BFA5CE6" w14:textId="77777777" w:rsidR="0077031F" w:rsidRPr="00110D6C" w:rsidRDefault="00030085" w:rsidP="00AE6759">
      <w:pPr>
        <w:pStyle w:val="Listenabsatz"/>
        <w:widowControl/>
        <w:numPr>
          <w:ilvl w:val="0"/>
          <w:numId w:val="1"/>
        </w:numPr>
        <w:ind w:left="567" w:hanging="567"/>
        <w:rPr>
          <w:rFonts w:cs="Times New Roman"/>
          <w:color w:val="auto"/>
          <w:szCs w:val="22"/>
          <w:lang w:val="pt-PT"/>
        </w:rPr>
      </w:pPr>
      <w:r w:rsidRPr="00110D6C">
        <w:rPr>
          <w:rFonts w:cs="Times New Roman"/>
          <w:b/>
          <w:bCs/>
          <w:color w:val="auto"/>
          <w:szCs w:val="22"/>
          <w:lang w:val="pt-PT"/>
        </w:rPr>
        <w:t>Relatórios periódicos de segurança (RPS)</w:t>
      </w:r>
      <w:bookmarkEnd w:id="69"/>
    </w:p>
    <w:p w14:paraId="3ECAAE09" w14:textId="77777777" w:rsidR="00AE6759" w:rsidRPr="00110D6C" w:rsidRDefault="00AE6759" w:rsidP="00A17623">
      <w:pPr>
        <w:widowControl/>
        <w:rPr>
          <w:rFonts w:cs="Times New Roman"/>
          <w:color w:val="auto"/>
          <w:szCs w:val="22"/>
          <w:lang w:val="pt-PT"/>
        </w:rPr>
      </w:pPr>
    </w:p>
    <w:p w14:paraId="008357E1"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Os requisitos para a apresentação de RPS para este medicamento são estabelecidos na lista Europeia de datas de referência (lista EURD), tal como previsto nos termos do n.º </w:t>
      </w:r>
      <w:r w:rsidR="00B910F9" w:rsidRPr="00110D6C">
        <w:rPr>
          <w:rFonts w:cs="Times New Roman"/>
          <w:color w:val="auto"/>
          <w:szCs w:val="22"/>
          <w:lang w:val="pt-PT"/>
        </w:rPr>
        <w:t>7 </w:t>
      </w:r>
      <w:r w:rsidRPr="00110D6C">
        <w:rPr>
          <w:rFonts w:cs="Times New Roman"/>
          <w:color w:val="auto"/>
          <w:szCs w:val="22"/>
          <w:lang w:val="pt-PT"/>
        </w:rPr>
        <w:t>do artigo 107.º-C da Diretiva 2001/83/CE e quaisquer atualizações subsequentes publicadas no portal europeu de medicamentos.</w:t>
      </w:r>
    </w:p>
    <w:p w14:paraId="49CF0697" w14:textId="77777777" w:rsidR="00AE6759" w:rsidRPr="00110D6C" w:rsidRDefault="00AE6759" w:rsidP="00A17623">
      <w:pPr>
        <w:widowControl/>
        <w:rPr>
          <w:rFonts w:cs="Times New Roman"/>
          <w:color w:val="auto"/>
          <w:szCs w:val="22"/>
          <w:lang w:val="pt-PT"/>
        </w:rPr>
      </w:pPr>
    </w:p>
    <w:p w14:paraId="263C9D02" w14:textId="77777777" w:rsidR="00AE6759" w:rsidRPr="00110D6C" w:rsidRDefault="00AE6759" w:rsidP="00A17623">
      <w:pPr>
        <w:widowControl/>
        <w:rPr>
          <w:rFonts w:cs="Times New Roman"/>
          <w:color w:val="auto"/>
          <w:szCs w:val="22"/>
          <w:lang w:val="pt-PT"/>
        </w:rPr>
      </w:pPr>
    </w:p>
    <w:p w14:paraId="7E6025F9" w14:textId="77777777" w:rsidR="0077031F" w:rsidRPr="00110D6C" w:rsidRDefault="00030085" w:rsidP="00EE0E3F">
      <w:pPr>
        <w:pStyle w:val="TitleB"/>
        <w:ind w:left="567" w:right="0" w:hanging="567"/>
        <w:outlineLvl w:val="0"/>
      </w:pPr>
      <w:r w:rsidRPr="00110D6C">
        <w:t>D.</w:t>
      </w:r>
      <w:r w:rsidRPr="00110D6C">
        <w:tab/>
        <w:t>CONDIÇÕES OU RESTRIÇÕES RELATIVAS À UTILIZAÇÃO SEGURA E EFICAZ DO MEDICAMENTO</w:t>
      </w:r>
    </w:p>
    <w:p w14:paraId="499DAFE7" w14:textId="77777777" w:rsidR="00287AC2" w:rsidRPr="00110D6C" w:rsidRDefault="00287AC2" w:rsidP="00287AC2">
      <w:pPr>
        <w:widowControl/>
        <w:rPr>
          <w:rFonts w:cs="Times New Roman"/>
          <w:color w:val="auto"/>
          <w:szCs w:val="22"/>
          <w:lang w:val="pt-PT"/>
        </w:rPr>
      </w:pPr>
    </w:p>
    <w:p w14:paraId="417200DE" w14:textId="77777777" w:rsidR="0077031F" w:rsidRPr="00110D6C" w:rsidRDefault="00030085" w:rsidP="00AE6759">
      <w:pPr>
        <w:pStyle w:val="Listenabsatz"/>
        <w:widowControl/>
        <w:numPr>
          <w:ilvl w:val="0"/>
          <w:numId w:val="1"/>
        </w:numPr>
        <w:ind w:left="567" w:hanging="567"/>
        <w:rPr>
          <w:rFonts w:cs="Times New Roman"/>
          <w:color w:val="auto"/>
          <w:szCs w:val="22"/>
          <w:lang w:val="pt-PT"/>
        </w:rPr>
      </w:pPr>
      <w:bookmarkStart w:id="70" w:name="bookmark107"/>
      <w:r w:rsidRPr="00110D6C">
        <w:rPr>
          <w:rFonts w:cs="Times New Roman"/>
          <w:b/>
          <w:bCs/>
          <w:color w:val="auto"/>
          <w:szCs w:val="22"/>
          <w:lang w:val="pt-PT"/>
        </w:rPr>
        <w:t>Plano de gestão do risco (PGR)</w:t>
      </w:r>
      <w:bookmarkEnd w:id="70"/>
    </w:p>
    <w:p w14:paraId="4D981738" w14:textId="77777777" w:rsidR="00287AC2" w:rsidRPr="00110D6C" w:rsidRDefault="00287AC2" w:rsidP="00A17623">
      <w:pPr>
        <w:widowControl/>
        <w:rPr>
          <w:rFonts w:cs="Times New Roman"/>
          <w:color w:val="auto"/>
          <w:szCs w:val="22"/>
          <w:lang w:val="pt-PT"/>
        </w:rPr>
      </w:pPr>
    </w:p>
    <w:p w14:paraId="5EBF9FA0"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O Titular da AIM deve efetuar as atividades e as intervenções de farmacovigilância requeridas e detalhadas no PGR apresentado no Módulo 1.8.2. da autorização de introdução no mercado, e quaisquer atualizações subsequentes do PGR que sejam acordadas.</w:t>
      </w:r>
    </w:p>
    <w:p w14:paraId="785BA69F" w14:textId="77777777" w:rsidR="00287AC2" w:rsidRPr="00110D6C" w:rsidRDefault="00287AC2" w:rsidP="00A17623">
      <w:pPr>
        <w:widowControl/>
        <w:rPr>
          <w:rFonts w:cs="Times New Roman"/>
          <w:color w:val="auto"/>
          <w:szCs w:val="22"/>
          <w:lang w:val="pt-PT"/>
        </w:rPr>
      </w:pPr>
    </w:p>
    <w:p w14:paraId="6F14185F"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Deve ser apresentado um PGR atualizado:</w:t>
      </w:r>
    </w:p>
    <w:p w14:paraId="70F7E307" w14:textId="77777777" w:rsidR="0077031F" w:rsidRPr="00110D6C" w:rsidRDefault="00030085" w:rsidP="00D74B6E">
      <w:pPr>
        <w:pStyle w:val="Listenabsatz"/>
        <w:widowControl/>
        <w:numPr>
          <w:ilvl w:val="0"/>
          <w:numId w:val="2"/>
        </w:numPr>
        <w:ind w:left="567" w:hanging="567"/>
        <w:rPr>
          <w:rFonts w:cs="Times New Roman"/>
          <w:color w:val="auto"/>
          <w:szCs w:val="22"/>
          <w:lang w:val="pt-PT"/>
        </w:rPr>
      </w:pPr>
      <w:r w:rsidRPr="00110D6C">
        <w:rPr>
          <w:rFonts w:cs="Times New Roman"/>
          <w:color w:val="auto"/>
          <w:szCs w:val="22"/>
          <w:lang w:val="pt-PT"/>
        </w:rPr>
        <w:t>A pedido da Agência Europeia de Medicamentos</w:t>
      </w:r>
    </w:p>
    <w:p w14:paraId="70CD80BF" w14:textId="77777777" w:rsidR="0077031F" w:rsidRPr="00110D6C" w:rsidRDefault="00030085" w:rsidP="00D74B6E">
      <w:pPr>
        <w:pStyle w:val="Listenabsatz"/>
        <w:widowControl/>
        <w:numPr>
          <w:ilvl w:val="0"/>
          <w:numId w:val="2"/>
        </w:numPr>
        <w:ind w:left="567" w:hanging="567"/>
        <w:rPr>
          <w:rFonts w:cs="Times New Roman"/>
          <w:color w:val="auto"/>
          <w:szCs w:val="22"/>
          <w:lang w:val="pt-PT"/>
        </w:rPr>
      </w:pPr>
      <w:r w:rsidRPr="00110D6C">
        <w:rPr>
          <w:rFonts w:cs="Times New Roman"/>
          <w:color w:val="auto"/>
          <w:szCs w:val="22"/>
          <w:lang w:val="pt-PT"/>
        </w:rPr>
        <w:t>Sempre que o sistema de gestão do risco for modificado, especialmente como resultado da</w:t>
      </w:r>
      <w:r w:rsidR="00287AC2" w:rsidRPr="00110D6C">
        <w:rPr>
          <w:rFonts w:cs="Times New Roman"/>
          <w:color w:val="auto"/>
          <w:szCs w:val="22"/>
          <w:lang w:val="pt-PT"/>
        </w:rPr>
        <w:t xml:space="preserve"> </w:t>
      </w:r>
      <w:r w:rsidRPr="00110D6C">
        <w:rPr>
          <w:rFonts w:cs="Times New Roman"/>
          <w:color w:val="auto"/>
          <w:szCs w:val="22"/>
          <w:lang w:val="pt-PT"/>
        </w:rPr>
        <w:t>receção de nova informação que possa levar a alterações significativas no perfil benefício-risco ou como resultado de ter sido atingido um objetivo importante (farmacovigilância ou minimização do risco).</w:t>
      </w:r>
    </w:p>
    <w:p w14:paraId="16D10D4F" w14:textId="77777777" w:rsidR="00287AC2" w:rsidRPr="00110D6C" w:rsidRDefault="00287AC2">
      <w:pPr>
        <w:rPr>
          <w:rFonts w:cs="Times New Roman"/>
          <w:bCs/>
          <w:color w:val="auto"/>
          <w:szCs w:val="22"/>
          <w:lang w:val="pt-PT"/>
        </w:rPr>
      </w:pPr>
      <w:r w:rsidRPr="00110D6C">
        <w:rPr>
          <w:rFonts w:cs="Times New Roman"/>
          <w:b/>
          <w:bCs/>
          <w:color w:val="auto"/>
          <w:szCs w:val="22"/>
          <w:lang w:val="pt-PT"/>
        </w:rPr>
        <w:br w:type="page"/>
      </w:r>
    </w:p>
    <w:p w14:paraId="000CBF17" w14:textId="77777777" w:rsidR="003508E1" w:rsidRPr="00412450" w:rsidRDefault="003508E1" w:rsidP="003508E1">
      <w:pPr>
        <w:rPr>
          <w:noProof/>
          <w:szCs w:val="22"/>
        </w:rPr>
      </w:pPr>
    </w:p>
    <w:p w14:paraId="040B7B20" w14:textId="77777777" w:rsidR="003508E1" w:rsidRPr="00A40FDA" w:rsidRDefault="003508E1" w:rsidP="003508E1"/>
    <w:p w14:paraId="477F1CB8" w14:textId="77777777" w:rsidR="003508E1" w:rsidRPr="00A40FDA" w:rsidRDefault="003508E1" w:rsidP="003508E1"/>
    <w:p w14:paraId="727D98C6" w14:textId="77777777" w:rsidR="003508E1" w:rsidRPr="00A40FDA" w:rsidRDefault="003508E1" w:rsidP="003508E1"/>
    <w:p w14:paraId="575ADB11" w14:textId="77777777" w:rsidR="003508E1" w:rsidRPr="00A40FDA" w:rsidRDefault="003508E1" w:rsidP="003508E1"/>
    <w:p w14:paraId="5392EDD2" w14:textId="77777777" w:rsidR="003508E1" w:rsidRPr="00A40FDA" w:rsidRDefault="003508E1" w:rsidP="003508E1"/>
    <w:p w14:paraId="46BA788A" w14:textId="77777777" w:rsidR="003508E1" w:rsidRPr="00A40FDA" w:rsidRDefault="003508E1" w:rsidP="003508E1"/>
    <w:p w14:paraId="7AAF2B82" w14:textId="77777777" w:rsidR="003508E1" w:rsidRPr="00A40FDA" w:rsidRDefault="003508E1" w:rsidP="003508E1"/>
    <w:p w14:paraId="2D251137" w14:textId="77777777" w:rsidR="003508E1" w:rsidRPr="00A40FDA" w:rsidRDefault="003508E1" w:rsidP="003508E1"/>
    <w:p w14:paraId="02122F8B" w14:textId="77777777" w:rsidR="003508E1" w:rsidRPr="00A40FDA" w:rsidRDefault="003508E1" w:rsidP="003508E1"/>
    <w:p w14:paraId="0EB6A2B1" w14:textId="77777777" w:rsidR="003508E1" w:rsidRPr="00A40FDA" w:rsidRDefault="003508E1" w:rsidP="003508E1"/>
    <w:p w14:paraId="0F8C26D0" w14:textId="77777777" w:rsidR="003508E1" w:rsidRPr="00A40FDA" w:rsidRDefault="003508E1" w:rsidP="003508E1"/>
    <w:p w14:paraId="0EB9C11F" w14:textId="77777777" w:rsidR="003508E1" w:rsidRPr="00A40FDA" w:rsidRDefault="003508E1" w:rsidP="003508E1"/>
    <w:p w14:paraId="073287A6" w14:textId="77777777" w:rsidR="003508E1" w:rsidRPr="00A40FDA" w:rsidRDefault="003508E1" w:rsidP="003508E1"/>
    <w:p w14:paraId="388AA66D" w14:textId="77777777" w:rsidR="003508E1" w:rsidRPr="00A40FDA" w:rsidRDefault="003508E1" w:rsidP="003508E1"/>
    <w:p w14:paraId="3A1F6323" w14:textId="77777777" w:rsidR="003508E1" w:rsidRPr="00A40FDA" w:rsidRDefault="003508E1" w:rsidP="003508E1"/>
    <w:p w14:paraId="612B10C0" w14:textId="77777777" w:rsidR="003508E1" w:rsidRPr="006B4557" w:rsidRDefault="003508E1" w:rsidP="00EE0E3F">
      <w:pPr>
        <w:rPr>
          <w:b/>
          <w:noProof/>
          <w:szCs w:val="22"/>
        </w:rPr>
      </w:pPr>
    </w:p>
    <w:p w14:paraId="4C2E8A30" w14:textId="77777777" w:rsidR="003508E1" w:rsidRPr="006B4557" w:rsidRDefault="003508E1" w:rsidP="00EE0E3F">
      <w:pPr>
        <w:rPr>
          <w:b/>
          <w:noProof/>
          <w:szCs w:val="22"/>
        </w:rPr>
      </w:pPr>
    </w:p>
    <w:p w14:paraId="3078379E" w14:textId="77777777" w:rsidR="003508E1" w:rsidRPr="006B4557" w:rsidRDefault="003508E1" w:rsidP="00EE0E3F">
      <w:pPr>
        <w:rPr>
          <w:b/>
          <w:noProof/>
          <w:szCs w:val="22"/>
        </w:rPr>
      </w:pPr>
    </w:p>
    <w:p w14:paraId="0EFA7C9F" w14:textId="77777777" w:rsidR="003508E1" w:rsidRPr="006B4557" w:rsidRDefault="003508E1" w:rsidP="00EE0E3F">
      <w:pPr>
        <w:rPr>
          <w:b/>
          <w:noProof/>
          <w:szCs w:val="22"/>
        </w:rPr>
      </w:pPr>
    </w:p>
    <w:p w14:paraId="3A8B9988" w14:textId="77777777" w:rsidR="003508E1" w:rsidRPr="006B4557" w:rsidRDefault="003508E1" w:rsidP="00EE0E3F">
      <w:pPr>
        <w:rPr>
          <w:b/>
          <w:noProof/>
          <w:szCs w:val="22"/>
        </w:rPr>
      </w:pPr>
    </w:p>
    <w:p w14:paraId="188DD1F9" w14:textId="77777777" w:rsidR="003508E1" w:rsidRDefault="003508E1" w:rsidP="00EE0E3F">
      <w:pPr>
        <w:rPr>
          <w:b/>
          <w:noProof/>
        </w:rPr>
      </w:pPr>
    </w:p>
    <w:p w14:paraId="13BCEF96" w14:textId="77777777" w:rsidR="003508E1" w:rsidRDefault="003508E1" w:rsidP="00EE0E3F">
      <w:pPr>
        <w:rPr>
          <w:b/>
          <w:noProof/>
        </w:rPr>
      </w:pPr>
    </w:p>
    <w:p w14:paraId="524014D3" w14:textId="77777777" w:rsidR="003508E1" w:rsidRPr="006B4557" w:rsidRDefault="003508E1" w:rsidP="00EE0E3F">
      <w:pPr>
        <w:jc w:val="center"/>
        <w:rPr>
          <w:b/>
          <w:noProof/>
          <w:szCs w:val="22"/>
        </w:rPr>
      </w:pPr>
      <w:r>
        <w:rPr>
          <w:b/>
          <w:noProof/>
        </w:rPr>
        <w:t>ANEXO III</w:t>
      </w:r>
    </w:p>
    <w:p w14:paraId="7F6BB97E" w14:textId="77777777" w:rsidR="003508E1" w:rsidRPr="006B4557" w:rsidRDefault="003508E1" w:rsidP="003508E1">
      <w:pPr>
        <w:jc w:val="center"/>
        <w:rPr>
          <w:b/>
          <w:noProof/>
          <w:szCs w:val="22"/>
        </w:rPr>
      </w:pPr>
    </w:p>
    <w:p w14:paraId="62B8049E" w14:textId="241E6ACA" w:rsidR="003508E1" w:rsidRDefault="003508E1" w:rsidP="00EE0E3F">
      <w:pPr>
        <w:jc w:val="center"/>
        <w:rPr>
          <w:b/>
          <w:noProof/>
        </w:rPr>
      </w:pPr>
      <w:r>
        <w:rPr>
          <w:b/>
          <w:noProof/>
        </w:rPr>
        <w:t>ROTULAGEM E FOLHETO INFORMATIVO</w:t>
      </w:r>
    </w:p>
    <w:p w14:paraId="3DF38F9D" w14:textId="77777777" w:rsidR="003508E1" w:rsidRDefault="003508E1">
      <w:pPr>
        <w:rPr>
          <w:b/>
          <w:noProof/>
        </w:rPr>
      </w:pPr>
      <w:r>
        <w:rPr>
          <w:b/>
          <w:noProof/>
        </w:rPr>
        <w:br w:type="page"/>
      </w:r>
    </w:p>
    <w:p w14:paraId="37DFE9F0" w14:textId="77777777" w:rsidR="003508E1" w:rsidRPr="006B4557" w:rsidRDefault="003508E1" w:rsidP="00EE0E3F">
      <w:pPr>
        <w:jc w:val="center"/>
        <w:rPr>
          <w:b/>
          <w:noProof/>
          <w:szCs w:val="22"/>
        </w:rPr>
      </w:pPr>
    </w:p>
    <w:p w14:paraId="6CF85528" w14:textId="77777777" w:rsidR="00287AC2" w:rsidRPr="00110D6C" w:rsidRDefault="00287AC2" w:rsidP="00287AC2">
      <w:pPr>
        <w:jc w:val="center"/>
        <w:rPr>
          <w:rFonts w:cs="Times New Roman"/>
          <w:color w:val="auto"/>
          <w:lang w:val="pt-PT"/>
        </w:rPr>
      </w:pPr>
    </w:p>
    <w:p w14:paraId="0DE7C7FC" w14:textId="77777777" w:rsidR="00287AC2" w:rsidRPr="00110D6C" w:rsidRDefault="00287AC2" w:rsidP="00287AC2">
      <w:pPr>
        <w:jc w:val="center"/>
        <w:rPr>
          <w:rFonts w:cs="Times New Roman"/>
          <w:color w:val="auto"/>
          <w:lang w:val="pt-PT"/>
        </w:rPr>
      </w:pPr>
    </w:p>
    <w:p w14:paraId="0FEFCA1E" w14:textId="77777777" w:rsidR="00287AC2" w:rsidRPr="00110D6C" w:rsidRDefault="00287AC2" w:rsidP="00287AC2">
      <w:pPr>
        <w:jc w:val="center"/>
        <w:rPr>
          <w:rFonts w:cs="Times New Roman"/>
          <w:color w:val="auto"/>
          <w:lang w:val="pt-PT"/>
        </w:rPr>
      </w:pPr>
    </w:p>
    <w:p w14:paraId="7D29A3E2" w14:textId="77777777" w:rsidR="00287AC2" w:rsidRPr="00110D6C" w:rsidRDefault="00287AC2" w:rsidP="00287AC2">
      <w:pPr>
        <w:jc w:val="center"/>
        <w:rPr>
          <w:rFonts w:cs="Times New Roman"/>
          <w:color w:val="auto"/>
          <w:lang w:val="pt-PT"/>
        </w:rPr>
      </w:pPr>
    </w:p>
    <w:p w14:paraId="4180FDC7" w14:textId="77777777" w:rsidR="00287AC2" w:rsidRPr="00110D6C" w:rsidRDefault="00287AC2" w:rsidP="00287AC2">
      <w:pPr>
        <w:jc w:val="center"/>
        <w:rPr>
          <w:rFonts w:cs="Times New Roman"/>
          <w:color w:val="auto"/>
          <w:lang w:val="pt-PT"/>
        </w:rPr>
      </w:pPr>
    </w:p>
    <w:p w14:paraId="0C948BB2" w14:textId="77777777" w:rsidR="00287AC2" w:rsidRPr="00110D6C" w:rsidRDefault="00287AC2" w:rsidP="00287AC2">
      <w:pPr>
        <w:jc w:val="center"/>
        <w:rPr>
          <w:rFonts w:cs="Times New Roman"/>
          <w:color w:val="auto"/>
          <w:lang w:val="pt-PT"/>
        </w:rPr>
      </w:pPr>
    </w:p>
    <w:p w14:paraId="39BFDB52" w14:textId="77777777" w:rsidR="00287AC2" w:rsidRPr="00110D6C" w:rsidRDefault="00287AC2" w:rsidP="00287AC2">
      <w:pPr>
        <w:jc w:val="center"/>
        <w:rPr>
          <w:rFonts w:cs="Times New Roman"/>
          <w:color w:val="auto"/>
          <w:lang w:val="pt-PT"/>
        </w:rPr>
      </w:pPr>
    </w:p>
    <w:p w14:paraId="104DA059" w14:textId="77777777" w:rsidR="00287AC2" w:rsidRPr="00110D6C" w:rsidRDefault="00287AC2" w:rsidP="00287AC2">
      <w:pPr>
        <w:jc w:val="center"/>
        <w:rPr>
          <w:rFonts w:cs="Times New Roman"/>
          <w:color w:val="auto"/>
          <w:lang w:val="pt-PT"/>
        </w:rPr>
      </w:pPr>
    </w:p>
    <w:p w14:paraId="0D0D3BB8" w14:textId="77777777" w:rsidR="00287AC2" w:rsidRPr="00110D6C" w:rsidRDefault="00287AC2" w:rsidP="00287AC2">
      <w:pPr>
        <w:jc w:val="center"/>
        <w:rPr>
          <w:rFonts w:cs="Times New Roman"/>
          <w:color w:val="auto"/>
          <w:lang w:val="pt-PT"/>
        </w:rPr>
      </w:pPr>
    </w:p>
    <w:p w14:paraId="4FB8BCF6" w14:textId="77777777" w:rsidR="00287AC2" w:rsidRPr="00110D6C" w:rsidRDefault="00287AC2" w:rsidP="00287AC2">
      <w:pPr>
        <w:jc w:val="center"/>
        <w:rPr>
          <w:rFonts w:cs="Times New Roman"/>
          <w:color w:val="auto"/>
          <w:lang w:val="pt-PT"/>
        </w:rPr>
      </w:pPr>
    </w:p>
    <w:p w14:paraId="7D360F44" w14:textId="77777777" w:rsidR="00287AC2" w:rsidRPr="00110D6C" w:rsidRDefault="00287AC2" w:rsidP="00287AC2">
      <w:pPr>
        <w:jc w:val="center"/>
        <w:rPr>
          <w:rFonts w:cs="Times New Roman"/>
          <w:color w:val="auto"/>
          <w:lang w:val="pt-PT"/>
        </w:rPr>
      </w:pPr>
    </w:p>
    <w:p w14:paraId="1DF4A51B" w14:textId="77777777" w:rsidR="00287AC2" w:rsidRPr="00110D6C" w:rsidRDefault="00287AC2" w:rsidP="00287AC2">
      <w:pPr>
        <w:jc w:val="center"/>
        <w:rPr>
          <w:rFonts w:cs="Times New Roman"/>
          <w:color w:val="auto"/>
          <w:lang w:val="pt-PT"/>
        </w:rPr>
      </w:pPr>
    </w:p>
    <w:p w14:paraId="4D6ECAF5" w14:textId="77777777" w:rsidR="00287AC2" w:rsidRPr="00110D6C" w:rsidRDefault="00287AC2" w:rsidP="00287AC2">
      <w:pPr>
        <w:jc w:val="center"/>
        <w:rPr>
          <w:rFonts w:cs="Times New Roman"/>
          <w:color w:val="auto"/>
          <w:lang w:val="pt-PT"/>
        </w:rPr>
      </w:pPr>
    </w:p>
    <w:p w14:paraId="2E6D0427" w14:textId="77777777" w:rsidR="00287AC2" w:rsidRPr="00110D6C" w:rsidRDefault="00287AC2" w:rsidP="00287AC2">
      <w:pPr>
        <w:jc w:val="center"/>
        <w:rPr>
          <w:rFonts w:cs="Times New Roman"/>
          <w:color w:val="auto"/>
          <w:lang w:val="pt-PT"/>
        </w:rPr>
      </w:pPr>
    </w:p>
    <w:p w14:paraId="27451C45" w14:textId="77777777" w:rsidR="00287AC2" w:rsidRPr="00110D6C" w:rsidRDefault="00287AC2" w:rsidP="00287AC2">
      <w:pPr>
        <w:jc w:val="center"/>
        <w:rPr>
          <w:rFonts w:cs="Times New Roman"/>
          <w:color w:val="auto"/>
          <w:lang w:val="pt-PT"/>
        </w:rPr>
      </w:pPr>
    </w:p>
    <w:p w14:paraId="215A3D37" w14:textId="77777777" w:rsidR="00287AC2" w:rsidRPr="00110D6C" w:rsidRDefault="00287AC2" w:rsidP="00287AC2">
      <w:pPr>
        <w:jc w:val="center"/>
        <w:rPr>
          <w:rFonts w:cs="Times New Roman"/>
          <w:color w:val="auto"/>
          <w:lang w:val="pt-PT"/>
        </w:rPr>
      </w:pPr>
    </w:p>
    <w:p w14:paraId="1DEB18A9" w14:textId="77777777" w:rsidR="00287AC2" w:rsidRPr="00110D6C" w:rsidRDefault="00287AC2" w:rsidP="00287AC2">
      <w:pPr>
        <w:jc w:val="center"/>
        <w:rPr>
          <w:rFonts w:cs="Times New Roman"/>
          <w:color w:val="auto"/>
          <w:lang w:val="pt-PT"/>
        </w:rPr>
      </w:pPr>
    </w:p>
    <w:p w14:paraId="5F1DCF47" w14:textId="77777777" w:rsidR="00287AC2" w:rsidRPr="00110D6C" w:rsidRDefault="00287AC2" w:rsidP="00287AC2">
      <w:pPr>
        <w:jc w:val="center"/>
        <w:rPr>
          <w:rFonts w:cs="Times New Roman"/>
          <w:color w:val="auto"/>
          <w:lang w:val="pt-PT"/>
        </w:rPr>
      </w:pPr>
    </w:p>
    <w:p w14:paraId="15A5C65D" w14:textId="77777777" w:rsidR="00287AC2" w:rsidRPr="00110D6C" w:rsidRDefault="00287AC2" w:rsidP="00287AC2">
      <w:pPr>
        <w:jc w:val="center"/>
        <w:rPr>
          <w:rFonts w:cs="Times New Roman"/>
          <w:color w:val="auto"/>
          <w:lang w:val="pt-PT"/>
        </w:rPr>
      </w:pPr>
    </w:p>
    <w:p w14:paraId="13B7A306" w14:textId="77777777" w:rsidR="00287AC2" w:rsidRPr="00110D6C" w:rsidRDefault="00287AC2" w:rsidP="00287AC2">
      <w:pPr>
        <w:jc w:val="center"/>
        <w:rPr>
          <w:rFonts w:cs="Times New Roman"/>
          <w:color w:val="auto"/>
          <w:lang w:val="pt-PT"/>
        </w:rPr>
      </w:pPr>
    </w:p>
    <w:p w14:paraId="06F5CA5E" w14:textId="77777777" w:rsidR="00287AC2" w:rsidRPr="00110D6C" w:rsidRDefault="00287AC2" w:rsidP="00287AC2">
      <w:pPr>
        <w:jc w:val="center"/>
        <w:rPr>
          <w:rFonts w:cs="Times New Roman"/>
          <w:color w:val="auto"/>
          <w:lang w:val="pt-PT"/>
        </w:rPr>
      </w:pPr>
    </w:p>
    <w:p w14:paraId="1E611992" w14:textId="77777777" w:rsidR="00287AC2" w:rsidRPr="00110D6C" w:rsidRDefault="00287AC2" w:rsidP="00287AC2">
      <w:pPr>
        <w:jc w:val="center"/>
        <w:rPr>
          <w:rFonts w:cs="Times New Roman"/>
          <w:color w:val="auto"/>
          <w:lang w:val="pt-PT"/>
        </w:rPr>
      </w:pPr>
    </w:p>
    <w:p w14:paraId="0E1EA9F8" w14:textId="77777777" w:rsidR="00287AC2" w:rsidRPr="00110D6C" w:rsidRDefault="00287AC2" w:rsidP="00287AC2">
      <w:pPr>
        <w:jc w:val="center"/>
        <w:rPr>
          <w:rFonts w:cs="Times New Roman"/>
          <w:color w:val="auto"/>
          <w:lang w:val="pt-PT"/>
        </w:rPr>
      </w:pPr>
    </w:p>
    <w:p w14:paraId="496B3DD9" w14:textId="77777777" w:rsidR="0077031F" w:rsidRPr="00110D6C" w:rsidRDefault="00030085" w:rsidP="001763E6">
      <w:pPr>
        <w:pStyle w:val="TitleA"/>
      </w:pPr>
      <w:r w:rsidRPr="00110D6C">
        <w:t>A. ROTULAGEM</w:t>
      </w:r>
    </w:p>
    <w:p w14:paraId="323094DC" w14:textId="77777777" w:rsidR="00287AC2" w:rsidRPr="00110D6C" w:rsidRDefault="00287AC2">
      <w:pPr>
        <w:rPr>
          <w:rFonts w:cs="Times New Roman"/>
          <w:bCs/>
          <w:color w:val="auto"/>
          <w:szCs w:val="22"/>
          <w:lang w:val="pt-PT"/>
        </w:rPr>
      </w:pPr>
      <w:r w:rsidRPr="00110D6C">
        <w:rPr>
          <w:rFonts w:cs="Times New Roman"/>
          <w:b/>
          <w:bCs/>
          <w:color w:val="auto"/>
          <w:szCs w:val="22"/>
          <w:lang w:val="pt-PT"/>
        </w:rPr>
        <w:br w:type="page"/>
      </w:r>
    </w:p>
    <w:p w14:paraId="0CCB8C66" w14:textId="77777777" w:rsidR="0077031F" w:rsidRPr="00110D6C" w:rsidRDefault="00030085" w:rsidP="004D7229">
      <w:pPr>
        <w:widowControl/>
        <w:pBdr>
          <w:top w:val="single" w:sz="4" w:space="1" w:color="auto"/>
          <w:left w:val="single" w:sz="4" w:space="4" w:color="auto"/>
          <w:bottom w:val="single" w:sz="4" w:space="1" w:color="auto"/>
          <w:right w:val="single" w:sz="4" w:space="4" w:color="auto"/>
        </w:pBdr>
        <w:rPr>
          <w:rFonts w:cs="Times New Roman"/>
          <w:color w:val="auto"/>
          <w:szCs w:val="22"/>
          <w:lang w:val="pt-PT"/>
        </w:rPr>
      </w:pPr>
      <w:r w:rsidRPr="00110D6C">
        <w:rPr>
          <w:rFonts w:cs="Times New Roman"/>
          <w:b/>
          <w:bCs/>
          <w:color w:val="auto"/>
          <w:szCs w:val="22"/>
          <w:lang w:val="pt-PT"/>
        </w:rPr>
        <w:lastRenderedPageBreak/>
        <w:t>INDICAÇÕES A INCLUIR NO ACONDICIONAMENTO SECUNDÁRIO</w:t>
      </w:r>
    </w:p>
    <w:p w14:paraId="77D5DBAD" w14:textId="77777777" w:rsidR="00287AC2" w:rsidRPr="00110D6C" w:rsidRDefault="00287AC2" w:rsidP="004D7229">
      <w:pPr>
        <w:widowControl/>
        <w:pBdr>
          <w:top w:val="single" w:sz="4" w:space="1" w:color="auto"/>
          <w:left w:val="single" w:sz="4" w:space="4" w:color="auto"/>
          <w:bottom w:val="single" w:sz="4" w:space="1" w:color="auto"/>
          <w:right w:val="single" w:sz="4" w:space="4" w:color="auto"/>
        </w:pBdr>
        <w:rPr>
          <w:rFonts w:cs="Times New Roman"/>
          <w:bCs/>
          <w:color w:val="auto"/>
          <w:szCs w:val="22"/>
          <w:lang w:val="pt-PT"/>
        </w:rPr>
      </w:pPr>
    </w:p>
    <w:p w14:paraId="625965A5" w14:textId="77777777" w:rsidR="0077031F" w:rsidRPr="00110D6C" w:rsidRDefault="00030085" w:rsidP="004D7229">
      <w:pPr>
        <w:widowControl/>
        <w:pBdr>
          <w:top w:val="single" w:sz="4" w:space="1" w:color="auto"/>
          <w:left w:val="single" w:sz="4" w:space="4" w:color="auto"/>
          <w:bottom w:val="single" w:sz="4" w:space="1" w:color="auto"/>
          <w:right w:val="single" w:sz="4" w:space="4" w:color="auto"/>
        </w:pBdr>
        <w:rPr>
          <w:rFonts w:cs="Times New Roman"/>
          <w:b/>
          <w:bCs/>
          <w:color w:val="auto"/>
          <w:szCs w:val="22"/>
          <w:lang w:val="pt-PT"/>
        </w:rPr>
      </w:pPr>
      <w:r w:rsidRPr="00110D6C">
        <w:rPr>
          <w:rFonts w:cs="Times New Roman"/>
          <w:b/>
          <w:bCs/>
          <w:color w:val="auto"/>
          <w:szCs w:val="22"/>
          <w:lang w:val="pt-PT"/>
        </w:rPr>
        <w:t>EMBALAGEM EXTERIOR (13</w:t>
      </w:r>
      <w:r w:rsidR="00B910F9" w:rsidRPr="00110D6C">
        <w:rPr>
          <w:rFonts w:cs="Times New Roman"/>
          <w:b/>
          <w:bCs/>
          <w:color w:val="auto"/>
          <w:szCs w:val="22"/>
          <w:lang w:val="pt-PT"/>
        </w:rPr>
        <w:t>0 </w:t>
      </w:r>
      <w:r w:rsidRPr="00110D6C">
        <w:rPr>
          <w:rFonts w:cs="Times New Roman"/>
          <w:b/>
          <w:bCs/>
          <w:color w:val="auto"/>
          <w:szCs w:val="22"/>
          <w:lang w:val="pt-PT"/>
        </w:rPr>
        <w:t>mg)</w:t>
      </w:r>
    </w:p>
    <w:p w14:paraId="1A9D5711" w14:textId="77777777" w:rsidR="00287AC2" w:rsidRPr="00110D6C" w:rsidRDefault="00287AC2" w:rsidP="00A17623">
      <w:pPr>
        <w:widowControl/>
        <w:rPr>
          <w:rFonts w:cs="Times New Roman"/>
          <w:bCs/>
          <w:color w:val="auto"/>
          <w:szCs w:val="22"/>
          <w:lang w:val="pt-PT"/>
        </w:rPr>
      </w:pPr>
    </w:p>
    <w:p w14:paraId="2121DEC6" w14:textId="77777777" w:rsidR="00287AC2" w:rsidRPr="00110D6C" w:rsidRDefault="00287AC2" w:rsidP="00A17623">
      <w:pPr>
        <w:widowControl/>
        <w:rPr>
          <w:rFonts w:cs="Times New Roman"/>
          <w:color w:val="auto"/>
          <w:szCs w:val="22"/>
          <w:lang w:val="pt-PT"/>
        </w:rPr>
      </w:pPr>
    </w:p>
    <w:p w14:paraId="2B6C233A" w14:textId="77777777" w:rsidR="0077031F" w:rsidRPr="00110D6C" w:rsidRDefault="00DC3C01"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bookmarkStart w:id="71" w:name="bookmark109"/>
      <w:r w:rsidRPr="00110D6C">
        <w:rPr>
          <w:rFonts w:cs="Times New Roman"/>
          <w:b/>
          <w:bCs/>
          <w:color w:val="auto"/>
          <w:szCs w:val="22"/>
          <w:lang w:val="pt-PT"/>
        </w:rPr>
        <w:t>1.</w:t>
      </w:r>
      <w:r w:rsidRPr="00110D6C">
        <w:rPr>
          <w:rFonts w:cs="Times New Roman"/>
          <w:b/>
          <w:bCs/>
          <w:color w:val="auto"/>
          <w:szCs w:val="22"/>
          <w:lang w:val="pt-PT"/>
        </w:rPr>
        <w:tab/>
      </w:r>
      <w:r w:rsidR="00030085" w:rsidRPr="00110D6C">
        <w:rPr>
          <w:rFonts w:cs="Times New Roman"/>
          <w:b/>
          <w:bCs/>
          <w:color w:val="auto"/>
          <w:szCs w:val="22"/>
          <w:lang w:val="pt-PT"/>
        </w:rPr>
        <w:t>NOME DO MEDICAMENTO</w:t>
      </w:r>
      <w:bookmarkEnd w:id="71"/>
    </w:p>
    <w:p w14:paraId="6E9044FB" w14:textId="77777777" w:rsidR="004D7229" w:rsidRPr="00110D6C" w:rsidRDefault="004D7229" w:rsidP="00A17623">
      <w:pPr>
        <w:widowControl/>
        <w:rPr>
          <w:rFonts w:cs="Times New Roman"/>
          <w:color w:val="auto"/>
          <w:szCs w:val="22"/>
          <w:lang w:val="pt-PT"/>
        </w:rPr>
      </w:pPr>
    </w:p>
    <w:p w14:paraId="2FB33404" w14:textId="42FBBEBF" w:rsidR="004D7229" w:rsidRPr="00110D6C" w:rsidRDefault="00D05FE6" w:rsidP="004D7229">
      <w:pPr>
        <w:widowControl/>
        <w:rPr>
          <w:rFonts w:cs="Times New Roman"/>
          <w:color w:val="auto"/>
          <w:szCs w:val="22"/>
          <w:lang w:val="pt-PT"/>
        </w:rPr>
      </w:pPr>
      <w:r w:rsidRPr="00110D6C">
        <w:rPr>
          <w:rFonts w:cs="Times New Roman"/>
          <w:color w:val="auto"/>
          <w:szCs w:val="22"/>
          <w:lang w:val="pt-PT"/>
        </w:rPr>
        <w:t>F</w:t>
      </w:r>
      <w:r w:rsidR="003508E1" w:rsidRPr="00110D6C">
        <w:rPr>
          <w:rFonts w:cs="Times New Roman"/>
          <w:color w:val="auto"/>
          <w:szCs w:val="22"/>
          <w:lang w:val="pt-PT"/>
        </w:rPr>
        <w:t>ymskina</w:t>
      </w:r>
      <w:r w:rsidR="00030085" w:rsidRPr="00110D6C">
        <w:rPr>
          <w:rFonts w:cs="Times New Roman"/>
          <w:color w:val="auto"/>
          <w:szCs w:val="22"/>
          <w:lang w:val="pt-PT"/>
        </w:rPr>
        <w:t xml:space="preserve"> 13</w:t>
      </w:r>
      <w:r w:rsidR="00B910F9" w:rsidRPr="00110D6C">
        <w:rPr>
          <w:rFonts w:cs="Times New Roman"/>
          <w:color w:val="auto"/>
          <w:szCs w:val="22"/>
          <w:lang w:val="pt-PT"/>
        </w:rPr>
        <w:t>0 </w:t>
      </w:r>
      <w:r w:rsidR="00030085" w:rsidRPr="00110D6C">
        <w:rPr>
          <w:rFonts w:cs="Times New Roman"/>
          <w:color w:val="auto"/>
          <w:szCs w:val="22"/>
          <w:lang w:val="pt-PT"/>
        </w:rPr>
        <w:t>mg concentrado para solução para perfusão</w:t>
      </w:r>
    </w:p>
    <w:p w14:paraId="08DF4769" w14:textId="77777777" w:rsidR="0077031F" w:rsidRPr="00110D6C" w:rsidRDefault="00030085" w:rsidP="004D7229">
      <w:pPr>
        <w:widowControl/>
        <w:rPr>
          <w:rFonts w:cs="Times New Roman"/>
          <w:color w:val="auto"/>
          <w:szCs w:val="22"/>
          <w:lang w:val="pt-PT"/>
        </w:rPr>
      </w:pPr>
      <w:r w:rsidRPr="00110D6C">
        <w:rPr>
          <w:rFonts w:cs="Times New Roman"/>
          <w:color w:val="auto"/>
          <w:szCs w:val="22"/>
          <w:lang w:val="pt-PT"/>
        </w:rPr>
        <w:t>ustecinumab</w:t>
      </w:r>
    </w:p>
    <w:p w14:paraId="78C34555" w14:textId="77777777" w:rsidR="004D7229" w:rsidRPr="00110D6C" w:rsidRDefault="004D7229" w:rsidP="004D7229">
      <w:pPr>
        <w:widowControl/>
        <w:rPr>
          <w:rFonts w:cs="Times New Roman"/>
          <w:bCs/>
          <w:color w:val="auto"/>
          <w:szCs w:val="22"/>
          <w:lang w:val="pt-PT"/>
        </w:rPr>
      </w:pPr>
      <w:bookmarkStart w:id="72" w:name="bookmark111"/>
    </w:p>
    <w:p w14:paraId="7647C4F0" w14:textId="77777777" w:rsidR="004D7229" w:rsidRPr="00110D6C" w:rsidRDefault="004D7229" w:rsidP="004D7229">
      <w:pPr>
        <w:widowControl/>
        <w:rPr>
          <w:rFonts w:cs="Times New Roman"/>
          <w:bCs/>
          <w:color w:val="auto"/>
          <w:szCs w:val="22"/>
          <w:lang w:val="pt-PT"/>
        </w:rPr>
      </w:pPr>
    </w:p>
    <w:p w14:paraId="3A5B1D27" w14:textId="77777777" w:rsidR="0077031F" w:rsidRPr="00110D6C" w:rsidRDefault="00DC3C01"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2.</w:t>
      </w:r>
      <w:r w:rsidRPr="00110D6C">
        <w:rPr>
          <w:rFonts w:cs="Times New Roman"/>
          <w:b/>
          <w:bCs/>
          <w:color w:val="auto"/>
          <w:szCs w:val="22"/>
          <w:lang w:val="pt-PT"/>
        </w:rPr>
        <w:tab/>
      </w:r>
      <w:r w:rsidR="00030085" w:rsidRPr="00110D6C">
        <w:rPr>
          <w:rFonts w:cs="Times New Roman"/>
          <w:b/>
          <w:bCs/>
          <w:color w:val="auto"/>
          <w:szCs w:val="22"/>
          <w:lang w:val="pt-PT"/>
        </w:rPr>
        <w:t>DESCRIÇÃO DA(S) SUBSTÂNCIA(S) ATIVA(S)</w:t>
      </w:r>
      <w:bookmarkEnd w:id="72"/>
    </w:p>
    <w:p w14:paraId="719671ED" w14:textId="77777777" w:rsidR="00E415E7" w:rsidRDefault="00E415E7" w:rsidP="00A17623">
      <w:pPr>
        <w:widowControl/>
        <w:rPr>
          <w:rFonts w:cs="Times New Roman"/>
          <w:color w:val="auto"/>
          <w:szCs w:val="22"/>
          <w:lang w:val="pt-PT"/>
        </w:rPr>
      </w:pPr>
    </w:p>
    <w:p w14:paraId="547A45A5" w14:textId="277C9615" w:rsidR="0077031F" w:rsidRPr="00110D6C" w:rsidRDefault="00030085" w:rsidP="00A17623">
      <w:pPr>
        <w:widowControl/>
        <w:rPr>
          <w:rFonts w:cs="Times New Roman"/>
          <w:color w:val="auto"/>
          <w:szCs w:val="22"/>
          <w:lang w:val="pt-PT"/>
        </w:rPr>
      </w:pPr>
      <w:r w:rsidRPr="00110D6C">
        <w:rPr>
          <w:rFonts w:cs="Times New Roman"/>
          <w:color w:val="auto"/>
          <w:szCs w:val="22"/>
          <w:lang w:val="pt-PT"/>
        </w:rPr>
        <w:t>Cada frasco para injetáveis contém 13</w:t>
      </w:r>
      <w:r w:rsidR="00B910F9" w:rsidRPr="00110D6C">
        <w:rPr>
          <w:rFonts w:cs="Times New Roman"/>
          <w:color w:val="auto"/>
          <w:szCs w:val="22"/>
          <w:lang w:val="pt-PT"/>
        </w:rPr>
        <w:t>0 </w:t>
      </w:r>
      <w:r w:rsidRPr="00110D6C">
        <w:rPr>
          <w:rFonts w:cs="Times New Roman"/>
          <w:color w:val="auto"/>
          <w:szCs w:val="22"/>
          <w:lang w:val="pt-PT"/>
        </w:rPr>
        <w:t>mg de ustecinumab em 2</w:t>
      </w:r>
      <w:r w:rsidR="00B910F9" w:rsidRPr="00110D6C">
        <w:rPr>
          <w:rFonts w:cs="Times New Roman"/>
          <w:color w:val="auto"/>
          <w:szCs w:val="22"/>
          <w:lang w:val="pt-PT"/>
        </w:rPr>
        <w:t>6 </w:t>
      </w:r>
      <w:r w:rsidRPr="00110D6C">
        <w:rPr>
          <w:rFonts w:cs="Times New Roman"/>
          <w:color w:val="auto"/>
          <w:szCs w:val="22"/>
          <w:lang w:val="pt-PT"/>
        </w:rPr>
        <w:t>ml.</w:t>
      </w:r>
    </w:p>
    <w:p w14:paraId="71CEBB08" w14:textId="77777777" w:rsidR="004D7229" w:rsidRPr="00110D6C" w:rsidRDefault="004D7229" w:rsidP="00A17623">
      <w:pPr>
        <w:widowControl/>
        <w:rPr>
          <w:rFonts w:cs="Times New Roman"/>
          <w:color w:val="auto"/>
          <w:szCs w:val="22"/>
          <w:lang w:val="pt-PT"/>
        </w:rPr>
      </w:pPr>
    </w:p>
    <w:p w14:paraId="22EA17EC" w14:textId="77777777" w:rsidR="004D7229" w:rsidRPr="00110D6C" w:rsidRDefault="004D7229" w:rsidP="00A17623">
      <w:pPr>
        <w:widowControl/>
        <w:rPr>
          <w:rFonts w:cs="Times New Roman"/>
          <w:color w:val="auto"/>
          <w:szCs w:val="22"/>
          <w:lang w:val="pt-PT"/>
        </w:rPr>
      </w:pPr>
    </w:p>
    <w:p w14:paraId="09A46F83" w14:textId="77777777" w:rsidR="0077031F" w:rsidRPr="00110D6C" w:rsidRDefault="00DC3C01"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bookmarkStart w:id="73" w:name="bookmark113"/>
      <w:r w:rsidRPr="00110D6C">
        <w:rPr>
          <w:rFonts w:cs="Times New Roman"/>
          <w:b/>
          <w:bCs/>
          <w:color w:val="auto"/>
          <w:szCs w:val="22"/>
          <w:lang w:val="pt-PT"/>
        </w:rPr>
        <w:t>3.</w:t>
      </w:r>
      <w:r w:rsidRPr="00110D6C">
        <w:rPr>
          <w:rFonts w:cs="Times New Roman"/>
          <w:b/>
          <w:bCs/>
          <w:color w:val="auto"/>
          <w:szCs w:val="22"/>
          <w:lang w:val="pt-PT"/>
        </w:rPr>
        <w:tab/>
      </w:r>
      <w:r w:rsidR="00030085" w:rsidRPr="00110D6C">
        <w:rPr>
          <w:rFonts w:cs="Times New Roman"/>
          <w:b/>
          <w:bCs/>
          <w:color w:val="auto"/>
          <w:szCs w:val="22"/>
          <w:lang w:val="pt-PT"/>
        </w:rPr>
        <w:t>LISTA DOS EXCIPIENTES</w:t>
      </w:r>
      <w:bookmarkEnd w:id="73"/>
    </w:p>
    <w:p w14:paraId="04569F9A" w14:textId="77777777" w:rsidR="004D7229" w:rsidRPr="00110D6C" w:rsidRDefault="004D7229" w:rsidP="00A17623">
      <w:pPr>
        <w:widowControl/>
        <w:rPr>
          <w:rFonts w:cs="Times New Roman"/>
          <w:color w:val="auto"/>
          <w:szCs w:val="22"/>
          <w:lang w:val="pt-PT"/>
        </w:rPr>
      </w:pPr>
    </w:p>
    <w:p w14:paraId="0A359477" w14:textId="4ED1861E" w:rsidR="0077031F" w:rsidRPr="00110D6C" w:rsidRDefault="00030085" w:rsidP="00A17623">
      <w:pPr>
        <w:widowControl/>
        <w:rPr>
          <w:rFonts w:cs="Times New Roman"/>
          <w:color w:val="auto"/>
          <w:szCs w:val="22"/>
          <w:lang w:val="pt-PT"/>
        </w:rPr>
      </w:pPr>
      <w:r w:rsidRPr="00110D6C">
        <w:rPr>
          <w:rFonts w:cs="Times New Roman"/>
          <w:color w:val="auto"/>
          <w:szCs w:val="22"/>
          <w:lang w:val="pt-PT"/>
        </w:rPr>
        <w:t>Excipientes: EDTA sal dissódico di-hidratado, L-histidina, monocloridrato de L-histidina mono-hidratado, L-metionina, polissorbato 80, sacarose, água para preparações injetáveis.</w:t>
      </w:r>
    </w:p>
    <w:p w14:paraId="448D5194" w14:textId="77777777" w:rsidR="004D7229" w:rsidRPr="00110D6C" w:rsidRDefault="004D7229" w:rsidP="008D3859">
      <w:pPr>
        <w:widowControl/>
        <w:rPr>
          <w:rFonts w:cs="Times New Roman"/>
          <w:bCs/>
          <w:color w:val="auto"/>
          <w:szCs w:val="22"/>
          <w:lang w:val="pt-PT"/>
        </w:rPr>
      </w:pPr>
      <w:bookmarkStart w:id="74" w:name="bookmark115"/>
    </w:p>
    <w:p w14:paraId="7C7F6504" w14:textId="77777777" w:rsidR="004D7229" w:rsidRPr="00110D6C" w:rsidRDefault="004D7229" w:rsidP="008D3859">
      <w:pPr>
        <w:widowControl/>
        <w:rPr>
          <w:rFonts w:cs="Times New Roman"/>
          <w:bCs/>
          <w:color w:val="auto"/>
          <w:szCs w:val="22"/>
          <w:lang w:val="pt-PT"/>
        </w:rPr>
      </w:pPr>
    </w:p>
    <w:p w14:paraId="3E534AE1" w14:textId="77777777" w:rsidR="0077031F" w:rsidRPr="00110D6C" w:rsidRDefault="00DC3C01"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4.</w:t>
      </w:r>
      <w:r w:rsidRPr="00110D6C">
        <w:rPr>
          <w:rFonts w:cs="Times New Roman"/>
          <w:b/>
          <w:bCs/>
          <w:color w:val="auto"/>
          <w:szCs w:val="22"/>
          <w:lang w:val="pt-PT"/>
        </w:rPr>
        <w:tab/>
      </w:r>
      <w:r w:rsidR="00030085" w:rsidRPr="00110D6C">
        <w:rPr>
          <w:rFonts w:cs="Times New Roman"/>
          <w:b/>
          <w:bCs/>
          <w:color w:val="auto"/>
          <w:szCs w:val="22"/>
          <w:lang w:val="pt-PT"/>
        </w:rPr>
        <w:t>FORMA FARMACÊUTICA E CONTEÚDO</w:t>
      </w:r>
      <w:bookmarkEnd w:id="74"/>
    </w:p>
    <w:p w14:paraId="1C6C8078" w14:textId="77777777" w:rsidR="004D7229" w:rsidRPr="00110D6C" w:rsidRDefault="004D7229" w:rsidP="00A17623">
      <w:pPr>
        <w:widowControl/>
        <w:rPr>
          <w:rFonts w:cs="Times New Roman"/>
          <w:color w:val="auto"/>
          <w:szCs w:val="22"/>
          <w:lang w:val="pt-PT"/>
        </w:rPr>
      </w:pPr>
    </w:p>
    <w:p w14:paraId="09893032" w14:textId="77777777" w:rsidR="0077031F" w:rsidRPr="00110D6C" w:rsidRDefault="00030085" w:rsidP="00A17623">
      <w:pPr>
        <w:widowControl/>
        <w:rPr>
          <w:rFonts w:cs="Times New Roman"/>
          <w:color w:val="auto"/>
          <w:szCs w:val="22"/>
          <w:lang w:val="pt-PT"/>
        </w:rPr>
      </w:pPr>
      <w:r w:rsidRPr="00492A01">
        <w:rPr>
          <w:rFonts w:cs="Times New Roman"/>
          <w:color w:val="auto"/>
          <w:szCs w:val="22"/>
          <w:highlight w:val="lightGray"/>
          <w:lang w:val="pt-PT"/>
        </w:rPr>
        <w:t>Concentrado para solução para perfusão</w:t>
      </w:r>
    </w:p>
    <w:p w14:paraId="6F0AB545"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13</w:t>
      </w:r>
      <w:r w:rsidR="00B910F9" w:rsidRPr="00110D6C">
        <w:rPr>
          <w:rFonts w:cs="Times New Roman"/>
          <w:color w:val="auto"/>
          <w:szCs w:val="22"/>
          <w:lang w:val="pt-PT"/>
        </w:rPr>
        <w:t>0 </w:t>
      </w:r>
      <w:r w:rsidRPr="00110D6C">
        <w:rPr>
          <w:rFonts w:cs="Times New Roman"/>
          <w:color w:val="auto"/>
          <w:szCs w:val="22"/>
          <w:lang w:val="pt-PT"/>
        </w:rPr>
        <w:t>mg/2</w:t>
      </w:r>
      <w:r w:rsidR="00B910F9" w:rsidRPr="00110D6C">
        <w:rPr>
          <w:rFonts w:cs="Times New Roman"/>
          <w:color w:val="auto"/>
          <w:szCs w:val="22"/>
          <w:lang w:val="pt-PT"/>
        </w:rPr>
        <w:t>6 </w:t>
      </w:r>
      <w:r w:rsidRPr="00110D6C">
        <w:rPr>
          <w:rFonts w:cs="Times New Roman"/>
          <w:color w:val="auto"/>
          <w:szCs w:val="22"/>
          <w:lang w:val="pt-PT"/>
        </w:rPr>
        <w:t>ml</w:t>
      </w:r>
    </w:p>
    <w:p w14:paraId="08D9005F" w14:textId="77777777" w:rsidR="0077031F" w:rsidRPr="00110D6C" w:rsidRDefault="00030085" w:rsidP="004D7229">
      <w:pPr>
        <w:widowControl/>
        <w:rPr>
          <w:rFonts w:cs="Times New Roman"/>
          <w:color w:val="auto"/>
          <w:szCs w:val="22"/>
          <w:lang w:val="pt-PT"/>
        </w:rPr>
      </w:pPr>
      <w:r w:rsidRPr="00110D6C">
        <w:rPr>
          <w:rFonts w:cs="Times New Roman"/>
          <w:color w:val="auto"/>
          <w:szCs w:val="22"/>
          <w:lang w:val="pt-PT"/>
        </w:rPr>
        <w:t>1</w:t>
      </w:r>
      <w:r w:rsidR="004D7229" w:rsidRPr="00110D6C">
        <w:rPr>
          <w:rFonts w:cs="Times New Roman"/>
          <w:color w:val="auto"/>
          <w:szCs w:val="22"/>
          <w:lang w:val="pt-PT"/>
        </w:rPr>
        <w:t xml:space="preserve"> </w:t>
      </w:r>
      <w:r w:rsidRPr="00110D6C">
        <w:rPr>
          <w:rFonts w:cs="Times New Roman"/>
          <w:color w:val="auto"/>
          <w:szCs w:val="22"/>
          <w:lang w:val="pt-PT"/>
        </w:rPr>
        <w:t>frasco para injetáveis</w:t>
      </w:r>
    </w:p>
    <w:p w14:paraId="07EFE9FF" w14:textId="77777777" w:rsidR="004D7229" w:rsidRPr="00110D6C" w:rsidRDefault="004D7229" w:rsidP="008D3859">
      <w:pPr>
        <w:widowControl/>
        <w:rPr>
          <w:rFonts w:cs="Times New Roman"/>
          <w:bCs/>
          <w:color w:val="auto"/>
          <w:szCs w:val="22"/>
          <w:lang w:val="pt-PT"/>
        </w:rPr>
      </w:pPr>
      <w:bookmarkStart w:id="75" w:name="bookmark117"/>
    </w:p>
    <w:p w14:paraId="19F098EE" w14:textId="77777777" w:rsidR="004D7229" w:rsidRPr="00110D6C" w:rsidRDefault="004D7229" w:rsidP="008D3859">
      <w:pPr>
        <w:widowControl/>
        <w:rPr>
          <w:rFonts w:cs="Times New Roman"/>
          <w:bCs/>
          <w:color w:val="auto"/>
          <w:szCs w:val="22"/>
          <w:lang w:val="pt-PT"/>
        </w:rPr>
      </w:pPr>
    </w:p>
    <w:p w14:paraId="3E27AC44" w14:textId="77777777" w:rsidR="0077031F" w:rsidRPr="00110D6C" w:rsidRDefault="00DC3C01"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5.</w:t>
      </w:r>
      <w:r w:rsidRPr="00110D6C">
        <w:rPr>
          <w:rFonts w:cs="Times New Roman"/>
          <w:b/>
          <w:bCs/>
          <w:color w:val="auto"/>
          <w:szCs w:val="22"/>
          <w:lang w:val="pt-PT"/>
        </w:rPr>
        <w:tab/>
      </w:r>
      <w:r w:rsidR="00030085" w:rsidRPr="00110D6C">
        <w:rPr>
          <w:rFonts w:cs="Times New Roman"/>
          <w:b/>
          <w:bCs/>
          <w:color w:val="auto"/>
          <w:szCs w:val="22"/>
          <w:lang w:val="pt-PT"/>
        </w:rPr>
        <w:t>MODO E VIA(S) DE ADMINISTRAÇÃO</w:t>
      </w:r>
      <w:bookmarkEnd w:id="75"/>
    </w:p>
    <w:p w14:paraId="13088353" w14:textId="77777777" w:rsidR="004D7229" w:rsidRPr="00110D6C" w:rsidRDefault="004D7229" w:rsidP="00A17623">
      <w:pPr>
        <w:widowControl/>
        <w:rPr>
          <w:rFonts w:cs="Times New Roman"/>
          <w:color w:val="auto"/>
          <w:szCs w:val="22"/>
          <w:lang w:val="pt-PT"/>
        </w:rPr>
      </w:pPr>
    </w:p>
    <w:p w14:paraId="48A2B9BB"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Não agitar.</w:t>
      </w:r>
    </w:p>
    <w:p w14:paraId="25BC05B7"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Consultar o folheto informativo antes de utilizar.</w:t>
      </w:r>
    </w:p>
    <w:p w14:paraId="3933FB99"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Apenas para utilização única.</w:t>
      </w:r>
    </w:p>
    <w:p w14:paraId="1A47E650"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Para utilização intravenosa após diluição.</w:t>
      </w:r>
    </w:p>
    <w:p w14:paraId="535B5AB6" w14:textId="77777777" w:rsidR="004D7229" w:rsidRPr="00110D6C" w:rsidRDefault="004D7229" w:rsidP="008D3859">
      <w:pPr>
        <w:widowControl/>
        <w:rPr>
          <w:rFonts w:cs="Times New Roman"/>
          <w:bCs/>
          <w:color w:val="auto"/>
          <w:szCs w:val="22"/>
          <w:lang w:val="pt-PT"/>
        </w:rPr>
      </w:pPr>
      <w:bookmarkStart w:id="76" w:name="bookmark119"/>
    </w:p>
    <w:p w14:paraId="72B3D52D" w14:textId="77777777" w:rsidR="004D7229" w:rsidRPr="00110D6C" w:rsidRDefault="004D7229" w:rsidP="008D3859">
      <w:pPr>
        <w:widowControl/>
        <w:rPr>
          <w:rFonts w:cs="Times New Roman"/>
          <w:bCs/>
          <w:color w:val="auto"/>
          <w:szCs w:val="22"/>
          <w:lang w:val="pt-PT"/>
        </w:rPr>
      </w:pPr>
    </w:p>
    <w:p w14:paraId="7806101D" w14:textId="77777777" w:rsidR="0077031F" w:rsidRPr="00110D6C" w:rsidRDefault="00DC3C01" w:rsidP="008D385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6.</w:t>
      </w:r>
      <w:r w:rsidRPr="00110D6C">
        <w:rPr>
          <w:rFonts w:cs="Times New Roman"/>
          <w:b/>
          <w:bCs/>
          <w:color w:val="auto"/>
          <w:szCs w:val="22"/>
          <w:lang w:val="pt-PT"/>
        </w:rPr>
        <w:tab/>
      </w:r>
      <w:r w:rsidR="00030085" w:rsidRPr="00110D6C">
        <w:rPr>
          <w:rFonts w:cs="Times New Roman"/>
          <w:b/>
          <w:bCs/>
          <w:color w:val="auto"/>
          <w:szCs w:val="22"/>
          <w:lang w:val="pt-PT"/>
        </w:rPr>
        <w:t>ADVERTÊNCIA ESPECIAL DE QUE O MEDICAMENTO DEVE SER MANTIDO</w:t>
      </w:r>
      <w:bookmarkEnd w:id="76"/>
      <w:r w:rsidR="004D7229" w:rsidRPr="00110D6C">
        <w:rPr>
          <w:rFonts w:cs="Times New Roman"/>
          <w:b/>
          <w:bCs/>
          <w:color w:val="auto"/>
          <w:szCs w:val="22"/>
          <w:lang w:val="pt-PT"/>
        </w:rPr>
        <w:t xml:space="preserve"> </w:t>
      </w:r>
      <w:r w:rsidR="00030085" w:rsidRPr="00110D6C">
        <w:rPr>
          <w:rFonts w:cs="Times New Roman"/>
          <w:b/>
          <w:bCs/>
          <w:color w:val="auto"/>
          <w:szCs w:val="22"/>
          <w:lang w:val="pt-PT"/>
        </w:rPr>
        <w:t>FORA DA VISTA E DO ALCANCE DAS CRIANÇAS</w:t>
      </w:r>
    </w:p>
    <w:p w14:paraId="1BA5109D" w14:textId="77777777" w:rsidR="004D7229" w:rsidRPr="00110D6C" w:rsidRDefault="004D7229" w:rsidP="00A17623">
      <w:pPr>
        <w:widowControl/>
        <w:rPr>
          <w:rFonts w:cs="Times New Roman"/>
          <w:color w:val="auto"/>
          <w:szCs w:val="22"/>
          <w:lang w:val="pt-PT"/>
        </w:rPr>
      </w:pPr>
    </w:p>
    <w:p w14:paraId="267B160D"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Manter fora da vista e do alcance das crianças.</w:t>
      </w:r>
    </w:p>
    <w:p w14:paraId="5B09C158" w14:textId="77777777" w:rsidR="004D7229" w:rsidRPr="00110D6C" w:rsidRDefault="004D7229" w:rsidP="008D3859">
      <w:pPr>
        <w:widowControl/>
        <w:rPr>
          <w:rFonts w:cs="Times New Roman"/>
          <w:bCs/>
          <w:color w:val="auto"/>
          <w:szCs w:val="22"/>
          <w:lang w:val="pt-PT"/>
        </w:rPr>
      </w:pPr>
    </w:p>
    <w:p w14:paraId="204B37E5" w14:textId="77777777" w:rsidR="004D7229" w:rsidRPr="00110D6C" w:rsidRDefault="004D7229" w:rsidP="008D3859">
      <w:pPr>
        <w:widowControl/>
        <w:rPr>
          <w:rFonts w:cs="Times New Roman"/>
          <w:bCs/>
          <w:color w:val="auto"/>
          <w:szCs w:val="22"/>
          <w:lang w:val="pt-PT"/>
        </w:rPr>
      </w:pPr>
    </w:p>
    <w:p w14:paraId="00AC0764" w14:textId="77777777" w:rsidR="0077031F" w:rsidRPr="00110D6C" w:rsidRDefault="00DC3C01"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7.</w:t>
      </w:r>
      <w:r w:rsidRPr="00110D6C">
        <w:rPr>
          <w:rFonts w:cs="Times New Roman"/>
          <w:b/>
          <w:bCs/>
          <w:color w:val="auto"/>
          <w:szCs w:val="22"/>
          <w:lang w:val="pt-PT"/>
        </w:rPr>
        <w:tab/>
      </w:r>
      <w:r w:rsidR="00030085" w:rsidRPr="00110D6C">
        <w:rPr>
          <w:rFonts w:cs="Times New Roman"/>
          <w:b/>
          <w:bCs/>
          <w:color w:val="auto"/>
          <w:szCs w:val="22"/>
          <w:lang w:val="pt-PT"/>
        </w:rPr>
        <w:t>OUTRAS ADVERTÊNCIAS ESPECIAIS, SE NECESSÁRIO</w:t>
      </w:r>
    </w:p>
    <w:p w14:paraId="62A42778" w14:textId="77777777" w:rsidR="004D7229" w:rsidRPr="00110D6C" w:rsidRDefault="004D7229" w:rsidP="008D3859">
      <w:pPr>
        <w:widowControl/>
        <w:rPr>
          <w:rFonts w:cs="Times New Roman"/>
          <w:bCs/>
          <w:color w:val="auto"/>
          <w:szCs w:val="22"/>
          <w:lang w:val="pt-PT"/>
        </w:rPr>
      </w:pPr>
      <w:bookmarkStart w:id="77" w:name="bookmark122"/>
    </w:p>
    <w:p w14:paraId="4E8B23E0" w14:textId="77777777" w:rsidR="004D7229" w:rsidRPr="00110D6C" w:rsidRDefault="004D7229" w:rsidP="008D3859">
      <w:pPr>
        <w:widowControl/>
        <w:rPr>
          <w:rFonts w:cs="Times New Roman"/>
          <w:bCs/>
          <w:color w:val="auto"/>
          <w:szCs w:val="22"/>
          <w:lang w:val="pt-PT"/>
        </w:rPr>
      </w:pPr>
    </w:p>
    <w:p w14:paraId="4AEC224A" w14:textId="77777777" w:rsidR="0077031F" w:rsidRPr="00110D6C" w:rsidRDefault="00DC3C01"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8.</w:t>
      </w:r>
      <w:r w:rsidRPr="00110D6C">
        <w:rPr>
          <w:rFonts w:cs="Times New Roman"/>
          <w:b/>
          <w:bCs/>
          <w:color w:val="auto"/>
          <w:szCs w:val="22"/>
          <w:lang w:val="pt-PT"/>
        </w:rPr>
        <w:tab/>
      </w:r>
      <w:r w:rsidR="00030085" w:rsidRPr="00110D6C">
        <w:rPr>
          <w:rFonts w:cs="Times New Roman"/>
          <w:b/>
          <w:bCs/>
          <w:color w:val="auto"/>
          <w:szCs w:val="22"/>
          <w:lang w:val="pt-PT"/>
        </w:rPr>
        <w:t>PRAZO DE VALIDADE</w:t>
      </w:r>
      <w:bookmarkEnd w:id="77"/>
    </w:p>
    <w:p w14:paraId="5FEC4985" w14:textId="77777777" w:rsidR="004D7229" w:rsidRPr="00110D6C" w:rsidRDefault="004D7229" w:rsidP="00A17623">
      <w:pPr>
        <w:widowControl/>
        <w:rPr>
          <w:rFonts w:cs="Times New Roman"/>
          <w:color w:val="auto"/>
          <w:szCs w:val="22"/>
          <w:lang w:val="pt-PT"/>
        </w:rPr>
      </w:pPr>
    </w:p>
    <w:p w14:paraId="06CD6EF4"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VAL.</w:t>
      </w:r>
    </w:p>
    <w:p w14:paraId="12262EE1" w14:textId="77777777" w:rsidR="004D7229" w:rsidRPr="00110D6C" w:rsidRDefault="004D7229" w:rsidP="008D3859">
      <w:pPr>
        <w:widowControl/>
        <w:rPr>
          <w:rFonts w:cs="Times New Roman"/>
          <w:bCs/>
          <w:color w:val="auto"/>
          <w:szCs w:val="22"/>
          <w:lang w:val="pt-PT"/>
        </w:rPr>
      </w:pPr>
    </w:p>
    <w:p w14:paraId="5DE135F8" w14:textId="77777777" w:rsidR="004D7229" w:rsidRPr="00110D6C" w:rsidRDefault="004D7229" w:rsidP="008D3859">
      <w:pPr>
        <w:widowControl/>
        <w:rPr>
          <w:rFonts w:cs="Times New Roman"/>
          <w:bCs/>
          <w:color w:val="auto"/>
          <w:szCs w:val="22"/>
          <w:lang w:val="pt-PT"/>
        </w:rPr>
      </w:pPr>
    </w:p>
    <w:p w14:paraId="23E048D5" w14:textId="77777777" w:rsidR="0077031F" w:rsidRPr="00110D6C" w:rsidRDefault="00DC3C01"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9.</w:t>
      </w:r>
      <w:r w:rsidRPr="00110D6C">
        <w:rPr>
          <w:rFonts w:cs="Times New Roman"/>
          <w:b/>
          <w:bCs/>
          <w:color w:val="auto"/>
          <w:szCs w:val="22"/>
          <w:lang w:val="pt-PT"/>
        </w:rPr>
        <w:tab/>
      </w:r>
      <w:r w:rsidR="00030085" w:rsidRPr="00110D6C">
        <w:rPr>
          <w:rFonts w:cs="Times New Roman"/>
          <w:b/>
          <w:bCs/>
          <w:color w:val="auto"/>
          <w:szCs w:val="22"/>
          <w:lang w:val="pt-PT"/>
        </w:rPr>
        <w:t>CONDIÇÕES ESPECIAIS DE CONSERVAÇÃO</w:t>
      </w:r>
    </w:p>
    <w:p w14:paraId="6E56CFC5" w14:textId="77777777" w:rsidR="004D7229" w:rsidRPr="00110D6C" w:rsidRDefault="004D7229" w:rsidP="00A17623">
      <w:pPr>
        <w:widowControl/>
        <w:rPr>
          <w:rFonts w:cs="Times New Roman"/>
          <w:bCs/>
          <w:color w:val="auto"/>
          <w:szCs w:val="22"/>
          <w:lang w:val="pt-PT"/>
        </w:rPr>
      </w:pPr>
    </w:p>
    <w:p w14:paraId="136DA1D8" w14:textId="77777777" w:rsidR="0077031F" w:rsidRPr="00E415E7" w:rsidRDefault="00030085" w:rsidP="00A17623">
      <w:pPr>
        <w:widowControl/>
        <w:rPr>
          <w:rFonts w:cs="Times New Roman"/>
          <w:color w:val="auto"/>
          <w:szCs w:val="22"/>
          <w:lang w:val="pt-PT"/>
        </w:rPr>
      </w:pPr>
      <w:r w:rsidRPr="00492A01">
        <w:rPr>
          <w:rFonts w:cs="Times New Roman"/>
          <w:color w:val="auto"/>
          <w:szCs w:val="22"/>
          <w:lang w:val="pt-PT"/>
        </w:rPr>
        <w:t>Conservar no frigorífico.</w:t>
      </w:r>
    </w:p>
    <w:p w14:paraId="37BF04F9" w14:textId="77777777" w:rsidR="00E415E7" w:rsidRDefault="00E415E7" w:rsidP="00A17623">
      <w:pPr>
        <w:widowControl/>
        <w:rPr>
          <w:rFonts w:cs="Times New Roman"/>
          <w:color w:val="auto"/>
          <w:szCs w:val="22"/>
          <w:lang w:val="pt-PT"/>
        </w:rPr>
      </w:pPr>
    </w:p>
    <w:p w14:paraId="6FE696E2" w14:textId="14450AE1" w:rsidR="0077031F" w:rsidRPr="00110D6C" w:rsidRDefault="00030085" w:rsidP="00A17623">
      <w:pPr>
        <w:widowControl/>
        <w:rPr>
          <w:rFonts w:cs="Times New Roman"/>
          <w:color w:val="auto"/>
          <w:szCs w:val="22"/>
          <w:lang w:val="pt-PT"/>
        </w:rPr>
      </w:pPr>
      <w:r w:rsidRPr="00110D6C">
        <w:rPr>
          <w:rFonts w:cs="Times New Roman"/>
          <w:color w:val="auto"/>
          <w:szCs w:val="22"/>
          <w:lang w:val="pt-PT"/>
        </w:rPr>
        <w:lastRenderedPageBreak/>
        <w:t>Não congelar.</w:t>
      </w:r>
    </w:p>
    <w:p w14:paraId="7C375DE0"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Manter o frasco para injetáveis dentro da embalagem exterior para proteger da luz.</w:t>
      </w:r>
    </w:p>
    <w:p w14:paraId="73194B4A" w14:textId="77777777" w:rsidR="00272769" w:rsidRPr="00110D6C" w:rsidRDefault="00272769" w:rsidP="008D3859">
      <w:pPr>
        <w:widowControl/>
        <w:rPr>
          <w:rFonts w:cs="Times New Roman"/>
          <w:bCs/>
          <w:color w:val="auto"/>
          <w:szCs w:val="22"/>
          <w:lang w:val="pt-PT"/>
        </w:rPr>
      </w:pPr>
    </w:p>
    <w:p w14:paraId="2C6A4BE5" w14:textId="77777777" w:rsidR="00272769" w:rsidRPr="00110D6C" w:rsidRDefault="00272769" w:rsidP="008D3859">
      <w:pPr>
        <w:widowControl/>
        <w:rPr>
          <w:rFonts w:cs="Times New Roman"/>
          <w:bCs/>
          <w:color w:val="auto"/>
          <w:szCs w:val="22"/>
          <w:lang w:val="pt-PT"/>
        </w:rPr>
      </w:pPr>
    </w:p>
    <w:p w14:paraId="04EE6D55" w14:textId="77777777" w:rsidR="0077031F" w:rsidRPr="00110D6C" w:rsidRDefault="00272769"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10.</w:t>
      </w:r>
      <w:r w:rsidRPr="00110D6C">
        <w:rPr>
          <w:rFonts w:cs="Times New Roman"/>
          <w:b/>
          <w:bCs/>
          <w:color w:val="auto"/>
          <w:szCs w:val="22"/>
          <w:lang w:val="pt-PT"/>
        </w:rPr>
        <w:tab/>
      </w:r>
      <w:r w:rsidR="00030085" w:rsidRPr="00110D6C">
        <w:rPr>
          <w:rFonts w:cs="Times New Roman"/>
          <w:b/>
          <w:bCs/>
          <w:color w:val="auto"/>
          <w:szCs w:val="22"/>
          <w:lang w:val="pt-PT"/>
        </w:rPr>
        <w:t>CUIDADOS ESPECIAIS QUANTO À ELIMINAÇÃO DO MEDICAMENTO NÃO UTILIZADO OU DOS RESÍDUOS PROVENIENTES DESSE MEDICAMENTO, SE APLICÁVEL</w:t>
      </w:r>
    </w:p>
    <w:p w14:paraId="49E500E3" w14:textId="77777777" w:rsidR="00272769" w:rsidRPr="00110D6C" w:rsidRDefault="00272769" w:rsidP="008D3859">
      <w:pPr>
        <w:widowControl/>
        <w:rPr>
          <w:rFonts w:cs="Times New Roman"/>
          <w:bCs/>
          <w:color w:val="auto"/>
          <w:szCs w:val="22"/>
          <w:lang w:val="pt-PT"/>
        </w:rPr>
      </w:pPr>
    </w:p>
    <w:p w14:paraId="715FE857" w14:textId="77777777" w:rsidR="00272769" w:rsidRPr="00110D6C" w:rsidRDefault="00272769" w:rsidP="008D3859">
      <w:pPr>
        <w:widowControl/>
        <w:rPr>
          <w:rFonts w:cs="Times New Roman"/>
          <w:bCs/>
          <w:color w:val="auto"/>
          <w:szCs w:val="22"/>
          <w:lang w:val="pt-PT"/>
        </w:rPr>
      </w:pPr>
    </w:p>
    <w:p w14:paraId="076156AF" w14:textId="77777777" w:rsidR="0077031F" w:rsidRPr="00110D6C" w:rsidRDefault="00272769"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11.</w:t>
      </w:r>
      <w:r w:rsidRPr="00110D6C">
        <w:rPr>
          <w:rFonts w:cs="Times New Roman"/>
          <w:b/>
          <w:bCs/>
          <w:color w:val="auto"/>
          <w:szCs w:val="22"/>
          <w:lang w:val="pt-PT"/>
        </w:rPr>
        <w:tab/>
      </w:r>
      <w:r w:rsidR="00030085" w:rsidRPr="00110D6C">
        <w:rPr>
          <w:rFonts w:cs="Times New Roman"/>
          <w:b/>
          <w:bCs/>
          <w:color w:val="auto"/>
          <w:szCs w:val="22"/>
          <w:lang w:val="pt-PT"/>
        </w:rPr>
        <w:t>NOME E ENDEREÇO DO TITULAR DA AUTORIZAÇÃO DE INTRODUÇÃO NO MERCADO</w:t>
      </w:r>
    </w:p>
    <w:p w14:paraId="3C471B77" w14:textId="77777777" w:rsidR="004D7229" w:rsidRPr="00110D6C" w:rsidRDefault="004D7229" w:rsidP="00A17623">
      <w:pPr>
        <w:widowControl/>
        <w:rPr>
          <w:rFonts w:cs="Times New Roman"/>
          <w:color w:val="auto"/>
          <w:szCs w:val="22"/>
          <w:lang w:val="pt-PT"/>
        </w:rPr>
      </w:pPr>
    </w:p>
    <w:p w14:paraId="4B994209" w14:textId="77777777" w:rsidR="003508E1" w:rsidRPr="00492A01" w:rsidRDefault="003508E1" w:rsidP="003508E1">
      <w:pPr>
        <w:pStyle w:val="Textkrper"/>
        <w:rPr>
          <w:lang w:val="pt-PT"/>
        </w:rPr>
      </w:pPr>
      <w:r w:rsidRPr="00492A01">
        <w:rPr>
          <w:lang w:val="pt-PT"/>
        </w:rPr>
        <w:t>Formycon AG</w:t>
      </w:r>
    </w:p>
    <w:p w14:paraId="518729A9" w14:textId="77777777" w:rsidR="003508E1" w:rsidRPr="00492A01" w:rsidRDefault="003508E1" w:rsidP="003508E1">
      <w:pPr>
        <w:pStyle w:val="Textkrper"/>
        <w:rPr>
          <w:lang w:val="pt-PT"/>
        </w:rPr>
      </w:pPr>
      <w:r w:rsidRPr="00492A01">
        <w:rPr>
          <w:lang w:val="pt-PT"/>
        </w:rPr>
        <w:t>Fraunhoferstraße 15</w:t>
      </w:r>
    </w:p>
    <w:p w14:paraId="495622CB" w14:textId="77777777" w:rsidR="003508E1" w:rsidRPr="00492A01" w:rsidRDefault="003508E1" w:rsidP="003508E1">
      <w:pPr>
        <w:pStyle w:val="Textkrper"/>
        <w:rPr>
          <w:lang w:val="pt-PT"/>
        </w:rPr>
      </w:pPr>
      <w:r w:rsidRPr="00492A01">
        <w:rPr>
          <w:lang w:val="pt-PT"/>
        </w:rPr>
        <w:t>82152 Martinsried/Planegg</w:t>
      </w:r>
    </w:p>
    <w:p w14:paraId="036C1CA2" w14:textId="77777777" w:rsidR="003508E1" w:rsidRDefault="003508E1" w:rsidP="00A17623">
      <w:pPr>
        <w:widowControl/>
        <w:rPr>
          <w:rFonts w:cs="Times New Roman"/>
          <w:color w:val="auto"/>
          <w:szCs w:val="22"/>
          <w:lang w:val="pt-PT"/>
        </w:rPr>
      </w:pPr>
      <w:r>
        <w:rPr>
          <w:rFonts w:cs="Times New Roman"/>
          <w:color w:val="auto"/>
          <w:szCs w:val="22"/>
          <w:lang w:val="pt-PT"/>
        </w:rPr>
        <w:t>Alemanha</w:t>
      </w:r>
    </w:p>
    <w:p w14:paraId="2B9BFF80" w14:textId="77777777" w:rsidR="00272769" w:rsidRPr="00110D6C" w:rsidRDefault="00272769" w:rsidP="008D3859">
      <w:pPr>
        <w:widowControl/>
        <w:rPr>
          <w:rFonts w:cs="Times New Roman"/>
          <w:bCs/>
          <w:color w:val="auto"/>
          <w:szCs w:val="22"/>
          <w:lang w:val="pt-PT"/>
        </w:rPr>
      </w:pPr>
    </w:p>
    <w:p w14:paraId="1AA5AC64" w14:textId="77777777" w:rsidR="00272769" w:rsidRPr="00110D6C" w:rsidRDefault="00272769" w:rsidP="008D3859">
      <w:pPr>
        <w:widowControl/>
        <w:rPr>
          <w:rFonts w:cs="Times New Roman"/>
          <w:bCs/>
          <w:color w:val="auto"/>
          <w:szCs w:val="22"/>
          <w:lang w:val="pt-PT"/>
        </w:rPr>
      </w:pPr>
    </w:p>
    <w:p w14:paraId="60D33877" w14:textId="77777777" w:rsidR="0077031F" w:rsidRPr="00110D6C" w:rsidRDefault="00272769"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12.</w:t>
      </w:r>
      <w:r w:rsidRPr="00110D6C">
        <w:rPr>
          <w:rFonts w:cs="Times New Roman"/>
          <w:b/>
          <w:bCs/>
          <w:color w:val="auto"/>
          <w:szCs w:val="22"/>
          <w:lang w:val="pt-PT"/>
        </w:rPr>
        <w:tab/>
      </w:r>
      <w:r w:rsidR="00030085" w:rsidRPr="00110D6C">
        <w:rPr>
          <w:rFonts w:cs="Times New Roman"/>
          <w:b/>
          <w:bCs/>
          <w:color w:val="auto"/>
          <w:szCs w:val="22"/>
          <w:lang w:val="pt-PT"/>
        </w:rPr>
        <w:t>NÚMERO(S) DA AUTORIZAÇÃO DE INTRODUÇÃO NO MERCADO</w:t>
      </w:r>
    </w:p>
    <w:p w14:paraId="222A19A7" w14:textId="77777777" w:rsidR="004D7229" w:rsidRPr="00110D6C" w:rsidRDefault="004D7229" w:rsidP="00A17623">
      <w:pPr>
        <w:widowControl/>
        <w:rPr>
          <w:rFonts w:cs="Times New Roman"/>
          <w:color w:val="auto"/>
          <w:szCs w:val="22"/>
          <w:lang w:val="pt-PT"/>
        </w:rPr>
      </w:pPr>
    </w:p>
    <w:p w14:paraId="4426EF23" w14:textId="5804A817" w:rsidR="0077031F" w:rsidRPr="00110D6C" w:rsidRDefault="00030085" w:rsidP="00A17623">
      <w:pPr>
        <w:widowControl/>
        <w:rPr>
          <w:rFonts w:cs="Times New Roman"/>
          <w:color w:val="auto"/>
          <w:szCs w:val="22"/>
          <w:lang w:val="pt-PT"/>
        </w:rPr>
      </w:pPr>
      <w:r w:rsidRPr="00110D6C">
        <w:rPr>
          <w:rFonts w:cs="Times New Roman"/>
          <w:color w:val="auto"/>
          <w:szCs w:val="22"/>
          <w:lang w:val="pt-PT"/>
        </w:rPr>
        <w:t>EU/1/</w:t>
      </w:r>
      <w:r w:rsidR="005B4050" w:rsidRPr="005B4050">
        <w:rPr>
          <w:lang w:val="pt-PT"/>
        </w:rPr>
        <w:t>24/1862/003</w:t>
      </w:r>
    </w:p>
    <w:p w14:paraId="24B0F8E5" w14:textId="77777777" w:rsidR="00272769" w:rsidRPr="00110D6C" w:rsidRDefault="00272769" w:rsidP="008D3859">
      <w:pPr>
        <w:widowControl/>
        <w:rPr>
          <w:rFonts w:cs="Times New Roman"/>
          <w:bCs/>
          <w:color w:val="auto"/>
          <w:szCs w:val="22"/>
          <w:lang w:val="pt-PT"/>
        </w:rPr>
      </w:pPr>
    </w:p>
    <w:p w14:paraId="3449213D" w14:textId="77777777" w:rsidR="00272769" w:rsidRPr="00110D6C" w:rsidRDefault="00272769" w:rsidP="008D3859">
      <w:pPr>
        <w:widowControl/>
        <w:rPr>
          <w:rFonts w:cs="Times New Roman"/>
          <w:bCs/>
          <w:color w:val="auto"/>
          <w:szCs w:val="22"/>
          <w:lang w:val="pt-PT"/>
        </w:rPr>
      </w:pPr>
    </w:p>
    <w:p w14:paraId="748CF5E7" w14:textId="77777777" w:rsidR="0077031F" w:rsidRPr="00110D6C" w:rsidRDefault="00272769"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13.</w:t>
      </w:r>
      <w:r w:rsidRPr="00110D6C">
        <w:rPr>
          <w:rFonts w:cs="Times New Roman"/>
          <w:b/>
          <w:bCs/>
          <w:color w:val="auto"/>
          <w:szCs w:val="22"/>
          <w:lang w:val="pt-PT"/>
        </w:rPr>
        <w:tab/>
      </w:r>
      <w:r w:rsidR="00030085" w:rsidRPr="00110D6C">
        <w:rPr>
          <w:rFonts w:cs="Times New Roman"/>
          <w:b/>
          <w:bCs/>
          <w:color w:val="auto"/>
          <w:szCs w:val="22"/>
          <w:lang w:val="pt-PT"/>
        </w:rPr>
        <w:t>NÚMERO DO LOTE</w:t>
      </w:r>
    </w:p>
    <w:p w14:paraId="5EC28977"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Lote</w:t>
      </w:r>
    </w:p>
    <w:p w14:paraId="68207F75" w14:textId="77777777" w:rsidR="00272769" w:rsidRPr="00110D6C" w:rsidRDefault="00272769" w:rsidP="008D3859">
      <w:pPr>
        <w:widowControl/>
        <w:rPr>
          <w:rFonts w:cs="Times New Roman"/>
          <w:bCs/>
          <w:color w:val="auto"/>
          <w:szCs w:val="22"/>
          <w:lang w:val="pt-PT"/>
        </w:rPr>
      </w:pPr>
    </w:p>
    <w:p w14:paraId="41C6948E" w14:textId="77777777" w:rsidR="00272769" w:rsidRPr="00110D6C" w:rsidRDefault="00272769" w:rsidP="008D3859">
      <w:pPr>
        <w:widowControl/>
        <w:rPr>
          <w:rFonts w:cs="Times New Roman"/>
          <w:bCs/>
          <w:color w:val="auto"/>
          <w:szCs w:val="22"/>
          <w:lang w:val="pt-PT"/>
        </w:rPr>
      </w:pPr>
    </w:p>
    <w:p w14:paraId="7A3DD862" w14:textId="77777777" w:rsidR="0077031F" w:rsidRPr="00110D6C" w:rsidRDefault="00272769"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14.</w:t>
      </w:r>
      <w:r w:rsidRPr="00110D6C">
        <w:rPr>
          <w:rFonts w:cs="Times New Roman"/>
          <w:b/>
          <w:bCs/>
          <w:color w:val="auto"/>
          <w:szCs w:val="22"/>
          <w:lang w:val="pt-PT"/>
        </w:rPr>
        <w:tab/>
      </w:r>
      <w:r w:rsidR="00030085" w:rsidRPr="00110D6C">
        <w:rPr>
          <w:rFonts w:cs="Times New Roman"/>
          <w:b/>
          <w:bCs/>
          <w:color w:val="auto"/>
          <w:szCs w:val="22"/>
          <w:lang w:val="pt-PT"/>
        </w:rPr>
        <w:t>CLASSIFICAÇÃO QUANTO À DISPENSA AO PÚBLICO</w:t>
      </w:r>
    </w:p>
    <w:p w14:paraId="31A32EC6" w14:textId="77777777" w:rsidR="00272769" w:rsidRPr="00110D6C" w:rsidRDefault="00272769" w:rsidP="008D3859">
      <w:pPr>
        <w:widowControl/>
        <w:rPr>
          <w:rFonts w:cs="Times New Roman"/>
          <w:bCs/>
          <w:color w:val="auto"/>
          <w:szCs w:val="22"/>
          <w:lang w:val="pt-PT"/>
        </w:rPr>
      </w:pPr>
    </w:p>
    <w:p w14:paraId="5C462F7B" w14:textId="77777777" w:rsidR="00272769" w:rsidRPr="00110D6C" w:rsidRDefault="00272769" w:rsidP="008D3859">
      <w:pPr>
        <w:widowControl/>
        <w:rPr>
          <w:rFonts w:cs="Times New Roman"/>
          <w:bCs/>
          <w:color w:val="auto"/>
          <w:szCs w:val="22"/>
          <w:lang w:val="pt-PT"/>
        </w:rPr>
      </w:pPr>
    </w:p>
    <w:p w14:paraId="0B985B74" w14:textId="77777777" w:rsidR="0077031F" w:rsidRPr="00110D6C" w:rsidRDefault="00272769"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15.</w:t>
      </w:r>
      <w:r w:rsidRPr="00110D6C">
        <w:rPr>
          <w:rFonts w:cs="Times New Roman"/>
          <w:b/>
          <w:bCs/>
          <w:color w:val="auto"/>
          <w:szCs w:val="22"/>
          <w:lang w:val="pt-PT"/>
        </w:rPr>
        <w:tab/>
      </w:r>
      <w:r w:rsidR="00030085" w:rsidRPr="00110D6C">
        <w:rPr>
          <w:rFonts w:cs="Times New Roman"/>
          <w:b/>
          <w:bCs/>
          <w:color w:val="auto"/>
          <w:szCs w:val="22"/>
          <w:lang w:val="pt-PT"/>
        </w:rPr>
        <w:t>INSTRUÇÕES DE UTILIZAÇÃO</w:t>
      </w:r>
    </w:p>
    <w:p w14:paraId="6EF9157A" w14:textId="77777777" w:rsidR="00272769" w:rsidRPr="00110D6C" w:rsidRDefault="00272769" w:rsidP="008D3859">
      <w:pPr>
        <w:widowControl/>
        <w:rPr>
          <w:rFonts w:cs="Times New Roman"/>
          <w:bCs/>
          <w:color w:val="auto"/>
          <w:szCs w:val="22"/>
          <w:lang w:val="pt-PT"/>
        </w:rPr>
      </w:pPr>
    </w:p>
    <w:p w14:paraId="64B9ED31" w14:textId="77777777" w:rsidR="00272769" w:rsidRPr="00110D6C" w:rsidRDefault="00272769" w:rsidP="008D3859">
      <w:pPr>
        <w:widowControl/>
        <w:rPr>
          <w:rFonts w:cs="Times New Roman"/>
          <w:bCs/>
          <w:color w:val="auto"/>
          <w:szCs w:val="22"/>
          <w:lang w:val="pt-PT"/>
        </w:rPr>
      </w:pPr>
    </w:p>
    <w:p w14:paraId="4BCD6504" w14:textId="77777777" w:rsidR="0077031F" w:rsidRPr="00110D6C" w:rsidRDefault="00272769"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16.</w:t>
      </w:r>
      <w:r w:rsidRPr="00110D6C">
        <w:rPr>
          <w:rFonts w:cs="Times New Roman"/>
          <w:b/>
          <w:bCs/>
          <w:color w:val="auto"/>
          <w:szCs w:val="22"/>
          <w:lang w:val="pt-PT"/>
        </w:rPr>
        <w:tab/>
      </w:r>
      <w:r w:rsidR="00030085" w:rsidRPr="00110D6C">
        <w:rPr>
          <w:rFonts w:cs="Times New Roman"/>
          <w:b/>
          <w:bCs/>
          <w:color w:val="auto"/>
          <w:szCs w:val="22"/>
          <w:lang w:val="pt-PT"/>
        </w:rPr>
        <w:t>INFORMAÇÃO EM BRAILLE</w:t>
      </w:r>
    </w:p>
    <w:p w14:paraId="21A919BB" w14:textId="77777777" w:rsidR="004D7229" w:rsidRPr="00110D6C" w:rsidRDefault="004D7229" w:rsidP="00A17623">
      <w:pPr>
        <w:widowControl/>
        <w:rPr>
          <w:rFonts w:cs="Times New Roman"/>
          <w:color w:val="auto"/>
          <w:szCs w:val="22"/>
          <w:lang w:val="pt-PT"/>
        </w:rPr>
      </w:pPr>
    </w:p>
    <w:p w14:paraId="6F4CD526"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Foi aceite a justificação para não incluir a informação em Braille.</w:t>
      </w:r>
    </w:p>
    <w:p w14:paraId="719A182D" w14:textId="77777777" w:rsidR="00272769" w:rsidRPr="00110D6C" w:rsidRDefault="00272769" w:rsidP="008D3859">
      <w:pPr>
        <w:widowControl/>
        <w:rPr>
          <w:rFonts w:cs="Times New Roman"/>
          <w:bCs/>
          <w:color w:val="auto"/>
          <w:szCs w:val="22"/>
          <w:lang w:val="pt-PT"/>
        </w:rPr>
      </w:pPr>
    </w:p>
    <w:p w14:paraId="3F9E5C7A" w14:textId="77777777" w:rsidR="00272769" w:rsidRPr="00110D6C" w:rsidRDefault="00272769" w:rsidP="008D3859">
      <w:pPr>
        <w:widowControl/>
        <w:rPr>
          <w:rFonts w:cs="Times New Roman"/>
          <w:bCs/>
          <w:color w:val="auto"/>
          <w:szCs w:val="22"/>
          <w:lang w:val="pt-PT"/>
        </w:rPr>
      </w:pPr>
    </w:p>
    <w:p w14:paraId="394E7DFA" w14:textId="77777777" w:rsidR="0077031F" w:rsidRPr="00110D6C" w:rsidRDefault="00272769"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17.</w:t>
      </w:r>
      <w:r w:rsidRPr="00110D6C">
        <w:rPr>
          <w:rFonts w:cs="Times New Roman"/>
          <w:b/>
          <w:bCs/>
          <w:color w:val="auto"/>
          <w:szCs w:val="22"/>
          <w:lang w:val="pt-PT"/>
        </w:rPr>
        <w:tab/>
      </w:r>
      <w:r w:rsidR="00030085" w:rsidRPr="00110D6C">
        <w:rPr>
          <w:rFonts w:cs="Times New Roman"/>
          <w:b/>
          <w:bCs/>
          <w:color w:val="auto"/>
          <w:szCs w:val="22"/>
          <w:lang w:val="pt-PT"/>
        </w:rPr>
        <w:t>IDENTIFICADOR ÚNICO – CÓDIGO DE BARRAS</w:t>
      </w:r>
      <w:r w:rsidR="00A22FCE" w:rsidRPr="00110D6C">
        <w:rPr>
          <w:rFonts w:cs="Times New Roman"/>
          <w:b/>
          <w:bCs/>
          <w:color w:val="auto"/>
          <w:szCs w:val="22"/>
          <w:lang w:val="pt-PT"/>
        </w:rPr>
        <w:t> </w:t>
      </w:r>
      <w:r w:rsidR="00030085" w:rsidRPr="00110D6C">
        <w:rPr>
          <w:rFonts w:cs="Times New Roman"/>
          <w:b/>
          <w:bCs/>
          <w:color w:val="auto"/>
          <w:szCs w:val="22"/>
          <w:lang w:val="pt-PT"/>
        </w:rPr>
        <w:t>2D</w:t>
      </w:r>
    </w:p>
    <w:p w14:paraId="1343A881" w14:textId="77777777" w:rsidR="004D7229" w:rsidRPr="00110D6C" w:rsidRDefault="004D7229" w:rsidP="00A17623">
      <w:pPr>
        <w:widowControl/>
        <w:rPr>
          <w:rFonts w:cs="Times New Roman"/>
          <w:color w:val="auto"/>
          <w:szCs w:val="22"/>
          <w:lang w:val="pt-PT"/>
        </w:rPr>
      </w:pPr>
    </w:p>
    <w:p w14:paraId="25A417AF"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Código de barras 2D com identificador único incluído.</w:t>
      </w:r>
    </w:p>
    <w:p w14:paraId="232D5E9B" w14:textId="77777777" w:rsidR="00272769" w:rsidRPr="00110D6C" w:rsidRDefault="00272769" w:rsidP="008D3859">
      <w:pPr>
        <w:widowControl/>
        <w:rPr>
          <w:rFonts w:cs="Times New Roman"/>
          <w:bCs/>
          <w:color w:val="auto"/>
          <w:szCs w:val="22"/>
          <w:lang w:val="pt-PT"/>
        </w:rPr>
      </w:pPr>
    </w:p>
    <w:p w14:paraId="1E932578" w14:textId="77777777" w:rsidR="00272769" w:rsidRPr="00110D6C" w:rsidRDefault="00272769" w:rsidP="008D3859">
      <w:pPr>
        <w:widowControl/>
        <w:rPr>
          <w:rFonts w:cs="Times New Roman"/>
          <w:bCs/>
          <w:color w:val="auto"/>
          <w:szCs w:val="22"/>
          <w:lang w:val="pt-PT"/>
        </w:rPr>
      </w:pPr>
    </w:p>
    <w:p w14:paraId="0E11392D" w14:textId="77777777" w:rsidR="0077031F" w:rsidRPr="00110D6C" w:rsidRDefault="00272769"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18.</w:t>
      </w:r>
      <w:r w:rsidRPr="00110D6C">
        <w:rPr>
          <w:rFonts w:cs="Times New Roman"/>
          <w:b/>
          <w:bCs/>
          <w:color w:val="auto"/>
          <w:szCs w:val="22"/>
          <w:lang w:val="pt-PT"/>
        </w:rPr>
        <w:tab/>
      </w:r>
      <w:r w:rsidR="00030085" w:rsidRPr="00110D6C">
        <w:rPr>
          <w:rFonts w:cs="Times New Roman"/>
          <w:b/>
          <w:bCs/>
          <w:color w:val="auto"/>
          <w:szCs w:val="22"/>
          <w:lang w:val="pt-PT"/>
        </w:rPr>
        <w:t>IDENTIFICADOR ÚNICO – DADOS PARA A LEITURA HUMANA</w:t>
      </w:r>
    </w:p>
    <w:p w14:paraId="45CB18E3" w14:textId="77777777" w:rsidR="004D7229" w:rsidRPr="00110D6C" w:rsidRDefault="004D7229" w:rsidP="00A17623">
      <w:pPr>
        <w:widowControl/>
        <w:rPr>
          <w:rFonts w:cs="Times New Roman"/>
          <w:color w:val="auto"/>
          <w:szCs w:val="22"/>
          <w:lang w:val="pt-PT"/>
        </w:rPr>
      </w:pPr>
    </w:p>
    <w:p w14:paraId="1B869662"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PC</w:t>
      </w:r>
    </w:p>
    <w:p w14:paraId="1543DFE2"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SN</w:t>
      </w:r>
    </w:p>
    <w:p w14:paraId="67F09001" w14:textId="77777777" w:rsidR="004D7229" w:rsidRPr="00110D6C" w:rsidRDefault="00030085" w:rsidP="00A17623">
      <w:pPr>
        <w:widowControl/>
        <w:rPr>
          <w:rFonts w:cs="Times New Roman"/>
          <w:color w:val="auto"/>
          <w:szCs w:val="22"/>
          <w:lang w:val="pt-PT"/>
        </w:rPr>
      </w:pPr>
      <w:r w:rsidRPr="00110D6C">
        <w:rPr>
          <w:rFonts w:cs="Times New Roman"/>
          <w:color w:val="auto"/>
          <w:szCs w:val="22"/>
          <w:lang w:val="pt-PT"/>
        </w:rPr>
        <w:t>NN</w:t>
      </w:r>
    </w:p>
    <w:p w14:paraId="12D16B54" w14:textId="77777777" w:rsidR="004D7229" w:rsidRPr="00110D6C" w:rsidRDefault="004D7229">
      <w:pPr>
        <w:rPr>
          <w:rFonts w:cs="Times New Roman"/>
          <w:color w:val="auto"/>
          <w:szCs w:val="22"/>
          <w:lang w:val="pt-PT"/>
        </w:rPr>
      </w:pPr>
      <w:r w:rsidRPr="00110D6C">
        <w:rPr>
          <w:rFonts w:cs="Times New Roman"/>
          <w:color w:val="auto"/>
          <w:szCs w:val="22"/>
          <w:lang w:val="pt-PT"/>
        </w:rPr>
        <w:br w:type="page"/>
      </w:r>
    </w:p>
    <w:p w14:paraId="070F3DC0" w14:textId="77777777" w:rsidR="0077031F" w:rsidRPr="00110D6C" w:rsidRDefault="00030085" w:rsidP="004D7229">
      <w:pPr>
        <w:widowControl/>
        <w:pBdr>
          <w:top w:val="single" w:sz="4" w:space="1" w:color="auto"/>
          <w:left w:val="single" w:sz="4" w:space="4" w:color="auto"/>
          <w:bottom w:val="single" w:sz="4" w:space="1" w:color="auto"/>
          <w:right w:val="single" w:sz="4" w:space="4" w:color="auto"/>
        </w:pBdr>
        <w:rPr>
          <w:rFonts w:cs="Times New Roman"/>
          <w:color w:val="auto"/>
          <w:szCs w:val="22"/>
          <w:lang w:val="pt-PT"/>
        </w:rPr>
      </w:pPr>
      <w:r w:rsidRPr="00110D6C">
        <w:rPr>
          <w:rFonts w:cs="Times New Roman"/>
          <w:b/>
          <w:bCs/>
          <w:color w:val="auto"/>
          <w:szCs w:val="22"/>
          <w:lang w:val="pt-PT"/>
        </w:rPr>
        <w:lastRenderedPageBreak/>
        <w:t>INDICAÇÕES MÍNIMAS A INCLUIR EM PEQUENAS UNIDADES DE ACONDICIONAMENTO PRIMÁRIO</w:t>
      </w:r>
    </w:p>
    <w:p w14:paraId="6EC0A61F" w14:textId="77777777" w:rsidR="004D7229" w:rsidRPr="00110D6C" w:rsidRDefault="004D7229" w:rsidP="004D7229">
      <w:pPr>
        <w:widowControl/>
        <w:pBdr>
          <w:top w:val="single" w:sz="4" w:space="1" w:color="auto"/>
          <w:left w:val="single" w:sz="4" w:space="4" w:color="auto"/>
          <w:bottom w:val="single" w:sz="4" w:space="1" w:color="auto"/>
          <w:right w:val="single" w:sz="4" w:space="4" w:color="auto"/>
        </w:pBdr>
        <w:rPr>
          <w:rFonts w:cs="Times New Roman"/>
          <w:bCs/>
          <w:color w:val="auto"/>
          <w:szCs w:val="22"/>
          <w:lang w:val="pt-PT"/>
        </w:rPr>
      </w:pPr>
    </w:p>
    <w:p w14:paraId="6FB1D604" w14:textId="77777777" w:rsidR="0077031F" w:rsidRPr="00110D6C" w:rsidRDefault="00030085" w:rsidP="004D7229">
      <w:pPr>
        <w:widowControl/>
        <w:pBdr>
          <w:top w:val="single" w:sz="4" w:space="1" w:color="auto"/>
          <w:left w:val="single" w:sz="4" w:space="4" w:color="auto"/>
          <w:bottom w:val="single" w:sz="4" w:space="1" w:color="auto"/>
          <w:right w:val="single" w:sz="4" w:space="4" w:color="auto"/>
        </w:pBdr>
        <w:rPr>
          <w:rFonts w:cs="Times New Roman"/>
          <w:color w:val="auto"/>
          <w:szCs w:val="22"/>
          <w:lang w:val="pt-PT"/>
        </w:rPr>
      </w:pPr>
      <w:r w:rsidRPr="00110D6C">
        <w:rPr>
          <w:rFonts w:cs="Times New Roman"/>
          <w:b/>
          <w:bCs/>
          <w:color w:val="auto"/>
          <w:szCs w:val="22"/>
          <w:lang w:val="pt-PT"/>
        </w:rPr>
        <w:t>TEXTO PARA O RÓTULO DO FRASCO PARA INJETÁVEIS (13</w:t>
      </w:r>
      <w:r w:rsidR="00B910F9" w:rsidRPr="00110D6C">
        <w:rPr>
          <w:rFonts w:cs="Times New Roman"/>
          <w:b/>
          <w:bCs/>
          <w:color w:val="auto"/>
          <w:szCs w:val="22"/>
          <w:lang w:val="pt-PT"/>
        </w:rPr>
        <w:t>0 </w:t>
      </w:r>
      <w:r w:rsidRPr="00110D6C">
        <w:rPr>
          <w:rFonts w:cs="Times New Roman"/>
          <w:b/>
          <w:bCs/>
          <w:color w:val="auto"/>
          <w:szCs w:val="22"/>
          <w:lang w:val="pt-PT"/>
        </w:rPr>
        <w:t>mg)</w:t>
      </w:r>
    </w:p>
    <w:p w14:paraId="146C40E1" w14:textId="77777777" w:rsidR="004D7229" w:rsidRPr="00110D6C" w:rsidRDefault="004D7229" w:rsidP="008D3859">
      <w:pPr>
        <w:widowControl/>
        <w:rPr>
          <w:rFonts w:cs="Times New Roman"/>
          <w:bCs/>
          <w:color w:val="auto"/>
          <w:szCs w:val="22"/>
          <w:lang w:val="pt-PT"/>
        </w:rPr>
      </w:pPr>
    </w:p>
    <w:p w14:paraId="1801C119" w14:textId="77777777" w:rsidR="004D7229" w:rsidRPr="00110D6C" w:rsidRDefault="004D7229" w:rsidP="008D3859">
      <w:pPr>
        <w:widowControl/>
        <w:rPr>
          <w:rFonts w:cs="Times New Roman"/>
          <w:bCs/>
          <w:color w:val="auto"/>
          <w:szCs w:val="22"/>
          <w:lang w:val="pt-PT"/>
        </w:rPr>
      </w:pPr>
    </w:p>
    <w:p w14:paraId="165988E4" w14:textId="77777777" w:rsidR="0077031F" w:rsidRPr="00110D6C" w:rsidRDefault="00DC3C01"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w:t>
      </w:r>
      <w:r w:rsidRPr="00110D6C">
        <w:rPr>
          <w:rFonts w:cs="Times New Roman"/>
          <w:b/>
          <w:bCs/>
          <w:color w:val="auto"/>
          <w:szCs w:val="22"/>
          <w:lang w:val="pt-PT"/>
        </w:rPr>
        <w:tab/>
      </w:r>
      <w:r w:rsidR="00030085" w:rsidRPr="00110D6C">
        <w:rPr>
          <w:rFonts w:cs="Times New Roman"/>
          <w:b/>
          <w:bCs/>
          <w:color w:val="auto"/>
          <w:szCs w:val="22"/>
          <w:lang w:val="pt-PT"/>
        </w:rPr>
        <w:t>NOME DO MEDICAMENTO E VIA(S) DE ADMINISTRAÇÃO</w:t>
      </w:r>
    </w:p>
    <w:p w14:paraId="03E55E23" w14:textId="77777777" w:rsidR="004D7229" w:rsidRPr="00110D6C" w:rsidRDefault="004D7229" w:rsidP="00A17623">
      <w:pPr>
        <w:widowControl/>
        <w:rPr>
          <w:rFonts w:cs="Times New Roman"/>
          <w:color w:val="auto"/>
          <w:szCs w:val="22"/>
          <w:lang w:val="pt-PT"/>
        </w:rPr>
      </w:pPr>
    </w:p>
    <w:p w14:paraId="115906E3" w14:textId="45B14D4D" w:rsidR="00A22FCE" w:rsidRPr="00110D6C" w:rsidRDefault="00D05FE6" w:rsidP="00A17623">
      <w:pPr>
        <w:widowControl/>
        <w:rPr>
          <w:rFonts w:cs="Times New Roman"/>
          <w:color w:val="auto"/>
          <w:szCs w:val="22"/>
          <w:lang w:val="pt-PT"/>
        </w:rPr>
      </w:pPr>
      <w:r w:rsidRPr="00110D6C">
        <w:rPr>
          <w:rFonts w:cs="Times New Roman"/>
          <w:color w:val="auto"/>
          <w:szCs w:val="22"/>
          <w:lang w:val="pt-PT"/>
        </w:rPr>
        <w:t>F</w:t>
      </w:r>
      <w:r w:rsidR="003508E1" w:rsidRPr="00110D6C">
        <w:rPr>
          <w:rFonts w:cs="Times New Roman"/>
          <w:color w:val="auto"/>
          <w:szCs w:val="22"/>
          <w:lang w:val="pt-PT"/>
        </w:rPr>
        <w:t>ymskina</w:t>
      </w:r>
      <w:r w:rsidR="00030085" w:rsidRPr="00110D6C">
        <w:rPr>
          <w:rFonts w:cs="Times New Roman"/>
          <w:color w:val="auto"/>
          <w:szCs w:val="22"/>
          <w:lang w:val="pt-PT"/>
        </w:rPr>
        <w:t xml:space="preserve"> 13</w:t>
      </w:r>
      <w:r w:rsidR="00B910F9" w:rsidRPr="00110D6C">
        <w:rPr>
          <w:rFonts w:cs="Times New Roman"/>
          <w:color w:val="auto"/>
          <w:szCs w:val="22"/>
          <w:lang w:val="pt-PT"/>
        </w:rPr>
        <w:t>0 </w:t>
      </w:r>
      <w:r w:rsidR="00030085" w:rsidRPr="00110D6C">
        <w:rPr>
          <w:rFonts w:cs="Times New Roman"/>
          <w:color w:val="auto"/>
          <w:szCs w:val="22"/>
          <w:lang w:val="pt-PT"/>
        </w:rPr>
        <w:t>mg concentrado para solução para perfusão</w:t>
      </w:r>
    </w:p>
    <w:p w14:paraId="1F69DF59"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ustecinumab</w:t>
      </w:r>
    </w:p>
    <w:p w14:paraId="3BAA2B9B" w14:textId="77777777" w:rsidR="004D7229" w:rsidRPr="00110D6C" w:rsidRDefault="004D7229" w:rsidP="008D3859">
      <w:pPr>
        <w:widowControl/>
        <w:rPr>
          <w:rFonts w:cs="Times New Roman"/>
          <w:bCs/>
          <w:color w:val="auto"/>
          <w:szCs w:val="22"/>
          <w:lang w:val="pt-PT"/>
        </w:rPr>
      </w:pPr>
    </w:p>
    <w:p w14:paraId="0A579DB9" w14:textId="77777777" w:rsidR="004D7229" w:rsidRPr="00110D6C" w:rsidRDefault="004D7229" w:rsidP="008D3859">
      <w:pPr>
        <w:widowControl/>
        <w:rPr>
          <w:rFonts w:cs="Times New Roman"/>
          <w:bCs/>
          <w:color w:val="auto"/>
          <w:szCs w:val="22"/>
          <w:lang w:val="pt-PT"/>
        </w:rPr>
      </w:pPr>
    </w:p>
    <w:p w14:paraId="5E4A6F76" w14:textId="77777777" w:rsidR="0077031F" w:rsidRPr="00110D6C" w:rsidRDefault="00DC3C01"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2.</w:t>
      </w:r>
      <w:r w:rsidRPr="00110D6C">
        <w:rPr>
          <w:rFonts w:cs="Times New Roman"/>
          <w:b/>
          <w:bCs/>
          <w:color w:val="auto"/>
          <w:szCs w:val="22"/>
          <w:lang w:val="pt-PT"/>
        </w:rPr>
        <w:tab/>
      </w:r>
      <w:r w:rsidR="00030085" w:rsidRPr="00110D6C">
        <w:rPr>
          <w:rFonts w:cs="Times New Roman"/>
          <w:b/>
          <w:bCs/>
          <w:color w:val="auto"/>
          <w:szCs w:val="22"/>
          <w:lang w:val="pt-PT"/>
        </w:rPr>
        <w:t>MODO DE ADMINISTRAÇÃO</w:t>
      </w:r>
    </w:p>
    <w:p w14:paraId="68A2F6FA" w14:textId="77777777" w:rsidR="004D7229" w:rsidRPr="00110D6C" w:rsidRDefault="004D7229" w:rsidP="00A17623">
      <w:pPr>
        <w:widowControl/>
        <w:rPr>
          <w:rFonts w:cs="Times New Roman"/>
          <w:color w:val="auto"/>
          <w:szCs w:val="22"/>
          <w:lang w:val="pt-PT"/>
        </w:rPr>
      </w:pPr>
    </w:p>
    <w:p w14:paraId="4EE9D15A"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Para utilização IV após diluição.</w:t>
      </w:r>
    </w:p>
    <w:p w14:paraId="7B113F2F"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Não agitar.</w:t>
      </w:r>
    </w:p>
    <w:p w14:paraId="5FB1F7F1" w14:textId="77777777" w:rsidR="004D7229" w:rsidRPr="00110D6C" w:rsidRDefault="004D7229" w:rsidP="008D3859">
      <w:pPr>
        <w:widowControl/>
        <w:rPr>
          <w:rFonts w:cs="Times New Roman"/>
          <w:bCs/>
          <w:color w:val="auto"/>
          <w:szCs w:val="22"/>
          <w:lang w:val="pt-PT"/>
        </w:rPr>
      </w:pPr>
    </w:p>
    <w:p w14:paraId="4981BAC8" w14:textId="77777777" w:rsidR="004D7229" w:rsidRPr="00110D6C" w:rsidRDefault="004D7229" w:rsidP="008D3859">
      <w:pPr>
        <w:widowControl/>
        <w:rPr>
          <w:rFonts w:cs="Times New Roman"/>
          <w:bCs/>
          <w:color w:val="auto"/>
          <w:szCs w:val="22"/>
          <w:lang w:val="pt-PT"/>
        </w:rPr>
      </w:pPr>
    </w:p>
    <w:p w14:paraId="10E76985" w14:textId="77777777" w:rsidR="0077031F" w:rsidRPr="00110D6C" w:rsidRDefault="00DC3C01"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3.</w:t>
      </w:r>
      <w:r w:rsidRPr="00110D6C">
        <w:rPr>
          <w:rFonts w:cs="Times New Roman"/>
          <w:b/>
          <w:bCs/>
          <w:color w:val="auto"/>
          <w:szCs w:val="22"/>
          <w:lang w:val="pt-PT"/>
        </w:rPr>
        <w:tab/>
      </w:r>
      <w:r w:rsidR="00030085" w:rsidRPr="00110D6C">
        <w:rPr>
          <w:rFonts w:cs="Times New Roman"/>
          <w:b/>
          <w:bCs/>
          <w:color w:val="auto"/>
          <w:szCs w:val="22"/>
          <w:lang w:val="pt-PT"/>
        </w:rPr>
        <w:t>PRAZO DE VALIDADE</w:t>
      </w:r>
    </w:p>
    <w:p w14:paraId="18C7C525" w14:textId="77777777" w:rsidR="004D7229" w:rsidRPr="00110D6C" w:rsidRDefault="004D7229" w:rsidP="00A17623">
      <w:pPr>
        <w:widowControl/>
        <w:rPr>
          <w:rFonts w:cs="Times New Roman"/>
          <w:color w:val="auto"/>
          <w:szCs w:val="22"/>
          <w:lang w:val="pt-PT"/>
        </w:rPr>
      </w:pPr>
    </w:p>
    <w:p w14:paraId="42E2EE43"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VAL.</w:t>
      </w:r>
    </w:p>
    <w:p w14:paraId="16DB67AB" w14:textId="77777777" w:rsidR="004D7229" w:rsidRPr="00110D6C" w:rsidRDefault="004D7229" w:rsidP="008D3859">
      <w:pPr>
        <w:widowControl/>
        <w:rPr>
          <w:rFonts w:cs="Times New Roman"/>
          <w:bCs/>
          <w:color w:val="auto"/>
          <w:szCs w:val="22"/>
          <w:lang w:val="pt-PT"/>
        </w:rPr>
      </w:pPr>
    </w:p>
    <w:p w14:paraId="7A24D11A" w14:textId="77777777" w:rsidR="004D7229" w:rsidRPr="00110D6C" w:rsidRDefault="004D7229" w:rsidP="008D3859">
      <w:pPr>
        <w:widowControl/>
        <w:rPr>
          <w:rFonts w:cs="Times New Roman"/>
          <w:bCs/>
          <w:color w:val="auto"/>
          <w:szCs w:val="22"/>
          <w:lang w:val="pt-PT"/>
        </w:rPr>
      </w:pPr>
    </w:p>
    <w:p w14:paraId="7176C54F" w14:textId="77777777" w:rsidR="0077031F" w:rsidRPr="00110D6C" w:rsidRDefault="00DC3C01"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4.</w:t>
      </w:r>
      <w:r w:rsidRPr="00110D6C">
        <w:rPr>
          <w:rFonts w:cs="Times New Roman"/>
          <w:b/>
          <w:bCs/>
          <w:color w:val="auto"/>
          <w:szCs w:val="22"/>
          <w:lang w:val="pt-PT"/>
        </w:rPr>
        <w:tab/>
      </w:r>
      <w:r w:rsidR="00030085" w:rsidRPr="00110D6C">
        <w:rPr>
          <w:rFonts w:cs="Times New Roman"/>
          <w:b/>
          <w:bCs/>
          <w:color w:val="auto"/>
          <w:szCs w:val="22"/>
          <w:lang w:val="pt-PT"/>
        </w:rPr>
        <w:t>NÚMERO DO LOTE</w:t>
      </w:r>
    </w:p>
    <w:p w14:paraId="747C5312" w14:textId="77777777" w:rsidR="004D7229" w:rsidRPr="00110D6C" w:rsidRDefault="004D7229" w:rsidP="00A17623">
      <w:pPr>
        <w:widowControl/>
        <w:rPr>
          <w:rFonts w:cs="Times New Roman"/>
          <w:color w:val="auto"/>
          <w:szCs w:val="22"/>
          <w:lang w:val="pt-PT"/>
        </w:rPr>
      </w:pPr>
    </w:p>
    <w:p w14:paraId="608BBE9E"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Lote</w:t>
      </w:r>
    </w:p>
    <w:p w14:paraId="6C1C8E95" w14:textId="77777777" w:rsidR="004D7229" w:rsidRPr="00110D6C" w:rsidRDefault="004D7229" w:rsidP="008D3859">
      <w:pPr>
        <w:widowControl/>
        <w:rPr>
          <w:rFonts w:cs="Times New Roman"/>
          <w:bCs/>
          <w:color w:val="auto"/>
          <w:szCs w:val="22"/>
          <w:lang w:val="pt-PT"/>
        </w:rPr>
      </w:pPr>
    </w:p>
    <w:p w14:paraId="1E96EC82" w14:textId="77777777" w:rsidR="004D7229" w:rsidRPr="00110D6C" w:rsidRDefault="004D7229" w:rsidP="008D3859">
      <w:pPr>
        <w:widowControl/>
        <w:rPr>
          <w:rFonts w:cs="Times New Roman"/>
          <w:bCs/>
          <w:color w:val="auto"/>
          <w:szCs w:val="22"/>
          <w:lang w:val="pt-PT"/>
        </w:rPr>
      </w:pPr>
    </w:p>
    <w:p w14:paraId="1EFBECCD" w14:textId="77777777" w:rsidR="0077031F" w:rsidRPr="00110D6C" w:rsidRDefault="00DC3C01"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5.</w:t>
      </w:r>
      <w:r w:rsidRPr="00110D6C">
        <w:rPr>
          <w:rFonts w:cs="Times New Roman"/>
          <w:b/>
          <w:bCs/>
          <w:color w:val="auto"/>
          <w:szCs w:val="22"/>
          <w:lang w:val="pt-PT"/>
        </w:rPr>
        <w:tab/>
      </w:r>
      <w:r w:rsidR="00030085" w:rsidRPr="00110D6C">
        <w:rPr>
          <w:rFonts w:cs="Times New Roman"/>
          <w:b/>
          <w:bCs/>
          <w:color w:val="auto"/>
          <w:szCs w:val="22"/>
          <w:lang w:val="pt-PT"/>
        </w:rPr>
        <w:t>CONTEÚDO EM PESO, VOLUME OU UNIDADE</w:t>
      </w:r>
    </w:p>
    <w:p w14:paraId="41B84971" w14:textId="77777777" w:rsidR="004D7229" w:rsidRPr="00110D6C" w:rsidRDefault="004D7229" w:rsidP="00A17623">
      <w:pPr>
        <w:widowControl/>
        <w:rPr>
          <w:rFonts w:cs="Times New Roman"/>
          <w:color w:val="auto"/>
          <w:szCs w:val="22"/>
          <w:lang w:val="pt-PT"/>
        </w:rPr>
      </w:pPr>
    </w:p>
    <w:p w14:paraId="55E64D24"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13</w:t>
      </w:r>
      <w:r w:rsidR="00B910F9" w:rsidRPr="00110D6C">
        <w:rPr>
          <w:rFonts w:cs="Times New Roman"/>
          <w:color w:val="auto"/>
          <w:szCs w:val="22"/>
          <w:lang w:val="pt-PT"/>
        </w:rPr>
        <w:t>0 </w:t>
      </w:r>
      <w:r w:rsidRPr="00110D6C">
        <w:rPr>
          <w:rFonts w:cs="Times New Roman"/>
          <w:color w:val="auto"/>
          <w:szCs w:val="22"/>
          <w:lang w:val="pt-PT"/>
        </w:rPr>
        <w:t>mg/2</w:t>
      </w:r>
      <w:r w:rsidR="00B910F9" w:rsidRPr="00110D6C">
        <w:rPr>
          <w:rFonts w:cs="Times New Roman"/>
          <w:color w:val="auto"/>
          <w:szCs w:val="22"/>
          <w:lang w:val="pt-PT"/>
        </w:rPr>
        <w:t>6 </w:t>
      </w:r>
      <w:r w:rsidRPr="00110D6C">
        <w:rPr>
          <w:rFonts w:cs="Times New Roman"/>
          <w:color w:val="auto"/>
          <w:szCs w:val="22"/>
          <w:lang w:val="pt-PT"/>
        </w:rPr>
        <w:t>ml</w:t>
      </w:r>
    </w:p>
    <w:p w14:paraId="7F2A36CA" w14:textId="77777777" w:rsidR="004D7229" w:rsidRPr="00110D6C" w:rsidRDefault="004D7229" w:rsidP="00A17623">
      <w:pPr>
        <w:widowControl/>
        <w:rPr>
          <w:rFonts w:cs="Times New Roman"/>
          <w:color w:val="auto"/>
          <w:szCs w:val="22"/>
          <w:lang w:val="pt-PT"/>
        </w:rPr>
      </w:pPr>
    </w:p>
    <w:p w14:paraId="1184E5FC" w14:textId="77777777" w:rsidR="004D7229" w:rsidRPr="00110D6C" w:rsidRDefault="004D7229" w:rsidP="00A17623">
      <w:pPr>
        <w:widowControl/>
        <w:rPr>
          <w:rFonts w:cs="Times New Roman"/>
          <w:color w:val="auto"/>
          <w:szCs w:val="22"/>
          <w:lang w:val="pt-PT"/>
        </w:rPr>
      </w:pPr>
    </w:p>
    <w:p w14:paraId="3277BF1A" w14:textId="77777777" w:rsidR="0077031F" w:rsidRPr="00110D6C" w:rsidRDefault="00DC3C01"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6.</w:t>
      </w:r>
      <w:r w:rsidRPr="00110D6C">
        <w:rPr>
          <w:rFonts w:cs="Times New Roman"/>
          <w:b/>
          <w:bCs/>
          <w:color w:val="auto"/>
          <w:szCs w:val="22"/>
          <w:lang w:val="pt-PT"/>
        </w:rPr>
        <w:tab/>
      </w:r>
      <w:r w:rsidR="00030085" w:rsidRPr="00110D6C">
        <w:rPr>
          <w:rFonts w:cs="Times New Roman"/>
          <w:b/>
          <w:bCs/>
          <w:color w:val="auto"/>
          <w:szCs w:val="22"/>
          <w:lang w:val="pt-PT"/>
        </w:rPr>
        <w:t>OUTRAS</w:t>
      </w:r>
    </w:p>
    <w:p w14:paraId="36EB1805" w14:textId="77777777" w:rsidR="004D7229" w:rsidRPr="00110D6C" w:rsidRDefault="004D7229">
      <w:pPr>
        <w:rPr>
          <w:rFonts w:cs="Times New Roman"/>
          <w:bCs/>
          <w:color w:val="auto"/>
          <w:szCs w:val="22"/>
          <w:lang w:val="pt-PT"/>
        </w:rPr>
      </w:pPr>
      <w:r w:rsidRPr="00110D6C">
        <w:rPr>
          <w:rFonts w:cs="Times New Roman"/>
          <w:b/>
          <w:bCs/>
          <w:color w:val="auto"/>
          <w:szCs w:val="22"/>
          <w:lang w:val="pt-PT"/>
        </w:rPr>
        <w:br w:type="page"/>
      </w:r>
    </w:p>
    <w:p w14:paraId="74054DE8" w14:textId="77777777" w:rsidR="0077031F" w:rsidRPr="00110D6C" w:rsidRDefault="00030085" w:rsidP="004D7229">
      <w:pPr>
        <w:widowControl/>
        <w:pBdr>
          <w:top w:val="single" w:sz="4" w:space="1" w:color="auto"/>
          <w:left w:val="single" w:sz="4" w:space="4" w:color="auto"/>
          <w:bottom w:val="single" w:sz="4" w:space="1" w:color="auto"/>
          <w:right w:val="single" w:sz="4" w:space="4" w:color="auto"/>
        </w:pBdr>
        <w:rPr>
          <w:rFonts w:cs="Times New Roman"/>
          <w:color w:val="auto"/>
          <w:szCs w:val="22"/>
          <w:lang w:val="pt-PT"/>
        </w:rPr>
      </w:pPr>
      <w:r w:rsidRPr="00110D6C">
        <w:rPr>
          <w:rFonts w:cs="Times New Roman"/>
          <w:b/>
          <w:bCs/>
          <w:color w:val="auto"/>
          <w:szCs w:val="22"/>
          <w:lang w:val="pt-PT"/>
        </w:rPr>
        <w:lastRenderedPageBreak/>
        <w:t>INDICAÇÕES A INCLUIR NO ACONDICIONAMENTO SECUNDÁRIO</w:t>
      </w:r>
    </w:p>
    <w:p w14:paraId="0A8AB22C" w14:textId="77777777" w:rsidR="004D7229" w:rsidRPr="00110D6C" w:rsidRDefault="004D7229" w:rsidP="004D7229">
      <w:pPr>
        <w:widowControl/>
        <w:pBdr>
          <w:top w:val="single" w:sz="4" w:space="1" w:color="auto"/>
          <w:left w:val="single" w:sz="4" w:space="4" w:color="auto"/>
          <w:bottom w:val="single" w:sz="4" w:space="1" w:color="auto"/>
          <w:right w:val="single" w:sz="4" w:space="4" w:color="auto"/>
        </w:pBdr>
        <w:rPr>
          <w:rFonts w:cs="Times New Roman"/>
          <w:bCs/>
          <w:color w:val="auto"/>
          <w:szCs w:val="22"/>
          <w:lang w:val="pt-PT"/>
        </w:rPr>
      </w:pPr>
    </w:p>
    <w:p w14:paraId="05E20340" w14:textId="77777777" w:rsidR="0077031F" w:rsidRPr="00110D6C" w:rsidRDefault="00030085" w:rsidP="004D7229">
      <w:pPr>
        <w:widowControl/>
        <w:pBdr>
          <w:top w:val="single" w:sz="4" w:space="1" w:color="auto"/>
          <w:left w:val="single" w:sz="4" w:space="4" w:color="auto"/>
          <w:bottom w:val="single" w:sz="4" w:space="1" w:color="auto"/>
          <w:right w:val="single" w:sz="4" w:space="4" w:color="auto"/>
        </w:pBdr>
        <w:rPr>
          <w:rFonts w:cs="Times New Roman"/>
          <w:color w:val="auto"/>
          <w:szCs w:val="22"/>
          <w:lang w:val="pt-PT"/>
        </w:rPr>
      </w:pPr>
      <w:r w:rsidRPr="00110D6C">
        <w:rPr>
          <w:rFonts w:cs="Times New Roman"/>
          <w:b/>
          <w:bCs/>
          <w:color w:val="auto"/>
          <w:szCs w:val="22"/>
          <w:lang w:val="pt-PT"/>
        </w:rPr>
        <w:t>TEXTO PARA A CARTONAGEM DA SERINGA PRÉ-CHEIA (4</w:t>
      </w:r>
      <w:r w:rsidR="00B910F9" w:rsidRPr="00110D6C">
        <w:rPr>
          <w:rFonts w:cs="Times New Roman"/>
          <w:b/>
          <w:bCs/>
          <w:color w:val="auto"/>
          <w:szCs w:val="22"/>
          <w:lang w:val="pt-PT"/>
        </w:rPr>
        <w:t>5 </w:t>
      </w:r>
      <w:r w:rsidRPr="00110D6C">
        <w:rPr>
          <w:rFonts w:cs="Times New Roman"/>
          <w:b/>
          <w:bCs/>
          <w:color w:val="auto"/>
          <w:szCs w:val="22"/>
          <w:lang w:val="pt-PT"/>
        </w:rPr>
        <w:t>mg)</w:t>
      </w:r>
    </w:p>
    <w:p w14:paraId="4AA369BE" w14:textId="77777777" w:rsidR="004D7229" w:rsidRPr="00110D6C" w:rsidRDefault="004D7229" w:rsidP="008D3859">
      <w:pPr>
        <w:widowControl/>
        <w:rPr>
          <w:rFonts w:cs="Times New Roman"/>
          <w:bCs/>
          <w:color w:val="auto"/>
          <w:szCs w:val="22"/>
          <w:lang w:val="pt-PT"/>
        </w:rPr>
      </w:pPr>
      <w:bookmarkStart w:id="78" w:name="bookmark124"/>
    </w:p>
    <w:p w14:paraId="7A1C8067" w14:textId="77777777" w:rsidR="004D7229" w:rsidRPr="00110D6C" w:rsidRDefault="004D7229" w:rsidP="008D3859">
      <w:pPr>
        <w:widowControl/>
        <w:rPr>
          <w:rFonts w:cs="Times New Roman"/>
          <w:bCs/>
          <w:color w:val="auto"/>
          <w:szCs w:val="22"/>
          <w:lang w:val="pt-PT"/>
        </w:rPr>
      </w:pPr>
    </w:p>
    <w:p w14:paraId="3276DC37" w14:textId="77777777" w:rsidR="0077031F" w:rsidRPr="00110D6C" w:rsidRDefault="00DC3C01"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w:t>
      </w:r>
      <w:r w:rsidRPr="00110D6C">
        <w:rPr>
          <w:rFonts w:cs="Times New Roman"/>
          <w:b/>
          <w:bCs/>
          <w:color w:val="auto"/>
          <w:szCs w:val="22"/>
          <w:lang w:val="pt-PT"/>
        </w:rPr>
        <w:tab/>
      </w:r>
      <w:r w:rsidR="00030085" w:rsidRPr="00110D6C">
        <w:rPr>
          <w:rFonts w:cs="Times New Roman"/>
          <w:b/>
          <w:bCs/>
          <w:color w:val="auto"/>
          <w:szCs w:val="22"/>
          <w:lang w:val="pt-PT"/>
        </w:rPr>
        <w:t>NOME DO MEDICAMENTO</w:t>
      </w:r>
      <w:bookmarkEnd w:id="78"/>
    </w:p>
    <w:p w14:paraId="14EAF9EF" w14:textId="77777777" w:rsidR="004D7229" w:rsidRPr="00110D6C" w:rsidRDefault="004D7229" w:rsidP="00A17623">
      <w:pPr>
        <w:widowControl/>
        <w:rPr>
          <w:rFonts w:cs="Times New Roman"/>
          <w:color w:val="auto"/>
          <w:szCs w:val="22"/>
          <w:lang w:val="pt-PT"/>
        </w:rPr>
      </w:pPr>
    </w:p>
    <w:p w14:paraId="1582F209" w14:textId="3DEF5FBC" w:rsidR="004D7229" w:rsidRPr="00110D6C" w:rsidRDefault="00D05FE6" w:rsidP="004D7229">
      <w:pPr>
        <w:widowControl/>
        <w:rPr>
          <w:rFonts w:cs="Times New Roman"/>
          <w:color w:val="auto"/>
          <w:szCs w:val="22"/>
          <w:lang w:val="pt-PT"/>
        </w:rPr>
      </w:pPr>
      <w:r w:rsidRPr="00110D6C">
        <w:rPr>
          <w:rFonts w:cs="Times New Roman"/>
          <w:color w:val="auto"/>
          <w:szCs w:val="22"/>
          <w:lang w:val="pt-PT"/>
        </w:rPr>
        <w:t>F</w:t>
      </w:r>
      <w:r w:rsidR="003508E1" w:rsidRPr="00110D6C">
        <w:rPr>
          <w:rFonts w:cs="Times New Roman"/>
          <w:color w:val="auto"/>
          <w:szCs w:val="22"/>
          <w:lang w:val="pt-PT"/>
        </w:rPr>
        <w:t>ymskina</w:t>
      </w:r>
      <w:r w:rsidR="00030085" w:rsidRPr="00110D6C">
        <w:rPr>
          <w:rFonts w:cs="Times New Roman"/>
          <w:color w:val="auto"/>
          <w:szCs w:val="22"/>
          <w:lang w:val="pt-PT"/>
        </w:rPr>
        <w:t xml:space="preserve"> 4</w:t>
      </w:r>
      <w:r w:rsidR="00B910F9" w:rsidRPr="00110D6C">
        <w:rPr>
          <w:rFonts w:cs="Times New Roman"/>
          <w:color w:val="auto"/>
          <w:szCs w:val="22"/>
          <w:lang w:val="pt-PT"/>
        </w:rPr>
        <w:t>5 </w:t>
      </w:r>
      <w:r w:rsidR="00030085" w:rsidRPr="00110D6C">
        <w:rPr>
          <w:rFonts w:cs="Times New Roman"/>
          <w:color w:val="auto"/>
          <w:szCs w:val="22"/>
          <w:lang w:val="pt-PT"/>
        </w:rPr>
        <w:t>mg solução injetável em seringa pré-cheia</w:t>
      </w:r>
    </w:p>
    <w:p w14:paraId="5B8BFD30" w14:textId="77777777" w:rsidR="0077031F" w:rsidRPr="00110D6C" w:rsidRDefault="00030085" w:rsidP="004D7229">
      <w:pPr>
        <w:widowControl/>
        <w:rPr>
          <w:rFonts w:cs="Times New Roman"/>
          <w:color w:val="auto"/>
          <w:szCs w:val="22"/>
          <w:lang w:val="pt-PT"/>
        </w:rPr>
      </w:pPr>
      <w:r w:rsidRPr="00110D6C">
        <w:rPr>
          <w:rFonts w:cs="Times New Roman"/>
          <w:color w:val="auto"/>
          <w:szCs w:val="22"/>
          <w:lang w:val="pt-PT"/>
        </w:rPr>
        <w:t>ustecinumab</w:t>
      </w:r>
    </w:p>
    <w:p w14:paraId="247D03F0" w14:textId="77777777" w:rsidR="004D7229" w:rsidRPr="00110D6C" w:rsidRDefault="004D7229" w:rsidP="008D3859">
      <w:pPr>
        <w:widowControl/>
        <w:rPr>
          <w:rFonts w:cs="Times New Roman"/>
          <w:bCs/>
          <w:color w:val="auto"/>
          <w:szCs w:val="22"/>
          <w:lang w:val="pt-PT"/>
        </w:rPr>
      </w:pPr>
      <w:bookmarkStart w:id="79" w:name="bookmark126"/>
    </w:p>
    <w:p w14:paraId="6B0CDE6F" w14:textId="77777777" w:rsidR="004D7229" w:rsidRPr="00110D6C" w:rsidRDefault="004D7229" w:rsidP="008D3859">
      <w:pPr>
        <w:widowControl/>
        <w:rPr>
          <w:rFonts w:cs="Times New Roman"/>
          <w:bCs/>
          <w:color w:val="auto"/>
          <w:szCs w:val="22"/>
          <w:lang w:val="pt-PT"/>
        </w:rPr>
      </w:pPr>
    </w:p>
    <w:p w14:paraId="67BE36C4" w14:textId="77777777" w:rsidR="0077031F" w:rsidRPr="00110D6C" w:rsidRDefault="00DC3C01"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2.</w:t>
      </w:r>
      <w:r w:rsidRPr="00110D6C">
        <w:rPr>
          <w:rFonts w:cs="Times New Roman"/>
          <w:b/>
          <w:bCs/>
          <w:color w:val="auto"/>
          <w:szCs w:val="22"/>
          <w:lang w:val="pt-PT"/>
        </w:rPr>
        <w:tab/>
      </w:r>
      <w:r w:rsidR="00030085" w:rsidRPr="00110D6C">
        <w:rPr>
          <w:rFonts w:cs="Times New Roman"/>
          <w:b/>
          <w:bCs/>
          <w:color w:val="auto"/>
          <w:szCs w:val="22"/>
          <w:lang w:val="pt-PT"/>
        </w:rPr>
        <w:t>DESCRIÇÃO DA(S) SUBSTÂNCIA(S) ATIVA(S)</w:t>
      </w:r>
      <w:bookmarkEnd w:id="79"/>
    </w:p>
    <w:p w14:paraId="0747F385" w14:textId="77777777" w:rsidR="004D7229" w:rsidRPr="00110D6C" w:rsidRDefault="004D7229" w:rsidP="00A17623">
      <w:pPr>
        <w:widowControl/>
        <w:rPr>
          <w:rFonts w:cs="Times New Roman"/>
          <w:color w:val="auto"/>
          <w:szCs w:val="22"/>
          <w:lang w:val="pt-PT"/>
        </w:rPr>
      </w:pPr>
    </w:p>
    <w:p w14:paraId="6E55E186"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Cada seringa pré-cheia contém 4</w:t>
      </w:r>
      <w:r w:rsidR="00B910F9" w:rsidRPr="00110D6C">
        <w:rPr>
          <w:rFonts w:cs="Times New Roman"/>
          <w:color w:val="auto"/>
          <w:szCs w:val="22"/>
          <w:lang w:val="pt-PT"/>
        </w:rPr>
        <w:t>5 </w:t>
      </w:r>
      <w:r w:rsidRPr="00110D6C">
        <w:rPr>
          <w:rFonts w:cs="Times New Roman"/>
          <w:color w:val="auto"/>
          <w:szCs w:val="22"/>
          <w:lang w:val="pt-PT"/>
        </w:rPr>
        <w:t>mg de ustecinumab em 0,</w:t>
      </w:r>
      <w:r w:rsidR="00B910F9" w:rsidRPr="00110D6C">
        <w:rPr>
          <w:rFonts w:cs="Times New Roman"/>
          <w:color w:val="auto"/>
          <w:szCs w:val="22"/>
          <w:lang w:val="pt-PT"/>
        </w:rPr>
        <w:t>5 </w:t>
      </w:r>
      <w:r w:rsidRPr="00110D6C">
        <w:rPr>
          <w:rFonts w:cs="Times New Roman"/>
          <w:color w:val="auto"/>
          <w:szCs w:val="22"/>
          <w:lang w:val="pt-PT"/>
        </w:rPr>
        <w:t>ml.</w:t>
      </w:r>
    </w:p>
    <w:p w14:paraId="6FB9B1F6" w14:textId="77777777" w:rsidR="004D7229" w:rsidRPr="00110D6C" w:rsidRDefault="004D7229" w:rsidP="008D3859">
      <w:pPr>
        <w:widowControl/>
        <w:rPr>
          <w:rFonts w:cs="Times New Roman"/>
          <w:bCs/>
          <w:color w:val="auto"/>
          <w:szCs w:val="22"/>
          <w:lang w:val="pt-PT"/>
        </w:rPr>
      </w:pPr>
      <w:bookmarkStart w:id="80" w:name="bookmark128"/>
    </w:p>
    <w:p w14:paraId="41ED13F1" w14:textId="77777777" w:rsidR="004D7229" w:rsidRPr="00110D6C" w:rsidRDefault="004D7229" w:rsidP="008D3859">
      <w:pPr>
        <w:widowControl/>
        <w:rPr>
          <w:rFonts w:cs="Times New Roman"/>
          <w:bCs/>
          <w:color w:val="auto"/>
          <w:szCs w:val="22"/>
          <w:lang w:val="pt-PT"/>
        </w:rPr>
      </w:pPr>
    </w:p>
    <w:p w14:paraId="3F22DBD8" w14:textId="77777777" w:rsidR="0077031F" w:rsidRPr="00110D6C" w:rsidRDefault="00DC3C01"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3.</w:t>
      </w:r>
      <w:r w:rsidRPr="00110D6C">
        <w:rPr>
          <w:rFonts w:cs="Times New Roman"/>
          <w:b/>
          <w:bCs/>
          <w:color w:val="auto"/>
          <w:szCs w:val="22"/>
          <w:lang w:val="pt-PT"/>
        </w:rPr>
        <w:tab/>
      </w:r>
      <w:r w:rsidR="00030085" w:rsidRPr="00110D6C">
        <w:rPr>
          <w:rFonts w:cs="Times New Roman"/>
          <w:b/>
          <w:bCs/>
          <w:color w:val="auto"/>
          <w:szCs w:val="22"/>
          <w:lang w:val="pt-PT"/>
        </w:rPr>
        <w:t>LISTA DOS EXCIPIENTES</w:t>
      </w:r>
      <w:bookmarkEnd w:id="80"/>
    </w:p>
    <w:p w14:paraId="3758B866" w14:textId="77777777" w:rsidR="004D7229" w:rsidRPr="00110D6C" w:rsidRDefault="004D7229" w:rsidP="00A17623">
      <w:pPr>
        <w:widowControl/>
        <w:rPr>
          <w:rFonts w:cs="Times New Roman"/>
          <w:color w:val="auto"/>
          <w:szCs w:val="22"/>
          <w:lang w:val="pt-PT"/>
        </w:rPr>
      </w:pPr>
    </w:p>
    <w:p w14:paraId="574A3D7E" w14:textId="1A4E1839" w:rsidR="003508E1" w:rsidRDefault="00030085" w:rsidP="00A17623">
      <w:pPr>
        <w:widowControl/>
        <w:rPr>
          <w:rFonts w:cs="Times New Roman"/>
          <w:color w:val="auto"/>
          <w:szCs w:val="22"/>
          <w:lang w:val="pt-PT"/>
        </w:rPr>
      </w:pPr>
      <w:r w:rsidRPr="00110D6C">
        <w:rPr>
          <w:rFonts w:cs="Times New Roman"/>
          <w:color w:val="auto"/>
          <w:szCs w:val="22"/>
          <w:lang w:val="pt-PT"/>
        </w:rPr>
        <w:t>Excipientes: Sacarose, L-histidina, polissorbato 80, água para preparações injetáveis</w:t>
      </w:r>
      <w:r w:rsidR="003508E1">
        <w:rPr>
          <w:rFonts w:cs="Times New Roman"/>
          <w:color w:val="auto"/>
          <w:szCs w:val="22"/>
          <w:lang w:val="pt-PT"/>
        </w:rPr>
        <w:t>, ácido clorídrico</w:t>
      </w:r>
      <w:r w:rsidRPr="00110D6C">
        <w:rPr>
          <w:rFonts w:cs="Times New Roman"/>
          <w:color w:val="auto"/>
          <w:szCs w:val="22"/>
          <w:lang w:val="pt-PT"/>
        </w:rPr>
        <w:t>.</w:t>
      </w:r>
    </w:p>
    <w:p w14:paraId="5BE30CA8" w14:textId="77777777" w:rsidR="004D7229" w:rsidRPr="00110D6C" w:rsidRDefault="004D7229" w:rsidP="008D3859">
      <w:pPr>
        <w:widowControl/>
        <w:rPr>
          <w:rFonts w:cs="Times New Roman"/>
          <w:bCs/>
          <w:color w:val="auto"/>
          <w:szCs w:val="22"/>
          <w:lang w:val="pt-PT"/>
        </w:rPr>
      </w:pPr>
      <w:bookmarkStart w:id="81" w:name="bookmark130"/>
    </w:p>
    <w:p w14:paraId="30697FCB" w14:textId="77777777" w:rsidR="004D7229" w:rsidRPr="00110D6C" w:rsidRDefault="004D7229" w:rsidP="008D3859">
      <w:pPr>
        <w:widowControl/>
        <w:rPr>
          <w:rFonts w:cs="Times New Roman"/>
          <w:bCs/>
          <w:color w:val="auto"/>
          <w:szCs w:val="22"/>
          <w:lang w:val="pt-PT"/>
        </w:rPr>
      </w:pPr>
    </w:p>
    <w:p w14:paraId="5A5864C3" w14:textId="77777777" w:rsidR="0077031F" w:rsidRPr="00110D6C" w:rsidRDefault="00DC3C01"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4.</w:t>
      </w:r>
      <w:r w:rsidRPr="00110D6C">
        <w:rPr>
          <w:rFonts w:cs="Times New Roman"/>
          <w:b/>
          <w:bCs/>
          <w:color w:val="auto"/>
          <w:szCs w:val="22"/>
          <w:lang w:val="pt-PT"/>
        </w:rPr>
        <w:tab/>
      </w:r>
      <w:r w:rsidR="00030085" w:rsidRPr="00110D6C">
        <w:rPr>
          <w:rFonts w:cs="Times New Roman"/>
          <w:b/>
          <w:bCs/>
          <w:color w:val="auto"/>
          <w:szCs w:val="22"/>
          <w:lang w:val="pt-PT"/>
        </w:rPr>
        <w:t>FORMA FARMACÊUTICA E CONTEÚDO</w:t>
      </w:r>
      <w:bookmarkEnd w:id="81"/>
    </w:p>
    <w:p w14:paraId="0C1E7AC3" w14:textId="77777777" w:rsidR="004D7229" w:rsidRPr="00110D6C" w:rsidRDefault="004D7229" w:rsidP="00A17623">
      <w:pPr>
        <w:widowControl/>
        <w:rPr>
          <w:rFonts w:cs="Times New Roman"/>
          <w:color w:val="auto"/>
          <w:szCs w:val="22"/>
          <w:lang w:val="pt-PT"/>
        </w:rPr>
      </w:pPr>
    </w:p>
    <w:p w14:paraId="0858503A" w14:textId="77777777" w:rsidR="0077031F" w:rsidRPr="00110D6C" w:rsidRDefault="00030085" w:rsidP="00A17623">
      <w:pPr>
        <w:widowControl/>
        <w:rPr>
          <w:rFonts w:cs="Times New Roman"/>
          <w:color w:val="auto"/>
          <w:szCs w:val="22"/>
          <w:lang w:val="pt-PT"/>
        </w:rPr>
      </w:pPr>
      <w:r w:rsidRPr="00492A01">
        <w:rPr>
          <w:rFonts w:cs="Times New Roman"/>
          <w:color w:val="auto"/>
          <w:szCs w:val="22"/>
          <w:highlight w:val="lightGray"/>
          <w:lang w:val="pt-PT"/>
        </w:rPr>
        <w:t>Solução injetável em seringa pré-cheia</w:t>
      </w:r>
    </w:p>
    <w:p w14:paraId="3F0A7C30"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4</w:t>
      </w:r>
      <w:r w:rsidR="00B910F9" w:rsidRPr="00110D6C">
        <w:rPr>
          <w:rFonts w:cs="Times New Roman"/>
          <w:color w:val="auto"/>
          <w:szCs w:val="22"/>
          <w:lang w:val="pt-PT"/>
        </w:rPr>
        <w:t>5 </w:t>
      </w:r>
      <w:r w:rsidRPr="00110D6C">
        <w:rPr>
          <w:rFonts w:cs="Times New Roman"/>
          <w:color w:val="auto"/>
          <w:szCs w:val="22"/>
          <w:lang w:val="pt-PT"/>
        </w:rPr>
        <w:t>mg/0,</w:t>
      </w:r>
      <w:r w:rsidR="00B910F9" w:rsidRPr="00110D6C">
        <w:rPr>
          <w:rFonts w:cs="Times New Roman"/>
          <w:color w:val="auto"/>
          <w:szCs w:val="22"/>
          <w:lang w:val="pt-PT"/>
        </w:rPr>
        <w:t>5 </w:t>
      </w:r>
      <w:r w:rsidRPr="00110D6C">
        <w:rPr>
          <w:rFonts w:cs="Times New Roman"/>
          <w:color w:val="auto"/>
          <w:szCs w:val="22"/>
          <w:lang w:val="pt-PT"/>
        </w:rPr>
        <w:t>ml</w:t>
      </w:r>
    </w:p>
    <w:p w14:paraId="104B2358" w14:textId="77777777" w:rsidR="0077031F" w:rsidRPr="00110D6C" w:rsidRDefault="00030085" w:rsidP="004D7229">
      <w:pPr>
        <w:widowControl/>
        <w:rPr>
          <w:rFonts w:cs="Times New Roman"/>
          <w:color w:val="auto"/>
          <w:szCs w:val="22"/>
          <w:lang w:val="pt-PT"/>
        </w:rPr>
      </w:pPr>
      <w:r w:rsidRPr="00110D6C">
        <w:rPr>
          <w:rFonts w:cs="Times New Roman"/>
          <w:color w:val="auto"/>
          <w:szCs w:val="22"/>
          <w:lang w:val="pt-PT"/>
        </w:rPr>
        <w:t>1</w:t>
      </w:r>
      <w:r w:rsidR="004D7229" w:rsidRPr="00110D6C">
        <w:rPr>
          <w:rFonts w:cs="Times New Roman"/>
          <w:color w:val="auto"/>
          <w:szCs w:val="22"/>
          <w:lang w:val="pt-PT"/>
        </w:rPr>
        <w:t xml:space="preserve"> </w:t>
      </w:r>
      <w:r w:rsidRPr="00110D6C">
        <w:rPr>
          <w:rFonts w:cs="Times New Roman"/>
          <w:color w:val="auto"/>
          <w:szCs w:val="22"/>
          <w:lang w:val="pt-PT"/>
        </w:rPr>
        <w:t>seringa pré-cheia</w:t>
      </w:r>
    </w:p>
    <w:p w14:paraId="2D979BA5" w14:textId="77777777" w:rsidR="004D7229" w:rsidRPr="00110D6C" w:rsidRDefault="004D7229" w:rsidP="004D7229">
      <w:pPr>
        <w:widowControl/>
        <w:rPr>
          <w:rFonts w:cs="Times New Roman"/>
          <w:color w:val="auto"/>
          <w:szCs w:val="22"/>
          <w:lang w:val="pt-PT"/>
        </w:rPr>
      </w:pPr>
    </w:p>
    <w:p w14:paraId="2C3AD705" w14:textId="77777777" w:rsidR="004D7229" w:rsidRPr="00110D6C" w:rsidRDefault="004D7229" w:rsidP="004D7229">
      <w:pPr>
        <w:widowControl/>
        <w:rPr>
          <w:rFonts w:cs="Times New Roman"/>
          <w:color w:val="auto"/>
          <w:szCs w:val="22"/>
          <w:lang w:val="pt-PT"/>
        </w:rPr>
      </w:pPr>
    </w:p>
    <w:p w14:paraId="685798A1" w14:textId="77777777" w:rsidR="0077031F" w:rsidRPr="00110D6C" w:rsidRDefault="00DC3C01"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bookmarkStart w:id="82" w:name="bookmark132"/>
      <w:r w:rsidRPr="00110D6C">
        <w:rPr>
          <w:rFonts w:cs="Times New Roman"/>
          <w:b/>
          <w:bCs/>
          <w:color w:val="auto"/>
          <w:szCs w:val="22"/>
          <w:lang w:val="pt-PT"/>
        </w:rPr>
        <w:t>5.</w:t>
      </w:r>
      <w:r w:rsidRPr="00110D6C">
        <w:rPr>
          <w:rFonts w:cs="Times New Roman"/>
          <w:b/>
          <w:bCs/>
          <w:color w:val="auto"/>
          <w:szCs w:val="22"/>
          <w:lang w:val="pt-PT"/>
        </w:rPr>
        <w:tab/>
      </w:r>
      <w:r w:rsidR="00030085" w:rsidRPr="00110D6C">
        <w:rPr>
          <w:rFonts w:cs="Times New Roman"/>
          <w:b/>
          <w:bCs/>
          <w:color w:val="auto"/>
          <w:szCs w:val="22"/>
          <w:lang w:val="pt-PT"/>
        </w:rPr>
        <w:t>MODO E VIA(S) DE ADMINISTRAÇÃO</w:t>
      </w:r>
      <w:bookmarkEnd w:id="82"/>
    </w:p>
    <w:p w14:paraId="03875313" w14:textId="77777777" w:rsidR="004D7229" w:rsidRPr="00110D6C" w:rsidRDefault="004D7229" w:rsidP="00A17623">
      <w:pPr>
        <w:widowControl/>
        <w:rPr>
          <w:rFonts w:cs="Times New Roman"/>
          <w:color w:val="auto"/>
          <w:szCs w:val="22"/>
          <w:lang w:val="pt-PT"/>
        </w:rPr>
      </w:pPr>
    </w:p>
    <w:p w14:paraId="798AB9AB"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Não agitar.</w:t>
      </w:r>
    </w:p>
    <w:p w14:paraId="5A01D70C"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Via subcutânea.</w:t>
      </w:r>
    </w:p>
    <w:p w14:paraId="13A3C001"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Consultar o folheto informativo antes de utilizar.</w:t>
      </w:r>
    </w:p>
    <w:p w14:paraId="0C099546" w14:textId="77777777" w:rsidR="004D7229" w:rsidRPr="00110D6C" w:rsidRDefault="004D7229" w:rsidP="008D3859">
      <w:pPr>
        <w:widowControl/>
        <w:rPr>
          <w:rFonts w:cs="Times New Roman"/>
          <w:bCs/>
          <w:color w:val="auto"/>
          <w:szCs w:val="22"/>
          <w:lang w:val="pt-PT"/>
        </w:rPr>
      </w:pPr>
      <w:bookmarkStart w:id="83" w:name="bookmark134"/>
    </w:p>
    <w:p w14:paraId="66B046AA" w14:textId="77777777" w:rsidR="004D7229" w:rsidRPr="00110D6C" w:rsidRDefault="004D7229" w:rsidP="008D3859">
      <w:pPr>
        <w:widowControl/>
        <w:rPr>
          <w:rFonts w:cs="Times New Roman"/>
          <w:bCs/>
          <w:color w:val="auto"/>
          <w:szCs w:val="22"/>
          <w:lang w:val="pt-PT"/>
        </w:rPr>
      </w:pPr>
    </w:p>
    <w:p w14:paraId="1393D65B" w14:textId="77777777" w:rsidR="0077031F" w:rsidRPr="00110D6C" w:rsidRDefault="00DC3C01"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6.</w:t>
      </w:r>
      <w:r w:rsidRPr="00110D6C">
        <w:rPr>
          <w:rFonts w:cs="Times New Roman"/>
          <w:b/>
          <w:bCs/>
          <w:color w:val="auto"/>
          <w:szCs w:val="22"/>
          <w:lang w:val="pt-PT"/>
        </w:rPr>
        <w:tab/>
      </w:r>
      <w:r w:rsidR="00030085" w:rsidRPr="00110D6C">
        <w:rPr>
          <w:rFonts w:cs="Times New Roman"/>
          <w:b/>
          <w:bCs/>
          <w:color w:val="auto"/>
          <w:szCs w:val="22"/>
          <w:lang w:val="pt-PT"/>
        </w:rPr>
        <w:t>ADVERTÊNCIA ESPECIAL DE QUE O MEDICAMENTO DEVE SER MANTIDO FORA DA VISTA E DO ALCANCE DAS CRIANÇAS</w:t>
      </w:r>
      <w:bookmarkEnd w:id="83"/>
    </w:p>
    <w:p w14:paraId="2993186F" w14:textId="77777777" w:rsidR="004D7229" w:rsidRPr="00110D6C" w:rsidRDefault="004D7229" w:rsidP="00A17623">
      <w:pPr>
        <w:widowControl/>
        <w:rPr>
          <w:rFonts w:cs="Times New Roman"/>
          <w:color w:val="auto"/>
          <w:szCs w:val="22"/>
          <w:lang w:val="pt-PT"/>
        </w:rPr>
      </w:pPr>
    </w:p>
    <w:p w14:paraId="0B1D16B8"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Manter fora da vista e do alcance das crianças.</w:t>
      </w:r>
    </w:p>
    <w:p w14:paraId="75FD53C0" w14:textId="77777777" w:rsidR="004D7229" w:rsidRPr="00110D6C" w:rsidRDefault="004D7229" w:rsidP="008D3859">
      <w:pPr>
        <w:widowControl/>
        <w:rPr>
          <w:rFonts w:cs="Times New Roman"/>
          <w:bCs/>
          <w:color w:val="auto"/>
          <w:szCs w:val="22"/>
          <w:lang w:val="pt-PT"/>
        </w:rPr>
      </w:pPr>
    </w:p>
    <w:p w14:paraId="1282F4D3" w14:textId="77777777" w:rsidR="004D7229" w:rsidRPr="00110D6C" w:rsidRDefault="004D7229" w:rsidP="008D3859">
      <w:pPr>
        <w:widowControl/>
        <w:rPr>
          <w:rFonts w:cs="Times New Roman"/>
          <w:bCs/>
          <w:color w:val="auto"/>
          <w:szCs w:val="22"/>
          <w:lang w:val="pt-PT"/>
        </w:rPr>
      </w:pPr>
    </w:p>
    <w:p w14:paraId="44F6F0BC" w14:textId="77777777" w:rsidR="0077031F" w:rsidRPr="00110D6C" w:rsidRDefault="00DC3C01"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7.</w:t>
      </w:r>
      <w:r w:rsidRPr="00110D6C">
        <w:rPr>
          <w:rFonts w:cs="Times New Roman"/>
          <w:b/>
          <w:bCs/>
          <w:color w:val="auto"/>
          <w:szCs w:val="22"/>
          <w:lang w:val="pt-PT"/>
        </w:rPr>
        <w:tab/>
      </w:r>
      <w:r w:rsidR="00030085" w:rsidRPr="00110D6C">
        <w:rPr>
          <w:rFonts w:cs="Times New Roman"/>
          <w:b/>
          <w:bCs/>
          <w:color w:val="auto"/>
          <w:szCs w:val="22"/>
          <w:lang w:val="pt-PT"/>
        </w:rPr>
        <w:t>OUTRAS ADVERTÊNCIAS ESPECIAIS, SE NECESSÁRIO</w:t>
      </w:r>
    </w:p>
    <w:p w14:paraId="507E2AF9" w14:textId="77777777" w:rsidR="004D7229" w:rsidRPr="00110D6C" w:rsidRDefault="004D7229" w:rsidP="008D3859">
      <w:pPr>
        <w:widowControl/>
        <w:rPr>
          <w:rFonts w:cs="Times New Roman"/>
          <w:bCs/>
          <w:color w:val="auto"/>
          <w:szCs w:val="22"/>
          <w:lang w:val="pt-PT"/>
        </w:rPr>
      </w:pPr>
      <w:bookmarkStart w:id="84" w:name="bookmark136"/>
    </w:p>
    <w:p w14:paraId="134361A9" w14:textId="77777777" w:rsidR="004D7229" w:rsidRPr="00110D6C" w:rsidRDefault="004D7229" w:rsidP="008D3859">
      <w:pPr>
        <w:widowControl/>
        <w:rPr>
          <w:rFonts w:cs="Times New Roman"/>
          <w:bCs/>
          <w:color w:val="auto"/>
          <w:szCs w:val="22"/>
          <w:lang w:val="pt-PT"/>
        </w:rPr>
      </w:pPr>
    </w:p>
    <w:p w14:paraId="1B0643A6" w14:textId="77777777" w:rsidR="0077031F" w:rsidRPr="00110D6C" w:rsidRDefault="00DC3C01"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8.</w:t>
      </w:r>
      <w:r w:rsidRPr="00110D6C">
        <w:rPr>
          <w:rFonts w:cs="Times New Roman"/>
          <w:b/>
          <w:bCs/>
          <w:color w:val="auto"/>
          <w:szCs w:val="22"/>
          <w:lang w:val="pt-PT"/>
        </w:rPr>
        <w:tab/>
      </w:r>
      <w:r w:rsidR="00030085" w:rsidRPr="00110D6C">
        <w:rPr>
          <w:rFonts w:cs="Times New Roman"/>
          <w:b/>
          <w:bCs/>
          <w:color w:val="auto"/>
          <w:szCs w:val="22"/>
          <w:lang w:val="pt-PT"/>
        </w:rPr>
        <w:t>PRAZO DE VALIDADE</w:t>
      </w:r>
      <w:bookmarkEnd w:id="84"/>
    </w:p>
    <w:p w14:paraId="5A5DF412" w14:textId="77777777" w:rsidR="004D7229" w:rsidRPr="00110D6C" w:rsidRDefault="004D7229" w:rsidP="00A17623">
      <w:pPr>
        <w:widowControl/>
        <w:rPr>
          <w:rFonts w:cs="Times New Roman"/>
          <w:color w:val="auto"/>
          <w:szCs w:val="22"/>
          <w:lang w:val="pt-PT"/>
        </w:rPr>
      </w:pPr>
    </w:p>
    <w:p w14:paraId="61693C4A"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VAL.</w:t>
      </w:r>
    </w:p>
    <w:p w14:paraId="1D3AD65A" w14:textId="77777777" w:rsidR="0077031F" w:rsidRPr="00110D6C" w:rsidRDefault="00030085" w:rsidP="004D7229">
      <w:pPr>
        <w:widowControl/>
        <w:rPr>
          <w:rFonts w:cs="Times New Roman"/>
          <w:color w:val="auto"/>
          <w:szCs w:val="22"/>
          <w:lang w:val="pt-PT"/>
        </w:rPr>
      </w:pPr>
      <w:r w:rsidRPr="00110D6C">
        <w:rPr>
          <w:rFonts w:cs="Times New Roman"/>
          <w:color w:val="auto"/>
          <w:szCs w:val="22"/>
          <w:lang w:val="pt-PT"/>
        </w:rPr>
        <w:t>Data de eliminação, se conservado à temperatura ambiente:</w:t>
      </w:r>
      <w:r w:rsidR="004D7229" w:rsidRPr="00110D6C">
        <w:rPr>
          <w:rFonts w:cs="Times New Roman"/>
          <w:color w:val="auto"/>
          <w:szCs w:val="22"/>
          <w:lang w:val="pt-PT"/>
        </w:rPr>
        <w:t>________________</w:t>
      </w:r>
    </w:p>
    <w:p w14:paraId="753DEAA6" w14:textId="77777777" w:rsidR="004D7229" w:rsidRPr="00110D6C" w:rsidRDefault="004D7229" w:rsidP="004D7229">
      <w:pPr>
        <w:widowControl/>
        <w:rPr>
          <w:rFonts w:cs="Times New Roman"/>
          <w:color w:val="auto"/>
          <w:szCs w:val="22"/>
          <w:lang w:val="pt-PT"/>
        </w:rPr>
      </w:pPr>
    </w:p>
    <w:p w14:paraId="635FC5BC" w14:textId="77777777" w:rsidR="004D7229" w:rsidRPr="00110D6C" w:rsidRDefault="004D7229" w:rsidP="004D7229">
      <w:pPr>
        <w:widowControl/>
        <w:rPr>
          <w:rFonts w:cs="Times New Roman"/>
          <w:color w:val="auto"/>
          <w:szCs w:val="22"/>
          <w:lang w:val="pt-PT"/>
        </w:rPr>
      </w:pPr>
    </w:p>
    <w:p w14:paraId="6C3198A2" w14:textId="77777777" w:rsidR="0077031F" w:rsidRPr="00110D6C" w:rsidRDefault="00DC3C01" w:rsidP="004D7229">
      <w:pPr>
        <w:keepNext/>
        <w:keepLines/>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9.</w:t>
      </w:r>
      <w:r w:rsidRPr="00110D6C">
        <w:rPr>
          <w:rFonts w:cs="Times New Roman"/>
          <w:b/>
          <w:bCs/>
          <w:color w:val="auto"/>
          <w:szCs w:val="22"/>
          <w:lang w:val="pt-PT"/>
        </w:rPr>
        <w:tab/>
      </w:r>
      <w:r w:rsidR="00030085" w:rsidRPr="00110D6C">
        <w:rPr>
          <w:rFonts w:cs="Times New Roman"/>
          <w:b/>
          <w:bCs/>
          <w:color w:val="auto"/>
          <w:szCs w:val="22"/>
          <w:lang w:val="pt-PT"/>
        </w:rPr>
        <w:t>CONDIÇÕES ESPECIAIS DE CONSERVAÇÃO</w:t>
      </w:r>
    </w:p>
    <w:p w14:paraId="45B968CD" w14:textId="77777777" w:rsidR="004D7229" w:rsidRPr="00110D6C" w:rsidRDefault="004D7229" w:rsidP="004D7229">
      <w:pPr>
        <w:keepNext/>
        <w:keepLines/>
        <w:widowControl/>
        <w:rPr>
          <w:rFonts w:cs="Times New Roman"/>
          <w:color w:val="auto"/>
          <w:szCs w:val="22"/>
          <w:lang w:val="pt-PT"/>
        </w:rPr>
      </w:pPr>
    </w:p>
    <w:p w14:paraId="74F65451" w14:textId="77777777" w:rsidR="0077031F" w:rsidRPr="00110D6C" w:rsidRDefault="00030085" w:rsidP="004D7229">
      <w:pPr>
        <w:keepNext/>
        <w:keepLines/>
        <w:widowControl/>
        <w:rPr>
          <w:rFonts w:cs="Times New Roman"/>
          <w:color w:val="auto"/>
          <w:szCs w:val="22"/>
          <w:lang w:val="pt-PT"/>
        </w:rPr>
      </w:pPr>
      <w:r w:rsidRPr="00110D6C">
        <w:rPr>
          <w:rFonts w:cs="Times New Roman"/>
          <w:color w:val="auto"/>
          <w:szCs w:val="22"/>
          <w:lang w:val="pt-PT"/>
        </w:rPr>
        <w:t>Conservar no frigorífico.</w:t>
      </w:r>
    </w:p>
    <w:p w14:paraId="290D8B15"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Não congelar.</w:t>
      </w:r>
    </w:p>
    <w:p w14:paraId="079D6E96"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Manter a seringa pré-cheia dentro da embalagem exterior para proteger da luz.</w:t>
      </w:r>
    </w:p>
    <w:p w14:paraId="3DA82EAF" w14:textId="004A239C" w:rsidR="0077031F" w:rsidRPr="00110D6C" w:rsidRDefault="00030085" w:rsidP="00A17623">
      <w:pPr>
        <w:widowControl/>
        <w:rPr>
          <w:rFonts w:cs="Times New Roman"/>
          <w:color w:val="auto"/>
          <w:szCs w:val="22"/>
          <w:lang w:val="pt-PT"/>
        </w:rPr>
      </w:pPr>
      <w:r w:rsidRPr="00110D6C">
        <w:rPr>
          <w:rFonts w:cs="Times New Roman"/>
          <w:color w:val="auto"/>
          <w:szCs w:val="22"/>
          <w:lang w:val="pt-PT"/>
        </w:rPr>
        <w:lastRenderedPageBreak/>
        <w:t>Pode ser conservado à temperatura ambiente (até 30</w:t>
      </w:r>
      <w:r w:rsidR="003508E1">
        <w:rPr>
          <w:rFonts w:cs="Times New Roman"/>
          <w:color w:val="auto"/>
          <w:szCs w:val="22"/>
          <w:lang w:val="pt-PT"/>
        </w:rPr>
        <w:t> </w:t>
      </w:r>
      <w:r w:rsidRPr="00110D6C">
        <w:rPr>
          <w:rFonts w:cs="Times New Roman"/>
          <w:color w:val="auto"/>
          <w:szCs w:val="22"/>
          <w:lang w:val="pt-PT"/>
        </w:rPr>
        <w:t>°C) por um período único até 3</w:t>
      </w:r>
      <w:r w:rsidR="00B910F9" w:rsidRPr="00110D6C">
        <w:rPr>
          <w:rFonts w:cs="Times New Roman"/>
          <w:color w:val="auto"/>
          <w:szCs w:val="22"/>
          <w:lang w:val="pt-PT"/>
        </w:rPr>
        <w:t>0 </w:t>
      </w:r>
      <w:r w:rsidRPr="00110D6C">
        <w:rPr>
          <w:rFonts w:cs="Times New Roman"/>
          <w:color w:val="auto"/>
          <w:szCs w:val="22"/>
          <w:lang w:val="pt-PT"/>
        </w:rPr>
        <w:t>dias, mas não excedendo o prazo de validade original.</w:t>
      </w:r>
    </w:p>
    <w:p w14:paraId="7813C045" w14:textId="77777777" w:rsidR="00272769" w:rsidRPr="00110D6C" w:rsidRDefault="00272769" w:rsidP="008D3859">
      <w:pPr>
        <w:widowControl/>
        <w:rPr>
          <w:rFonts w:cs="Times New Roman"/>
          <w:bCs/>
          <w:color w:val="auto"/>
          <w:szCs w:val="22"/>
          <w:lang w:val="pt-PT"/>
        </w:rPr>
      </w:pPr>
    </w:p>
    <w:p w14:paraId="28C408F6" w14:textId="77777777" w:rsidR="00272769" w:rsidRPr="00110D6C" w:rsidRDefault="00272769" w:rsidP="008D3859">
      <w:pPr>
        <w:widowControl/>
        <w:rPr>
          <w:rFonts w:cs="Times New Roman"/>
          <w:bCs/>
          <w:color w:val="auto"/>
          <w:szCs w:val="22"/>
          <w:lang w:val="pt-PT"/>
        </w:rPr>
      </w:pPr>
    </w:p>
    <w:p w14:paraId="03987C72" w14:textId="77777777" w:rsidR="0077031F" w:rsidRPr="00110D6C" w:rsidRDefault="00272769"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10.</w:t>
      </w:r>
      <w:r w:rsidRPr="00110D6C">
        <w:rPr>
          <w:rFonts w:cs="Times New Roman"/>
          <w:b/>
          <w:bCs/>
          <w:color w:val="auto"/>
          <w:szCs w:val="22"/>
          <w:lang w:val="pt-PT"/>
        </w:rPr>
        <w:tab/>
      </w:r>
      <w:r w:rsidR="00030085" w:rsidRPr="00110D6C">
        <w:rPr>
          <w:rFonts w:cs="Times New Roman"/>
          <w:b/>
          <w:bCs/>
          <w:color w:val="auto"/>
          <w:szCs w:val="22"/>
          <w:lang w:val="pt-PT"/>
        </w:rPr>
        <w:t>CUIDADOS ESPECIAIS QUANTO À ELIMINAÇÃO DO MEDICAMENTO NÃO UTILIZADO OU DOS RESÍDUOS PROVENIENTES DESSE MEDICAMENTO, SE APLICÁVEL</w:t>
      </w:r>
    </w:p>
    <w:p w14:paraId="0BEAC1F0" w14:textId="77777777" w:rsidR="00272769" w:rsidRPr="00110D6C" w:rsidRDefault="00272769" w:rsidP="008D3859">
      <w:pPr>
        <w:widowControl/>
        <w:rPr>
          <w:rFonts w:cs="Times New Roman"/>
          <w:bCs/>
          <w:color w:val="auto"/>
          <w:szCs w:val="22"/>
          <w:lang w:val="pt-PT"/>
        </w:rPr>
      </w:pPr>
    </w:p>
    <w:p w14:paraId="481EC138" w14:textId="77777777" w:rsidR="00272769" w:rsidRPr="00110D6C" w:rsidRDefault="00272769" w:rsidP="008D3859">
      <w:pPr>
        <w:widowControl/>
        <w:rPr>
          <w:rFonts w:cs="Times New Roman"/>
          <w:bCs/>
          <w:color w:val="auto"/>
          <w:szCs w:val="22"/>
          <w:lang w:val="pt-PT"/>
        </w:rPr>
      </w:pPr>
    </w:p>
    <w:p w14:paraId="5EE7618D" w14:textId="77777777" w:rsidR="0077031F" w:rsidRPr="00110D6C" w:rsidRDefault="00272769"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11.</w:t>
      </w:r>
      <w:r w:rsidRPr="00110D6C">
        <w:rPr>
          <w:rFonts w:cs="Times New Roman"/>
          <w:b/>
          <w:bCs/>
          <w:color w:val="auto"/>
          <w:szCs w:val="22"/>
          <w:lang w:val="pt-PT"/>
        </w:rPr>
        <w:tab/>
      </w:r>
      <w:r w:rsidR="00030085" w:rsidRPr="00110D6C">
        <w:rPr>
          <w:rFonts w:cs="Times New Roman"/>
          <w:b/>
          <w:bCs/>
          <w:color w:val="auto"/>
          <w:szCs w:val="22"/>
          <w:lang w:val="pt-PT"/>
        </w:rPr>
        <w:t>NOME E ENDEREÇO DO TITULAR DA AUTORIZAÇÃO DE INTRODUÇÃO NO MERCADO</w:t>
      </w:r>
    </w:p>
    <w:p w14:paraId="6D9640C0" w14:textId="77777777" w:rsidR="004D7229" w:rsidRPr="00110D6C" w:rsidRDefault="004D7229" w:rsidP="00A17623">
      <w:pPr>
        <w:widowControl/>
        <w:rPr>
          <w:rFonts w:cs="Times New Roman"/>
          <w:color w:val="auto"/>
          <w:szCs w:val="22"/>
          <w:lang w:val="pt-PT"/>
        </w:rPr>
      </w:pPr>
    </w:p>
    <w:p w14:paraId="26D4AD7B" w14:textId="77777777" w:rsidR="003508E1" w:rsidRPr="00492A01" w:rsidRDefault="003508E1" w:rsidP="003508E1">
      <w:pPr>
        <w:pStyle w:val="Textkrper"/>
        <w:rPr>
          <w:lang w:val="pt-PT"/>
        </w:rPr>
      </w:pPr>
      <w:r w:rsidRPr="00492A01">
        <w:rPr>
          <w:lang w:val="pt-PT"/>
        </w:rPr>
        <w:t>Formycon AG</w:t>
      </w:r>
    </w:p>
    <w:p w14:paraId="481006FF" w14:textId="77777777" w:rsidR="003508E1" w:rsidRPr="00492A01" w:rsidRDefault="003508E1" w:rsidP="003508E1">
      <w:pPr>
        <w:pStyle w:val="Textkrper"/>
        <w:rPr>
          <w:lang w:val="pt-PT"/>
        </w:rPr>
      </w:pPr>
      <w:r w:rsidRPr="00492A01">
        <w:rPr>
          <w:lang w:val="pt-PT"/>
        </w:rPr>
        <w:t>Fraunhoferstraße 15</w:t>
      </w:r>
    </w:p>
    <w:p w14:paraId="29E95122" w14:textId="77777777" w:rsidR="003508E1" w:rsidRPr="00492A01" w:rsidRDefault="003508E1" w:rsidP="003508E1">
      <w:pPr>
        <w:pStyle w:val="Textkrper"/>
        <w:rPr>
          <w:lang w:val="pt-PT"/>
        </w:rPr>
      </w:pPr>
      <w:r w:rsidRPr="00492A01">
        <w:rPr>
          <w:lang w:val="pt-PT"/>
        </w:rPr>
        <w:t>82152 Martinsried/Planegg</w:t>
      </w:r>
    </w:p>
    <w:p w14:paraId="47EF837B" w14:textId="77777777" w:rsidR="003508E1" w:rsidRDefault="003508E1" w:rsidP="00A17623">
      <w:pPr>
        <w:widowControl/>
        <w:rPr>
          <w:rFonts w:cs="Times New Roman"/>
          <w:color w:val="auto"/>
          <w:szCs w:val="22"/>
          <w:lang w:val="pt-PT"/>
        </w:rPr>
      </w:pPr>
      <w:r>
        <w:rPr>
          <w:rFonts w:cs="Times New Roman"/>
          <w:color w:val="auto"/>
          <w:szCs w:val="22"/>
          <w:lang w:val="pt-PT"/>
        </w:rPr>
        <w:t>Alemanha</w:t>
      </w:r>
    </w:p>
    <w:p w14:paraId="22688D5F" w14:textId="77777777" w:rsidR="00272769" w:rsidRPr="00110D6C" w:rsidRDefault="00272769" w:rsidP="008D3859">
      <w:pPr>
        <w:widowControl/>
        <w:rPr>
          <w:rFonts w:cs="Times New Roman"/>
          <w:bCs/>
          <w:color w:val="auto"/>
          <w:szCs w:val="22"/>
          <w:lang w:val="pt-PT"/>
        </w:rPr>
      </w:pPr>
    </w:p>
    <w:p w14:paraId="20044277" w14:textId="77777777" w:rsidR="00272769" w:rsidRPr="00110D6C" w:rsidRDefault="00272769" w:rsidP="008D3859">
      <w:pPr>
        <w:widowControl/>
        <w:rPr>
          <w:rFonts w:cs="Times New Roman"/>
          <w:bCs/>
          <w:color w:val="auto"/>
          <w:szCs w:val="22"/>
          <w:lang w:val="pt-PT"/>
        </w:rPr>
      </w:pPr>
    </w:p>
    <w:p w14:paraId="5E76979C" w14:textId="77777777" w:rsidR="0077031F" w:rsidRPr="00110D6C" w:rsidRDefault="00272769"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12.</w:t>
      </w:r>
      <w:r w:rsidRPr="00110D6C">
        <w:rPr>
          <w:rFonts w:cs="Times New Roman"/>
          <w:b/>
          <w:bCs/>
          <w:color w:val="auto"/>
          <w:szCs w:val="22"/>
          <w:lang w:val="pt-PT"/>
        </w:rPr>
        <w:tab/>
      </w:r>
      <w:r w:rsidR="00030085" w:rsidRPr="00110D6C">
        <w:rPr>
          <w:rFonts w:cs="Times New Roman"/>
          <w:b/>
          <w:bCs/>
          <w:color w:val="auto"/>
          <w:szCs w:val="22"/>
          <w:lang w:val="pt-PT"/>
        </w:rPr>
        <w:t>NÚMERO(S) DA AUTORIZAÇÃO DE INTRODUÇÃO NO MERCADO</w:t>
      </w:r>
    </w:p>
    <w:p w14:paraId="06A32759" w14:textId="77777777" w:rsidR="004D7229" w:rsidRPr="00110D6C" w:rsidRDefault="004D7229" w:rsidP="00A17623">
      <w:pPr>
        <w:widowControl/>
        <w:rPr>
          <w:rFonts w:cs="Times New Roman"/>
          <w:color w:val="auto"/>
          <w:szCs w:val="22"/>
          <w:lang w:val="pt-PT"/>
        </w:rPr>
      </w:pPr>
    </w:p>
    <w:p w14:paraId="3C29357C" w14:textId="0448479A" w:rsidR="0077031F" w:rsidRPr="00110D6C" w:rsidRDefault="00030085" w:rsidP="00A17623">
      <w:pPr>
        <w:widowControl/>
        <w:rPr>
          <w:rFonts w:cs="Times New Roman"/>
          <w:color w:val="auto"/>
          <w:szCs w:val="22"/>
          <w:lang w:val="pt-PT"/>
        </w:rPr>
      </w:pPr>
      <w:r w:rsidRPr="00110D6C">
        <w:rPr>
          <w:rFonts w:cs="Times New Roman"/>
          <w:color w:val="auto"/>
          <w:szCs w:val="22"/>
          <w:lang w:val="pt-PT"/>
        </w:rPr>
        <w:t>EU/1/</w:t>
      </w:r>
      <w:r w:rsidR="00020149" w:rsidRPr="00020149">
        <w:rPr>
          <w:lang w:val="pt-PT"/>
        </w:rPr>
        <w:t>24/1862/00</w:t>
      </w:r>
      <w:r w:rsidR="00020149">
        <w:rPr>
          <w:lang w:val="pt-PT"/>
        </w:rPr>
        <w:t>1</w:t>
      </w:r>
    </w:p>
    <w:p w14:paraId="13F599B6" w14:textId="77777777" w:rsidR="00272769" w:rsidRPr="00110D6C" w:rsidRDefault="00272769" w:rsidP="008D3859">
      <w:pPr>
        <w:widowControl/>
        <w:rPr>
          <w:rFonts w:cs="Times New Roman"/>
          <w:bCs/>
          <w:color w:val="auto"/>
          <w:szCs w:val="22"/>
          <w:lang w:val="pt-PT"/>
        </w:rPr>
      </w:pPr>
    </w:p>
    <w:p w14:paraId="50168F6B" w14:textId="77777777" w:rsidR="00272769" w:rsidRPr="00110D6C" w:rsidRDefault="00272769" w:rsidP="008D3859">
      <w:pPr>
        <w:widowControl/>
        <w:rPr>
          <w:rFonts w:cs="Times New Roman"/>
          <w:bCs/>
          <w:color w:val="auto"/>
          <w:szCs w:val="22"/>
          <w:lang w:val="pt-PT"/>
        </w:rPr>
      </w:pPr>
    </w:p>
    <w:p w14:paraId="0C88CD79" w14:textId="77777777" w:rsidR="0077031F" w:rsidRPr="00110D6C" w:rsidRDefault="00272769"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13.</w:t>
      </w:r>
      <w:r w:rsidRPr="00110D6C">
        <w:rPr>
          <w:rFonts w:cs="Times New Roman"/>
          <w:b/>
          <w:bCs/>
          <w:color w:val="auto"/>
          <w:szCs w:val="22"/>
          <w:lang w:val="pt-PT"/>
        </w:rPr>
        <w:tab/>
      </w:r>
      <w:r w:rsidR="00030085" w:rsidRPr="00110D6C">
        <w:rPr>
          <w:rFonts w:cs="Times New Roman"/>
          <w:b/>
          <w:bCs/>
          <w:color w:val="auto"/>
          <w:szCs w:val="22"/>
          <w:lang w:val="pt-PT"/>
        </w:rPr>
        <w:t>NÚMERO DO LOTE</w:t>
      </w:r>
    </w:p>
    <w:p w14:paraId="773F4703" w14:textId="77777777" w:rsidR="004D7229" w:rsidRPr="00110D6C" w:rsidRDefault="004D7229" w:rsidP="00A17623">
      <w:pPr>
        <w:widowControl/>
        <w:rPr>
          <w:rFonts w:cs="Times New Roman"/>
          <w:color w:val="auto"/>
          <w:szCs w:val="22"/>
          <w:lang w:val="pt-PT"/>
        </w:rPr>
      </w:pPr>
    </w:p>
    <w:p w14:paraId="519436CC"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Lote</w:t>
      </w:r>
    </w:p>
    <w:p w14:paraId="3E0721ED" w14:textId="77777777" w:rsidR="00272769" w:rsidRPr="00110D6C" w:rsidRDefault="00272769" w:rsidP="008D3859">
      <w:pPr>
        <w:widowControl/>
        <w:rPr>
          <w:rFonts w:cs="Times New Roman"/>
          <w:bCs/>
          <w:color w:val="auto"/>
          <w:szCs w:val="22"/>
          <w:lang w:val="pt-PT"/>
        </w:rPr>
      </w:pPr>
    </w:p>
    <w:p w14:paraId="32AD5791" w14:textId="77777777" w:rsidR="00272769" w:rsidRPr="00110D6C" w:rsidRDefault="00272769" w:rsidP="008D3859">
      <w:pPr>
        <w:widowControl/>
        <w:rPr>
          <w:rFonts w:cs="Times New Roman"/>
          <w:bCs/>
          <w:color w:val="auto"/>
          <w:szCs w:val="22"/>
          <w:lang w:val="pt-PT"/>
        </w:rPr>
      </w:pPr>
    </w:p>
    <w:p w14:paraId="3F0520AE" w14:textId="77777777" w:rsidR="0077031F" w:rsidRPr="00110D6C" w:rsidRDefault="00272769"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14.</w:t>
      </w:r>
      <w:r w:rsidRPr="00110D6C">
        <w:rPr>
          <w:rFonts w:cs="Times New Roman"/>
          <w:b/>
          <w:bCs/>
          <w:color w:val="auto"/>
          <w:szCs w:val="22"/>
          <w:lang w:val="pt-PT"/>
        </w:rPr>
        <w:tab/>
      </w:r>
      <w:r w:rsidR="00030085" w:rsidRPr="00110D6C">
        <w:rPr>
          <w:rFonts w:cs="Times New Roman"/>
          <w:b/>
          <w:bCs/>
          <w:color w:val="auto"/>
          <w:szCs w:val="22"/>
          <w:lang w:val="pt-PT"/>
        </w:rPr>
        <w:t>CLASSIFICAÇÃO QUANTO À DISPENSA AO PÚBLICO</w:t>
      </w:r>
    </w:p>
    <w:p w14:paraId="42C3863B" w14:textId="77777777" w:rsidR="00272769" w:rsidRPr="00110D6C" w:rsidRDefault="00272769" w:rsidP="008D3859">
      <w:pPr>
        <w:widowControl/>
        <w:rPr>
          <w:rFonts w:cs="Times New Roman"/>
          <w:bCs/>
          <w:color w:val="auto"/>
          <w:szCs w:val="22"/>
          <w:lang w:val="pt-PT"/>
        </w:rPr>
      </w:pPr>
    </w:p>
    <w:p w14:paraId="62016929" w14:textId="77777777" w:rsidR="00272769" w:rsidRPr="00110D6C" w:rsidRDefault="00272769" w:rsidP="008D3859">
      <w:pPr>
        <w:widowControl/>
        <w:rPr>
          <w:rFonts w:cs="Times New Roman"/>
          <w:bCs/>
          <w:color w:val="auto"/>
          <w:szCs w:val="22"/>
          <w:lang w:val="pt-PT"/>
        </w:rPr>
      </w:pPr>
    </w:p>
    <w:p w14:paraId="6B2C4107" w14:textId="77777777" w:rsidR="0077031F" w:rsidRPr="00110D6C" w:rsidRDefault="00272769"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15.</w:t>
      </w:r>
      <w:r w:rsidRPr="00110D6C">
        <w:rPr>
          <w:rFonts w:cs="Times New Roman"/>
          <w:b/>
          <w:bCs/>
          <w:color w:val="auto"/>
          <w:szCs w:val="22"/>
          <w:lang w:val="pt-PT"/>
        </w:rPr>
        <w:tab/>
      </w:r>
      <w:r w:rsidR="00030085" w:rsidRPr="00110D6C">
        <w:rPr>
          <w:rFonts w:cs="Times New Roman"/>
          <w:b/>
          <w:bCs/>
          <w:color w:val="auto"/>
          <w:szCs w:val="22"/>
          <w:lang w:val="pt-PT"/>
        </w:rPr>
        <w:t>INSTRUÇÕES DE UTILIZAÇÃO</w:t>
      </w:r>
    </w:p>
    <w:p w14:paraId="1BC7A268" w14:textId="77777777" w:rsidR="00272769" w:rsidRPr="00110D6C" w:rsidRDefault="00272769" w:rsidP="008D3859">
      <w:pPr>
        <w:widowControl/>
        <w:rPr>
          <w:rFonts w:cs="Times New Roman"/>
          <w:bCs/>
          <w:color w:val="auto"/>
          <w:szCs w:val="22"/>
          <w:lang w:val="pt-PT"/>
        </w:rPr>
      </w:pPr>
    </w:p>
    <w:p w14:paraId="54AE22CE" w14:textId="77777777" w:rsidR="00272769" w:rsidRPr="00110D6C" w:rsidRDefault="00272769" w:rsidP="008D3859">
      <w:pPr>
        <w:widowControl/>
        <w:rPr>
          <w:rFonts w:cs="Times New Roman"/>
          <w:bCs/>
          <w:color w:val="auto"/>
          <w:szCs w:val="22"/>
          <w:lang w:val="pt-PT"/>
        </w:rPr>
      </w:pPr>
    </w:p>
    <w:p w14:paraId="377A2D6D" w14:textId="77777777" w:rsidR="0077031F" w:rsidRPr="00110D6C" w:rsidRDefault="00272769"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16.</w:t>
      </w:r>
      <w:r w:rsidRPr="00110D6C">
        <w:rPr>
          <w:rFonts w:cs="Times New Roman"/>
          <w:b/>
          <w:bCs/>
          <w:color w:val="auto"/>
          <w:szCs w:val="22"/>
          <w:lang w:val="pt-PT"/>
        </w:rPr>
        <w:tab/>
      </w:r>
      <w:r w:rsidR="00030085" w:rsidRPr="00110D6C">
        <w:rPr>
          <w:rFonts w:cs="Times New Roman"/>
          <w:b/>
          <w:bCs/>
          <w:color w:val="auto"/>
          <w:szCs w:val="22"/>
          <w:lang w:val="pt-PT"/>
        </w:rPr>
        <w:t>INFORMAÇÃO EM BRAILLE</w:t>
      </w:r>
    </w:p>
    <w:p w14:paraId="652D7A59" w14:textId="77777777" w:rsidR="004D7229" w:rsidRPr="00110D6C" w:rsidRDefault="004D7229" w:rsidP="00A17623">
      <w:pPr>
        <w:widowControl/>
        <w:rPr>
          <w:rFonts w:cs="Times New Roman"/>
          <w:color w:val="auto"/>
          <w:szCs w:val="22"/>
          <w:lang w:val="pt-PT"/>
        </w:rPr>
      </w:pPr>
    </w:p>
    <w:p w14:paraId="1CBB9AAD" w14:textId="63EF92CB" w:rsidR="0077031F" w:rsidRPr="00110D6C" w:rsidRDefault="00D05FE6" w:rsidP="00A17623">
      <w:pPr>
        <w:widowControl/>
        <w:rPr>
          <w:rFonts w:cs="Times New Roman"/>
          <w:color w:val="auto"/>
          <w:szCs w:val="22"/>
          <w:lang w:val="pt-PT"/>
        </w:rPr>
      </w:pPr>
      <w:r w:rsidRPr="00110D6C">
        <w:rPr>
          <w:rFonts w:cs="Times New Roman"/>
          <w:color w:val="auto"/>
          <w:szCs w:val="22"/>
          <w:lang w:val="pt-PT"/>
        </w:rPr>
        <w:t>F</w:t>
      </w:r>
      <w:r w:rsidR="003508E1" w:rsidRPr="00110D6C">
        <w:rPr>
          <w:rFonts w:cs="Times New Roman"/>
          <w:color w:val="auto"/>
          <w:szCs w:val="22"/>
          <w:lang w:val="pt-PT"/>
        </w:rPr>
        <w:t>ymskina</w:t>
      </w:r>
      <w:r w:rsidR="00030085" w:rsidRPr="00110D6C">
        <w:rPr>
          <w:rFonts w:cs="Times New Roman"/>
          <w:color w:val="auto"/>
          <w:szCs w:val="22"/>
          <w:lang w:val="pt-PT"/>
        </w:rPr>
        <w:t xml:space="preserve"> 4</w:t>
      </w:r>
      <w:r w:rsidR="00B910F9" w:rsidRPr="00110D6C">
        <w:rPr>
          <w:rFonts w:cs="Times New Roman"/>
          <w:color w:val="auto"/>
          <w:szCs w:val="22"/>
          <w:lang w:val="pt-PT"/>
        </w:rPr>
        <w:t>5 </w:t>
      </w:r>
      <w:r w:rsidR="00030085" w:rsidRPr="00110D6C">
        <w:rPr>
          <w:rFonts w:cs="Times New Roman"/>
          <w:color w:val="auto"/>
          <w:szCs w:val="22"/>
          <w:lang w:val="pt-PT"/>
        </w:rPr>
        <w:t>mg</w:t>
      </w:r>
    </w:p>
    <w:p w14:paraId="6429995D" w14:textId="77777777" w:rsidR="00272769" w:rsidRPr="00110D6C" w:rsidRDefault="00272769" w:rsidP="008D3859">
      <w:pPr>
        <w:widowControl/>
        <w:rPr>
          <w:rFonts w:cs="Times New Roman"/>
          <w:bCs/>
          <w:color w:val="auto"/>
          <w:szCs w:val="22"/>
          <w:lang w:val="pt-PT"/>
        </w:rPr>
      </w:pPr>
    </w:p>
    <w:p w14:paraId="2AED7FAB" w14:textId="77777777" w:rsidR="00272769" w:rsidRPr="00110D6C" w:rsidRDefault="00272769" w:rsidP="008D3859">
      <w:pPr>
        <w:widowControl/>
        <w:rPr>
          <w:rFonts w:cs="Times New Roman"/>
          <w:bCs/>
          <w:color w:val="auto"/>
          <w:szCs w:val="22"/>
          <w:lang w:val="pt-PT"/>
        </w:rPr>
      </w:pPr>
    </w:p>
    <w:p w14:paraId="744798C3" w14:textId="77777777" w:rsidR="0077031F" w:rsidRPr="00110D6C" w:rsidRDefault="00272769" w:rsidP="004D7229">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17.</w:t>
      </w:r>
      <w:r w:rsidRPr="00110D6C">
        <w:rPr>
          <w:rFonts w:cs="Times New Roman"/>
          <w:b/>
          <w:bCs/>
          <w:color w:val="auto"/>
          <w:szCs w:val="22"/>
          <w:lang w:val="pt-PT"/>
        </w:rPr>
        <w:tab/>
      </w:r>
      <w:r w:rsidR="00030085" w:rsidRPr="00110D6C">
        <w:rPr>
          <w:rFonts w:cs="Times New Roman"/>
          <w:b/>
          <w:bCs/>
          <w:color w:val="auto"/>
          <w:szCs w:val="22"/>
          <w:lang w:val="pt-PT"/>
        </w:rPr>
        <w:t>IDENTIFICADOR ÚNICO – CÓDIGO DE BARRAS 2D</w:t>
      </w:r>
    </w:p>
    <w:p w14:paraId="79BC6247" w14:textId="77777777" w:rsidR="004D7229" w:rsidRPr="00110D6C" w:rsidRDefault="004D7229" w:rsidP="00A17623">
      <w:pPr>
        <w:widowControl/>
        <w:rPr>
          <w:rFonts w:cs="Times New Roman"/>
          <w:color w:val="auto"/>
          <w:szCs w:val="22"/>
          <w:lang w:val="pt-PT"/>
        </w:rPr>
      </w:pPr>
    </w:p>
    <w:p w14:paraId="4B133E4B" w14:textId="77777777" w:rsidR="0077031F" w:rsidRPr="00110D6C" w:rsidRDefault="00030085" w:rsidP="00A17623">
      <w:pPr>
        <w:widowControl/>
        <w:rPr>
          <w:rFonts w:cs="Times New Roman"/>
          <w:color w:val="auto"/>
          <w:szCs w:val="22"/>
          <w:lang w:val="pt-PT"/>
        </w:rPr>
      </w:pPr>
      <w:r w:rsidRPr="00110D6C">
        <w:rPr>
          <w:rFonts w:cs="Times New Roman"/>
          <w:color w:val="auto"/>
          <w:szCs w:val="22"/>
          <w:highlight w:val="lightGray"/>
          <w:lang w:val="pt-PT"/>
        </w:rPr>
        <w:t>Código de barras</w:t>
      </w:r>
      <w:r w:rsidR="00A22FCE" w:rsidRPr="00110D6C">
        <w:rPr>
          <w:rFonts w:cs="Times New Roman"/>
          <w:color w:val="auto"/>
          <w:szCs w:val="22"/>
          <w:highlight w:val="lightGray"/>
          <w:lang w:val="pt-PT"/>
        </w:rPr>
        <w:t> </w:t>
      </w:r>
      <w:r w:rsidRPr="00110D6C">
        <w:rPr>
          <w:rFonts w:cs="Times New Roman"/>
          <w:color w:val="auto"/>
          <w:szCs w:val="22"/>
          <w:highlight w:val="lightGray"/>
          <w:lang w:val="pt-PT"/>
        </w:rPr>
        <w:t>2D com identificador único incluído.</w:t>
      </w:r>
    </w:p>
    <w:p w14:paraId="3C49B0DE" w14:textId="77777777" w:rsidR="004D7229" w:rsidRPr="00110D6C" w:rsidRDefault="004D7229" w:rsidP="00A17623">
      <w:pPr>
        <w:widowControl/>
        <w:rPr>
          <w:rFonts w:cs="Times New Roman"/>
          <w:bCs/>
          <w:color w:val="auto"/>
          <w:szCs w:val="22"/>
          <w:lang w:val="pt-PT"/>
        </w:rPr>
      </w:pPr>
    </w:p>
    <w:p w14:paraId="72130485" w14:textId="77777777" w:rsidR="004D7229" w:rsidRPr="00110D6C" w:rsidRDefault="004D7229" w:rsidP="00A17623">
      <w:pPr>
        <w:widowControl/>
        <w:rPr>
          <w:rFonts w:cs="Times New Roman"/>
          <w:bCs/>
          <w:color w:val="auto"/>
          <w:szCs w:val="22"/>
          <w:lang w:val="pt-PT"/>
        </w:rPr>
      </w:pPr>
    </w:p>
    <w:p w14:paraId="5EA15448" w14:textId="77777777" w:rsidR="0077031F" w:rsidRPr="00110D6C" w:rsidRDefault="00030085" w:rsidP="004D7229">
      <w:pPr>
        <w:widowControl/>
        <w:pBdr>
          <w:top w:val="single" w:sz="4" w:space="1" w:color="auto"/>
          <w:left w:val="single" w:sz="4" w:space="4" w:color="auto"/>
          <w:bottom w:val="single" w:sz="4" w:space="1" w:color="auto"/>
          <w:right w:val="single" w:sz="4" w:space="4" w:color="auto"/>
        </w:pBdr>
        <w:rPr>
          <w:rFonts w:cs="Times New Roman"/>
          <w:color w:val="auto"/>
          <w:szCs w:val="22"/>
          <w:lang w:val="pt-PT"/>
        </w:rPr>
      </w:pPr>
      <w:r w:rsidRPr="00110D6C">
        <w:rPr>
          <w:rFonts w:cs="Times New Roman"/>
          <w:b/>
          <w:bCs/>
          <w:color w:val="auto"/>
          <w:szCs w:val="22"/>
          <w:lang w:val="pt-PT"/>
        </w:rPr>
        <w:t>18. IDENTIFICADOR ÚNICO – DADOS PARA A LEITURA HUMANA</w:t>
      </w:r>
    </w:p>
    <w:p w14:paraId="6E2B32A2" w14:textId="77777777" w:rsidR="004D7229" w:rsidRPr="00110D6C" w:rsidRDefault="004D7229" w:rsidP="00A17623">
      <w:pPr>
        <w:widowControl/>
        <w:rPr>
          <w:rFonts w:cs="Times New Roman"/>
          <w:color w:val="auto"/>
          <w:szCs w:val="22"/>
          <w:lang w:val="pt-PT"/>
        </w:rPr>
      </w:pPr>
    </w:p>
    <w:p w14:paraId="0A4260F3"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PC</w:t>
      </w:r>
    </w:p>
    <w:p w14:paraId="2F8DF390"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SN</w:t>
      </w:r>
    </w:p>
    <w:p w14:paraId="73C5B85F"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NN</w:t>
      </w:r>
    </w:p>
    <w:p w14:paraId="033F0548" w14:textId="77777777" w:rsidR="004D7229" w:rsidRPr="00110D6C" w:rsidRDefault="004D7229">
      <w:pPr>
        <w:rPr>
          <w:rFonts w:cs="Times New Roman"/>
          <w:bCs/>
          <w:color w:val="auto"/>
          <w:szCs w:val="22"/>
          <w:lang w:val="pt-PT"/>
        </w:rPr>
      </w:pPr>
      <w:r w:rsidRPr="00110D6C">
        <w:rPr>
          <w:rFonts w:cs="Times New Roman"/>
          <w:b/>
          <w:bCs/>
          <w:color w:val="auto"/>
          <w:szCs w:val="22"/>
          <w:lang w:val="pt-PT"/>
        </w:rPr>
        <w:br w:type="page"/>
      </w:r>
    </w:p>
    <w:p w14:paraId="23BA5CDF" w14:textId="77777777" w:rsidR="0077031F" w:rsidRPr="00110D6C" w:rsidRDefault="00030085" w:rsidP="004D7229">
      <w:pPr>
        <w:widowControl/>
        <w:pBdr>
          <w:top w:val="single" w:sz="4" w:space="1" w:color="auto"/>
          <w:left w:val="single" w:sz="4" w:space="4" w:color="auto"/>
          <w:bottom w:val="single" w:sz="4" w:space="1" w:color="auto"/>
          <w:right w:val="single" w:sz="4" w:space="4" w:color="auto"/>
        </w:pBdr>
        <w:rPr>
          <w:rFonts w:cs="Times New Roman"/>
          <w:color w:val="auto"/>
          <w:szCs w:val="22"/>
          <w:lang w:val="pt-PT"/>
        </w:rPr>
      </w:pPr>
      <w:r w:rsidRPr="00110D6C">
        <w:rPr>
          <w:rFonts w:cs="Times New Roman"/>
          <w:b/>
          <w:bCs/>
          <w:color w:val="auto"/>
          <w:szCs w:val="22"/>
          <w:lang w:val="pt-PT"/>
        </w:rPr>
        <w:lastRenderedPageBreak/>
        <w:t>INDICAÇÕES MÍNIMAS A INCLUIR EM PEQUENAS UNIDADES DE ACONDICIONAMENTO PRIMÁRIO</w:t>
      </w:r>
    </w:p>
    <w:p w14:paraId="3F8995F4" w14:textId="77777777" w:rsidR="004D7229" w:rsidRPr="00110D6C" w:rsidRDefault="004D7229" w:rsidP="004D7229">
      <w:pPr>
        <w:widowControl/>
        <w:pBdr>
          <w:top w:val="single" w:sz="4" w:space="1" w:color="auto"/>
          <w:left w:val="single" w:sz="4" w:space="4" w:color="auto"/>
          <w:bottom w:val="single" w:sz="4" w:space="1" w:color="auto"/>
          <w:right w:val="single" w:sz="4" w:space="4" w:color="auto"/>
        </w:pBdr>
        <w:rPr>
          <w:rFonts w:cs="Times New Roman"/>
          <w:bCs/>
          <w:color w:val="auto"/>
          <w:szCs w:val="22"/>
          <w:lang w:val="pt-PT"/>
        </w:rPr>
      </w:pPr>
    </w:p>
    <w:p w14:paraId="1C4A924D" w14:textId="77777777" w:rsidR="0077031F" w:rsidRPr="00110D6C" w:rsidRDefault="00030085" w:rsidP="004D7229">
      <w:pPr>
        <w:widowControl/>
        <w:pBdr>
          <w:top w:val="single" w:sz="4" w:space="1" w:color="auto"/>
          <w:left w:val="single" w:sz="4" w:space="4" w:color="auto"/>
          <w:bottom w:val="single" w:sz="4" w:space="1" w:color="auto"/>
          <w:right w:val="single" w:sz="4" w:space="4" w:color="auto"/>
        </w:pBdr>
        <w:rPr>
          <w:rFonts w:cs="Times New Roman"/>
          <w:color w:val="auto"/>
          <w:szCs w:val="22"/>
          <w:lang w:val="pt-PT"/>
        </w:rPr>
      </w:pPr>
      <w:r w:rsidRPr="00110D6C">
        <w:rPr>
          <w:rFonts w:cs="Times New Roman"/>
          <w:b/>
          <w:bCs/>
          <w:color w:val="auto"/>
          <w:szCs w:val="22"/>
          <w:lang w:val="pt-PT"/>
        </w:rPr>
        <w:t>TEXTO PARA O RÓTULO DA SERINGA PRÉ-CHEIA (4</w:t>
      </w:r>
      <w:r w:rsidR="00B910F9" w:rsidRPr="00110D6C">
        <w:rPr>
          <w:rFonts w:cs="Times New Roman"/>
          <w:b/>
          <w:bCs/>
          <w:color w:val="auto"/>
          <w:szCs w:val="22"/>
          <w:lang w:val="pt-PT"/>
        </w:rPr>
        <w:t>5 </w:t>
      </w:r>
      <w:r w:rsidRPr="00110D6C">
        <w:rPr>
          <w:rFonts w:cs="Times New Roman"/>
          <w:b/>
          <w:bCs/>
          <w:color w:val="auto"/>
          <w:szCs w:val="22"/>
          <w:lang w:val="pt-PT"/>
        </w:rPr>
        <w:t>mg)</w:t>
      </w:r>
    </w:p>
    <w:p w14:paraId="73DB5395" w14:textId="77777777" w:rsidR="006F5AF8" w:rsidRPr="00110D6C" w:rsidRDefault="006F5AF8" w:rsidP="008D3859">
      <w:pPr>
        <w:widowControl/>
        <w:rPr>
          <w:rFonts w:cs="Times New Roman"/>
          <w:bCs/>
          <w:color w:val="auto"/>
          <w:szCs w:val="22"/>
          <w:lang w:val="pt-PT"/>
        </w:rPr>
      </w:pPr>
    </w:p>
    <w:p w14:paraId="40228380" w14:textId="77777777" w:rsidR="006F5AF8" w:rsidRPr="00110D6C" w:rsidRDefault="006F5AF8" w:rsidP="008D3859">
      <w:pPr>
        <w:widowControl/>
        <w:rPr>
          <w:rFonts w:cs="Times New Roman"/>
          <w:bCs/>
          <w:color w:val="auto"/>
          <w:szCs w:val="22"/>
          <w:lang w:val="pt-PT"/>
        </w:rPr>
      </w:pPr>
    </w:p>
    <w:p w14:paraId="071B8F75" w14:textId="77777777" w:rsidR="0077031F" w:rsidRPr="00110D6C" w:rsidRDefault="00DC3C01" w:rsidP="006F5AF8">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w:t>
      </w:r>
      <w:r w:rsidRPr="00110D6C">
        <w:rPr>
          <w:rFonts w:cs="Times New Roman"/>
          <w:b/>
          <w:bCs/>
          <w:color w:val="auto"/>
          <w:szCs w:val="22"/>
          <w:lang w:val="pt-PT"/>
        </w:rPr>
        <w:tab/>
      </w:r>
      <w:r w:rsidR="00030085" w:rsidRPr="00110D6C">
        <w:rPr>
          <w:rFonts w:cs="Times New Roman"/>
          <w:b/>
          <w:bCs/>
          <w:color w:val="auto"/>
          <w:szCs w:val="22"/>
          <w:lang w:val="pt-PT"/>
        </w:rPr>
        <w:t>NOME DO MEDICAMENTO E VIA(S) DE ADMINISTRAÇÃO</w:t>
      </w:r>
    </w:p>
    <w:p w14:paraId="475B39B2" w14:textId="77777777" w:rsidR="006F5AF8" w:rsidRPr="00110D6C" w:rsidRDefault="006F5AF8" w:rsidP="00A17623">
      <w:pPr>
        <w:widowControl/>
        <w:rPr>
          <w:rFonts w:cs="Times New Roman"/>
          <w:color w:val="auto"/>
          <w:szCs w:val="22"/>
          <w:lang w:val="pt-PT"/>
        </w:rPr>
      </w:pPr>
    </w:p>
    <w:p w14:paraId="11C1325D" w14:textId="78DF6A42" w:rsidR="0077031F" w:rsidRPr="00110D6C" w:rsidRDefault="00D05FE6" w:rsidP="00A17623">
      <w:pPr>
        <w:widowControl/>
        <w:rPr>
          <w:rFonts w:cs="Times New Roman"/>
          <w:color w:val="auto"/>
          <w:szCs w:val="22"/>
          <w:lang w:val="pt-PT"/>
        </w:rPr>
      </w:pPr>
      <w:r w:rsidRPr="00110D6C">
        <w:rPr>
          <w:rFonts w:cs="Times New Roman"/>
          <w:color w:val="auto"/>
          <w:szCs w:val="22"/>
          <w:lang w:val="pt-PT"/>
        </w:rPr>
        <w:t>F</w:t>
      </w:r>
      <w:r w:rsidR="003508E1" w:rsidRPr="00110D6C">
        <w:rPr>
          <w:rFonts w:cs="Times New Roman"/>
          <w:color w:val="auto"/>
          <w:szCs w:val="22"/>
          <w:lang w:val="pt-PT"/>
        </w:rPr>
        <w:t>ymskina</w:t>
      </w:r>
      <w:r w:rsidR="00030085" w:rsidRPr="00110D6C">
        <w:rPr>
          <w:rFonts w:cs="Times New Roman"/>
          <w:color w:val="auto"/>
          <w:szCs w:val="22"/>
          <w:lang w:val="pt-PT"/>
        </w:rPr>
        <w:t xml:space="preserve"> 4</w:t>
      </w:r>
      <w:r w:rsidR="00B910F9" w:rsidRPr="00110D6C">
        <w:rPr>
          <w:rFonts w:cs="Times New Roman"/>
          <w:color w:val="auto"/>
          <w:szCs w:val="22"/>
          <w:lang w:val="pt-PT"/>
        </w:rPr>
        <w:t>5 </w:t>
      </w:r>
      <w:r w:rsidR="00030085" w:rsidRPr="00110D6C">
        <w:rPr>
          <w:rFonts w:cs="Times New Roman"/>
          <w:color w:val="auto"/>
          <w:szCs w:val="22"/>
          <w:lang w:val="pt-PT"/>
        </w:rPr>
        <w:t>mg injetável</w:t>
      </w:r>
    </w:p>
    <w:p w14:paraId="3BB5E550"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ustecinumab</w:t>
      </w:r>
    </w:p>
    <w:p w14:paraId="4C2B0B7F"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Via SC</w:t>
      </w:r>
    </w:p>
    <w:p w14:paraId="2A64F462" w14:textId="77777777" w:rsidR="006F5AF8" w:rsidRPr="00110D6C" w:rsidRDefault="006F5AF8" w:rsidP="008D3859">
      <w:pPr>
        <w:widowControl/>
        <w:rPr>
          <w:rFonts w:cs="Times New Roman"/>
          <w:bCs/>
          <w:color w:val="auto"/>
          <w:szCs w:val="22"/>
          <w:lang w:val="pt-PT"/>
        </w:rPr>
      </w:pPr>
    </w:p>
    <w:p w14:paraId="7E0026FE" w14:textId="77777777" w:rsidR="006F5AF8" w:rsidRPr="00110D6C" w:rsidRDefault="006F5AF8" w:rsidP="008D3859">
      <w:pPr>
        <w:widowControl/>
        <w:rPr>
          <w:rFonts w:cs="Times New Roman"/>
          <w:bCs/>
          <w:color w:val="auto"/>
          <w:szCs w:val="22"/>
          <w:lang w:val="pt-PT"/>
        </w:rPr>
      </w:pPr>
    </w:p>
    <w:p w14:paraId="66E4E4D8" w14:textId="77777777" w:rsidR="0077031F" w:rsidRPr="00110D6C" w:rsidRDefault="00DC3C01" w:rsidP="006F5AF8">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2.</w:t>
      </w:r>
      <w:r w:rsidRPr="00110D6C">
        <w:rPr>
          <w:rFonts w:cs="Times New Roman"/>
          <w:b/>
          <w:bCs/>
          <w:color w:val="auto"/>
          <w:szCs w:val="22"/>
          <w:lang w:val="pt-PT"/>
        </w:rPr>
        <w:tab/>
      </w:r>
      <w:r w:rsidR="00030085" w:rsidRPr="00110D6C">
        <w:rPr>
          <w:rFonts w:cs="Times New Roman"/>
          <w:b/>
          <w:bCs/>
          <w:color w:val="auto"/>
          <w:szCs w:val="22"/>
          <w:lang w:val="pt-PT"/>
        </w:rPr>
        <w:t>MODO DE ADMINISTRAÇÃO</w:t>
      </w:r>
    </w:p>
    <w:p w14:paraId="762C14FF" w14:textId="77777777" w:rsidR="006F5AF8" w:rsidRPr="00110D6C" w:rsidRDefault="006F5AF8" w:rsidP="008D3859">
      <w:pPr>
        <w:widowControl/>
        <w:rPr>
          <w:rFonts w:cs="Times New Roman"/>
          <w:bCs/>
          <w:color w:val="auto"/>
          <w:szCs w:val="22"/>
          <w:lang w:val="pt-PT"/>
        </w:rPr>
      </w:pPr>
    </w:p>
    <w:p w14:paraId="142E755F" w14:textId="77777777" w:rsidR="006F5AF8" w:rsidRPr="00110D6C" w:rsidRDefault="006F5AF8" w:rsidP="008D3859">
      <w:pPr>
        <w:widowControl/>
        <w:rPr>
          <w:rFonts w:cs="Times New Roman"/>
          <w:bCs/>
          <w:color w:val="auto"/>
          <w:szCs w:val="22"/>
          <w:lang w:val="pt-PT"/>
        </w:rPr>
      </w:pPr>
    </w:p>
    <w:p w14:paraId="5559855E" w14:textId="77777777" w:rsidR="0077031F" w:rsidRPr="00110D6C" w:rsidRDefault="00DC3C01" w:rsidP="006F5AF8">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3.</w:t>
      </w:r>
      <w:r w:rsidRPr="00110D6C">
        <w:rPr>
          <w:rFonts w:cs="Times New Roman"/>
          <w:b/>
          <w:bCs/>
          <w:color w:val="auto"/>
          <w:szCs w:val="22"/>
          <w:lang w:val="pt-PT"/>
        </w:rPr>
        <w:tab/>
      </w:r>
      <w:r w:rsidR="00030085" w:rsidRPr="00110D6C">
        <w:rPr>
          <w:rFonts w:cs="Times New Roman"/>
          <w:b/>
          <w:bCs/>
          <w:color w:val="auto"/>
          <w:szCs w:val="22"/>
          <w:lang w:val="pt-PT"/>
        </w:rPr>
        <w:t>PRAZO DE VALIDADE</w:t>
      </w:r>
    </w:p>
    <w:p w14:paraId="665E4867" w14:textId="77777777" w:rsidR="006F5AF8" w:rsidRPr="00110D6C" w:rsidRDefault="006F5AF8" w:rsidP="00A17623">
      <w:pPr>
        <w:widowControl/>
        <w:rPr>
          <w:rFonts w:cs="Times New Roman"/>
          <w:color w:val="auto"/>
          <w:szCs w:val="22"/>
          <w:lang w:val="pt-PT"/>
        </w:rPr>
      </w:pPr>
    </w:p>
    <w:p w14:paraId="4A0C8EC7"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VAL.</w:t>
      </w:r>
    </w:p>
    <w:p w14:paraId="5ECE4FB1" w14:textId="77777777" w:rsidR="006F5AF8" w:rsidRPr="00110D6C" w:rsidRDefault="006F5AF8" w:rsidP="008D3859">
      <w:pPr>
        <w:widowControl/>
        <w:rPr>
          <w:rFonts w:cs="Times New Roman"/>
          <w:bCs/>
          <w:color w:val="auto"/>
          <w:szCs w:val="22"/>
          <w:lang w:val="pt-PT"/>
        </w:rPr>
      </w:pPr>
    </w:p>
    <w:p w14:paraId="2BD42C9E" w14:textId="77777777" w:rsidR="006F5AF8" w:rsidRPr="00110D6C" w:rsidRDefault="006F5AF8" w:rsidP="008D3859">
      <w:pPr>
        <w:widowControl/>
        <w:rPr>
          <w:rFonts w:cs="Times New Roman"/>
          <w:bCs/>
          <w:color w:val="auto"/>
          <w:szCs w:val="22"/>
          <w:lang w:val="pt-PT"/>
        </w:rPr>
      </w:pPr>
    </w:p>
    <w:p w14:paraId="05C071C8" w14:textId="77777777" w:rsidR="0077031F" w:rsidRPr="00110D6C" w:rsidRDefault="00DC3C01" w:rsidP="006F5AF8">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4.</w:t>
      </w:r>
      <w:r w:rsidRPr="00110D6C">
        <w:rPr>
          <w:rFonts w:cs="Times New Roman"/>
          <w:b/>
          <w:bCs/>
          <w:color w:val="auto"/>
          <w:szCs w:val="22"/>
          <w:lang w:val="pt-PT"/>
        </w:rPr>
        <w:tab/>
      </w:r>
      <w:r w:rsidR="00030085" w:rsidRPr="00110D6C">
        <w:rPr>
          <w:rFonts w:cs="Times New Roman"/>
          <w:b/>
          <w:bCs/>
          <w:color w:val="auto"/>
          <w:szCs w:val="22"/>
          <w:lang w:val="pt-PT"/>
        </w:rPr>
        <w:t>NÚMERO DO LOTE</w:t>
      </w:r>
    </w:p>
    <w:p w14:paraId="42D9CAF7" w14:textId="77777777" w:rsidR="006F5AF8" w:rsidRPr="00110D6C" w:rsidRDefault="006F5AF8" w:rsidP="00A17623">
      <w:pPr>
        <w:widowControl/>
        <w:rPr>
          <w:rFonts w:cs="Times New Roman"/>
          <w:color w:val="auto"/>
          <w:szCs w:val="22"/>
          <w:lang w:val="pt-PT"/>
        </w:rPr>
      </w:pPr>
    </w:p>
    <w:p w14:paraId="384C403F"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Lote</w:t>
      </w:r>
    </w:p>
    <w:p w14:paraId="6049748C" w14:textId="77777777" w:rsidR="006F5AF8" w:rsidRPr="00110D6C" w:rsidRDefault="006F5AF8" w:rsidP="008D3859">
      <w:pPr>
        <w:widowControl/>
        <w:rPr>
          <w:rFonts w:cs="Times New Roman"/>
          <w:bCs/>
          <w:color w:val="auto"/>
          <w:szCs w:val="22"/>
          <w:lang w:val="pt-PT"/>
        </w:rPr>
      </w:pPr>
    </w:p>
    <w:p w14:paraId="7D08F985" w14:textId="77777777" w:rsidR="006F5AF8" w:rsidRPr="00110D6C" w:rsidRDefault="006F5AF8" w:rsidP="008D3859">
      <w:pPr>
        <w:widowControl/>
        <w:rPr>
          <w:rFonts w:cs="Times New Roman"/>
          <w:bCs/>
          <w:color w:val="auto"/>
          <w:szCs w:val="22"/>
          <w:lang w:val="pt-PT"/>
        </w:rPr>
      </w:pPr>
    </w:p>
    <w:p w14:paraId="5C595B46" w14:textId="77777777" w:rsidR="0077031F" w:rsidRPr="00110D6C" w:rsidRDefault="00DC3C01" w:rsidP="006F5AF8">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5.</w:t>
      </w:r>
      <w:r w:rsidRPr="00110D6C">
        <w:rPr>
          <w:rFonts w:cs="Times New Roman"/>
          <w:b/>
          <w:bCs/>
          <w:color w:val="auto"/>
          <w:szCs w:val="22"/>
          <w:lang w:val="pt-PT"/>
        </w:rPr>
        <w:tab/>
      </w:r>
      <w:r w:rsidR="00030085" w:rsidRPr="00110D6C">
        <w:rPr>
          <w:rFonts w:cs="Times New Roman"/>
          <w:b/>
          <w:bCs/>
          <w:color w:val="auto"/>
          <w:szCs w:val="22"/>
          <w:lang w:val="pt-PT"/>
        </w:rPr>
        <w:t>CONTEÚDO EM PESO, VOLUME OU UNIDADE</w:t>
      </w:r>
    </w:p>
    <w:p w14:paraId="6B0F8549" w14:textId="77777777" w:rsidR="006F5AF8" w:rsidRPr="00110D6C" w:rsidRDefault="006F5AF8" w:rsidP="00A17623">
      <w:pPr>
        <w:widowControl/>
        <w:rPr>
          <w:rFonts w:cs="Times New Roman"/>
          <w:color w:val="auto"/>
          <w:szCs w:val="22"/>
          <w:lang w:val="pt-PT"/>
        </w:rPr>
      </w:pPr>
    </w:p>
    <w:p w14:paraId="4D794132"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4</w:t>
      </w:r>
      <w:r w:rsidR="00B910F9" w:rsidRPr="00110D6C">
        <w:rPr>
          <w:rFonts w:cs="Times New Roman"/>
          <w:color w:val="auto"/>
          <w:szCs w:val="22"/>
          <w:lang w:val="pt-PT"/>
        </w:rPr>
        <w:t>5 </w:t>
      </w:r>
      <w:r w:rsidRPr="00110D6C">
        <w:rPr>
          <w:rFonts w:cs="Times New Roman"/>
          <w:color w:val="auto"/>
          <w:szCs w:val="22"/>
          <w:lang w:val="pt-PT"/>
        </w:rPr>
        <w:t>mg/0,</w:t>
      </w:r>
      <w:r w:rsidR="00B910F9" w:rsidRPr="00110D6C">
        <w:rPr>
          <w:rFonts w:cs="Times New Roman"/>
          <w:color w:val="auto"/>
          <w:szCs w:val="22"/>
          <w:lang w:val="pt-PT"/>
        </w:rPr>
        <w:t>5 </w:t>
      </w:r>
      <w:r w:rsidRPr="00110D6C">
        <w:rPr>
          <w:rFonts w:cs="Times New Roman"/>
          <w:color w:val="auto"/>
          <w:szCs w:val="22"/>
          <w:lang w:val="pt-PT"/>
        </w:rPr>
        <w:t>ml</w:t>
      </w:r>
    </w:p>
    <w:p w14:paraId="3FC708C9" w14:textId="77777777" w:rsidR="006F5AF8" w:rsidRPr="00110D6C" w:rsidRDefault="006F5AF8" w:rsidP="008D3859">
      <w:pPr>
        <w:widowControl/>
        <w:rPr>
          <w:rFonts w:cs="Times New Roman"/>
          <w:bCs/>
          <w:color w:val="auto"/>
          <w:szCs w:val="22"/>
          <w:lang w:val="pt-PT"/>
        </w:rPr>
      </w:pPr>
    </w:p>
    <w:p w14:paraId="51A8D6E4" w14:textId="77777777" w:rsidR="006F5AF8" w:rsidRPr="00110D6C" w:rsidRDefault="006F5AF8" w:rsidP="008D3859">
      <w:pPr>
        <w:widowControl/>
        <w:rPr>
          <w:rFonts w:cs="Times New Roman"/>
          <w:bCs/>
          <w:color w:val="auto"/>
          <w:szCs w:val="22"/>
          <w:lang w:val="pt-PT"/>
        </w:rPr>
      </w:pPr>
    </w:p>
    <w:p w14:paraId="5548DACB" w14:textId="77777777" w:rsidR="0077031F" w:rsidRPr="00110D6C" w:rsidRDefault="00DC3C01" w:rsidP="006F5AF8">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6.</w:t>
      </w:r>
      <w:r w:rsidRPr="00110D6C">
        <w:rPr>
          <w:rFonts w:cs="Times New Roman"/>
          <w:b/>
          <w:bCs/>
          <w:color w:val="auto"/>
          <w:szCs w:val="22"/>
          <w:lang w:val="pt-PT"/>
        </w:rPr>
        <w:tab/>
      </w:r>
      <w:r w:rsidR="00030085" w:rsidRPr="00110D6C">
        <w:rPr>
          <w:rFonts w:cs="Times New Roman"/>
          <w:b/>
          <w:bCs/>
          <w:color w:val="auto"/>
          <w:szCs w:val="22"/>
          <w:lang w:val="pt-PT"/>
        </w:rPr>
        <w:t>OUTRAS</w:t>
      </w:r>
    </w:p>
    <w:p w14:paraId="66FE8226" w14:textId="77777777" w:rsidR="008D3859" w:rsidRPr="00110D6C" w:rsidRDefault="008D3859">
      <w:pPr>
        <w:rPr>
          <w:rFonts w:cs="Times New Roman"/>
          <w:bCs/>
          <w:color w:val="auto"/>
          <w:szCs w:val="22"/>
          <w:lang w:val="pt-PT"/>
        </w:rPr>
      </w:pPr>
    </w:p>
    <w:p w14:paraId="4CD3D4EE" w14:textId="77777777" w:rsidR="006F5AF8" w:rsidRPr="00110D6C" w:rsidRDefault="006F5AF8">
      <w:pPr>
        <w:rPr>
          <w:rFonts w:cs="Times New Roman"/>
          <w:bCs/>
          <w:color w:val="auto"/>
          <w:szCs w:val="22"/>
          <w:lang w:val="pt-PT"/>
        </w:rPr>
      </w:pPr>
      <w:r w:rsidRPr="00110D6C">
        <w:rPr>
          <w:rFonts w:cs="Times New Roman"/>
          <w:b/>
          <w:bCs/>
          <w:color w:val="auto"/>
          <w:szCs w:val="22"/>
          <w:lang w:val="pt-PT"/>
        </w:rPr>
        <w:br w:type="page"/>
      </w:r>
    </w:p>
    <w:p w14:paraId="759C823A" w14:textId="77777777" w:rsidR="0077031F" w:rsidRPr="00110D6C" w:rsidRDefault="00030085" w:rsidP="006F5AF8">
      <w:pPr>
        <w:widowControl/>
        <w:pBdr>
          <w:top w:val="single" w:sz="4" w:space="1" w:color="auto"/>
          <w:left w:val="single" w:sz="4" w:space="4" w:color="auto"/>
          <w:bottom w:val="single" w:sz="4" w:space="1" w:color="auto"/>
          <w:right w:val="single" w:sz="4" w:space="4" w:color="auto"/>
        </w:pBdr>
        <w:rPr>
          <w:rFonts w:cs="Times New Roman"/>
          <w:color w:val="auto"/>
          <w:szCs w:val="22"/>
          <w:lang w:val="pt-PT"/>
        </w:rPr>
      </w:pPr>
      <w:r w:rsidRPr="00110D6C">
        <w:rPr>
          <w:rFonts w:cs="Times New Roman"/>
          <w:b/>
          <w:bCs/>
          <w:color w:val="auto"/>
          <w:szCs w:val="22"/>
          <w:lang w:val="pt-PT"/>
        </w:rPr>
        <w:lastRenderedPageBreak/>
        <w:t>INDICAÇÕES A INCLUIR NO ACONDICIONAMENTO SECUNDÁRIO</w:t>
      </w:r>
    </w:p>
    <w:p w14:paraId="103CEE20" w14:textId="77777777" w:rsidR="006F5AF8" w:rsidRPr="00110D6C" w:rsidRDefault="006F5AF8" w:rsidP="006F5AF8">
      <w:pPr>
        <w:widowControl/>
        <w:pBdr>
          <w:top w:val="single" w:sz="4" w:space="1" w:color="auto"/>
          <w:left w:val="single" w:sz="4" w:space="4" w:color="auto"/>
          <w:bottom w:val="single" w:sz="4" w:space="1" w:color="auto"/>
          <w:right w:val="single" w:sz="4" w:space="4" w:color="auto"/>
        </w:pBdr>
        <w:rPr>
          <w:rFonts w:cs="Times New Roman"/>
          <w:bCs/>
          <w:color w:val="auto"/>
          <w:szCs w:val="22"/>
          <w:lang w:val="pt-PT"/>
        </w:rPr>
      </w:pPr>
    </w:p>
    <w:p w14:paraId="0C87E944" w14:textId="77777777" w:rsidR="0077031F" w:rsidRPr="00110D6C" w:rsidRDefault="00030085" w:rsidP="006F5AF8">
      <w:pPr>
        <w:widowControl/>
        <w:pBdr>
          <w:top w:val="single" w:sz="4" w:space="1" w:color="auto"/>
          <w:left w:val="single" w:sz="4" w:space="4" w:color="auto"/>
          <w:bottom w:val="single" w:sz="4" w:space="1" w:color="auto"/>
          <w:right w:val="single" w:sz="4" w:space="4" w:color="auto"/>
        </w:pBdr>
        <w:rPr>
          <w:rFonts w:cs="Times New Roman"/>
          <w:color w:val="auto"/>
          <w:szCs w:val="22"/>
          <w:lang w:val="pt-PT"/>
        </w:rPr>
      </w:pPr>
      <w:r w:rsidRPr="00110D6C">
        <w:rPr>
          <w:rFonts w:cs="Times New Roman"/>
          <w:b/>
          <w:bCs/>
          <w:color w:val="auto"/>
          <w:szCs w:val="22"/>
          <w:lang w:val="pt-PT"/>
        </w:rPr>
        <w:t>TEXTO PARA A CARTONAGEM DA SERINGA PRÉ-CHEIA (9</w:t>
      </w:r>
      <w:r w:rsidR="00B910F9" w:rsidRPr="00110D6C">
        <w:rPr>
          <w:rFonts w:cs="Times New Roman"/>
          <w:b/>
          <w:bCs/>
          <w:color w:val="auto"/>
          <w:szCs w:val="22"/>
          <w:lang w:val="pt-PT"/>
        </w:rPr>
        <w:t>0 </w:t>
      </w:r>
      <w:r w:rsidRPr="00110D6C">
        <w:rPr>
          <w:rFonts w:cs="Times New Roman"/>
          <w:b/>
          <w:bCs/>
          <w:color w:val="auto"/>
          <w:szCs w:val="22"/>
          <w:lang w:val="pt-PT"/>
        </w:rPr>
        <w:t>mg)</w:t>
      </w:r>
    </w:p>
    <w:p w14:paraId="550C8C8D" w14:textId="77777777" w:rsidR="006F5AF8" w:rsidRPr="00110D6C" w:rsidRDefault="006F5AF8" w:rsidP="008D3859">
      <w:pPr>
        <w:widowControl/>
        <w:rPr>
          <w:rFonts w:cs="Times New Roman"/>
          <w:bCs/>
          <w:color w:val="auto"/>
          <w:szCs w:val="22"/>
          <w:lang w:val="pt-PT"/>
        </w:rPr>
      </w:pPr>
      <w:bookmarkStart w:id="85" w:name="bookmark138"/>
    </w:p>
    <w:p w14:paraId="5D78D590" w14:textId="77777777" w:rsidR="006F5AF8" w:rsidRPr="00110D6C" w:rsidRDefault="006F5AF8" w:rsidP="008D3859">
      <w:pPr>
        <w:widowControl/>
        <w:rPr>
          <w:rFonts w:cs="Times New Roman"/>
          <w:bCs/>
          <w:color w:val="auto"/>
          <w:szCs w:val="22"/>
          <w:lang w:val="pt-PT"/>
        </w:rPr>
      </w:pPr>
    </w:p>
    <w:p w14:paraId="7FA5D511" w14:textId="77777777" w:rsidR="0077031F" w:rsidRPr="00110D6C" w:rsidRDefault="00DC3C01" w:rsidP="006F5AF8">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w:t>
      </w:r>
      <w:r w:rsidRPr="00110D6C">
        <w:rPr>
          <w:rFonts w:cs="Times New Roman"/>
          <w:b/>
          <w:bCs/>
          <w:color w:val="auto"/>
          <w:szCs w:val="22"/>
          <w:lang w:val="pt-PT"/>
        </w:rPr>
        <w:tab/>
      </w:r>
      <w:r w:rsidR="00030085" w:rsidRPr="00110D6C">
        <w:rPr>
          <w:rFonts w:cs="Times New Roman"/>
          <w:b/>
          <w:bCs/>
          <w:color w:val="auto"/>
          <w:szCs w:val="22"/>
          <w:lang w:val="pt-PT"/>
        </w:rPr>
        <w:t>NOME DO MEDICAMENTO</w:t>
      </w:r>
      <w:bookmarkEnd w:id="85"/>
    </w:p>
    <w:p w14:paraId="17EBF2A0" w14:textId="77777777" w:rsidR="006F5AF8" w:rsidRPr="00110D6C" w:rsidRDefault="006F5AF8" w:rsidP="00A17623">
      <w:pPr>
        <w:widowControl/>
        <w:rPr>
          <w:rFonts w:cs="Times New Roman"/>
          <w:color w:val="auto"/>
          <w:szCs w:val="22"/>
          <w:lang w:val="pt-PT"/>
        </w:rPr>
      </w:pPr>
    </w:p>
    <w:p w14:paraId="51C7AAEE" w14:textId="2DFC5120" w:rsidR="006F5AF8" w:rsidRPr="00110D6C" w:rsidRDefault="00D05FE6" w:rsidP="006F5AF8">
      <w:pPr>
        <w:widowControl/>
        <w:rPr>
          <w:rFonts w:cs="Times New Roman"/>
          <w:color w:val="auto"/>
          <w:szCs w:val="22"/>
          <w:lang w:val="pt-PT"/>
        </w:rPr>
      </w:pPr>
      <w:r w:rsidRPr="00110D6C">
        <w:rPr>
          <w:rFonts w:cs="Times New Roman"/>
          <w:color w:val="auto"/>
          <w:szCs w:val="22"/>
          <w:lang w:val="pt-PT"/>
        </w:rPr>
        <w:t>F</w:t>
      </w:r>
      <w:r w:rsidR="003508E1" w:rsidRPr="00110D6C">
        <w:rPr>
          <w:rFonts w:cs="Times New Roman"/>
          <w:color w:val="auto"/>
          <w:szCs w:val="22"/>
          <w:lang w:val="pt-PT"/>
        </w:rPr>
        <w:t>ymskina</w:t>
      </w:r>
      <w:r w:rsidR="00030085" w:rsidRPr="00110D6C">
        <w:rPr>
          <w:rFonts w:cs="Times New Roman"/>
          <w:color w:val="auto"/>
          <w:szCs w:val="22"/>
          <w:lang w:val="pt-PT"/>
        </w:rPr>
        <w:t xml:space="preserve"> 9</w:t>
      </w:r>
      <w:r w:rsidR="00B910F9" w:rsidRPr="00110D6C">
        <w:rPr>
          <w:rFonts w:cs="Times New Roman"/>
          <w:color w:val="auto"/>
          <w:szCs w:val="22"/>
          <w:lang w:val="pt-PT"/>
        </w:rPr>
        <w:t>0 </w:t>
      </w:r>
      <w:r w:rsidR="00030085" w:rsidRPr="00110D6C">
        <w:rPr>
          <w:rFonts w:cs="Times New Roman"/>
          <w:color w:val="auto"/>
          <w:szCs w:val="22"/>
          <w:lang w:val="pt-PT"/>
        </w:rPr>
        <w:t>mg solução injetável em seringa pré-cheia</w:t>
      </w:r>
    </w:p>
    <w:p w14:paraId="73F55F40" w14:textId="77777777" w:rsidR="0077031F" w:rsidRPr="00110D6C" w:rsidRDefault="00030085" w:rsidP="006F5AF8">
      <w:pPr>
        <w:widowControl/>
        <w:rPr>
          <w:rFonts w:cs="Times New Roman"/>
          <w:color w:val="auto"/>
          <w:szCs w:val="22"/>
          <w:lang w:val="pt-PT"/>
        </w:rPr>
      </w:pPr>
      <w:r w:rsidRPr="00110D6C">
        <w:rPr>
          <w:rFonts w:cs="Times New Roman"/>
          <w:color w:val="auto"/>
          <w:szCs w:val="22"/>
          <w:lang w:val="pt-PT"/>
        </w:rPr>
        <w:t>ustecinumab</w:t>
      </w:r>
    </w:p>
    <w:p w14:paraId="2753FE95" w14:textId="77777777" w:rsidR="006F5AF8" w:rsidRPr="00110D6C" w:rsidRDefault="006F5AF8" w:rsidP="008D3859">
      <w:pPr>
        <w:widowControl/>
        <w:rPr>
          <w:rFonts w:cs="Times New Roman"/>
          <w:bCs/>
          <w:color w:val="auto"/>
          <w:szCs w:val="22"/>
          <w:lang w:val="pt-PT"/>
        </w:rPr>
      </w:pPr>
      <w:bookmarkStart w:id="86" w:name="bookmark140"/>
    </w:p>
    <w:p w14:paraId="5C5A55FF" w14:textId="77777777" w:rsidR="006F5AF8" w:rsidRPr="00110D6C" w:rsidRDefault="006F5AF8" w:rsidP="008D3859">
      <w:pPr>
        <w:widowControl/>
        <w:rPr>
          <w:rFonts w:cs="Times New Roman"/>
          <w:bCs/>
          <w:color w:val="auto"/>
          <w:szCs w:val="22"/>
          <w:lang w:val="pt-PT"/>
        </w:rPr>
      </w:pPr>
    </w:p>
    <w:p w14:paraId="10A1F680" w14:textId="77777777" w:rsidR="0077031F" w:rsidRPr="00110D6C" w:rsidRDefault="00DC3C01" w:rsidP="006F5AF8">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2.</w:t>
      </w:r>
      <w:r w:rsidRPr="00110D6C">
        <w:rPr>
          <w:rFonts w:cs="Times New Roman"/>
          <w:b/>
          <w:bCs/>
          <w:color w:val="auto"/>
          <w:szCs w:val="22"/>
          <w:lang w:val="pt-PT"/>
        </w:rPr>
        <w:tab/>
      </w:r>
      <w:r w:rsidR="00030085" w:rsidRPr="00110D6C">
        <w:rPr>
          <w:rFonts w:cs="Times New Roman"/>
          <w:b/>
          <w:bCs/>
          <w:color w:val="auto"/>
          <w:szCs w:val="22"/>
          <w:lang w:val="pt-PT"/>
        </w:rPr>
        <w:t>DESCRIÇÃO DA(S) SUBSTÂNCIA(S) ATIVA(S)</w:t>
      </w:r>
      <w:bookmarkEnd w:id="86"/>
    </w:p>
    <w:p w14:paraId="307A3E54" w14:textId="77777777" w:rsidR="006F5AF8" w:rsidRPr="00110D6C" w:rsidRDefault="006F5AF8" w:rsidP="00A17623">
      <w:pPr>
        <w:widowControl/>
        <w:rPr>
          <w:rFonts w:cs="Times New Roman"/>
          <w:color w:val="auto"/>
          <w:szCs w:val="22"/>
          <w:lang w:val="pt-PT"/>
        </w:rPr>
      </w:pPr>
    </w:p>
    <w:p w14:paraId="5CB5EE56"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Cada seringa pré-cheia contém 9</w:t>
      </w:r>
      <w:r w:rsidR="00B910F9" w:rsidRPr="00110D6C">
        <w:rPr>
          <w:rFonts w:cs="Times New Roman"/>
          <w:color w:val="auto"/>
          <w:szCs w:val="22"/>
          <w:lang w:val="pt-PT"/>
        </w:rPr>
        <w:t>0 </w:t>
      </w:r>
      <w:r w:rsidRPr="00110D6C">
        <w:rPr>
          <w:rFonts w:cs="Times New Roman"/>
          <w:color w:val="auto"/>
          <w:szCs w:val="22"/>
          <w:lang w:val="pt-PT"/>
        </w:rPr>
        <w:t xml:space="preserve">mg de ustecinumab em </w:t>
      </w:r>
      <w:r w:rsidR="00B910F9" w:rsidRPr="00110D6C">
        <w:rPr>
          <w:rFonts w:cs="Times New Roman"/>
          <w:color w:val="auto"/>
          <w:szCs w:val="22"/>
          <w:lang w:val="pt-PT"/>
        </w:rPr>
        <w:t>1 </w:t>
      </w:r>
      <w:r w:rsidRPr="00110D6C">
        <w:rPr>
          <w:rFonts w:cs="Times New Roman"/>
          <w:color w:val="auto"/>
          <w:szCs w:val="22"/>
          <w:lang w:val="pt-PT"/>
        </w:rPr>
        <w:t>ml.</w:t>
      </w:r>
    </w:p>
    <w:p w14:paraId="4A854091" w14:textId="77777777" w:rsidR="006F5AF8" w:rsidRPr="00110D6C" w:rsidRDefault="006F5AF8" w:rsidP="008D3859">
      <w:pPr>
        <w:widowControl/>
        <w:rPr>
          <w:rFonts w:cs="Times New Roman"/>
          <w:bCs/>
          <w:color w:val="auto"/>
          <w:szCs w:val="22"/>
          <w:lang w:val="pt-PT"/>
        </w:rPr>
      </w:pPr>
      <w:bookmarkStart w:id="87" w:name="bookmark142"/>
    </w:p>
    <w:p w14:paraId="750AE705" w14:textId="77777777" w:rsidR="006F5AF8" w:rsidRPr="00110D6C" w:rsidRDefault="006F5AF8" w:rsidP="008D3859">
      <w:pPr>
        <w:widowControl/>
        <w:rPr>
          <w:rFonts w:cs="Times New Roman"/>
          <w:bCs/>
          <w:color w:val="auto"/>
          <w:szCs w:val="22"/>
          <w:lang w:val="pt-PT"/>
        </w:rPr>
      </w:pPr>
    </w:p>
    <w:p w14:paraId="3E4D9DAF" w14:textId="77777777" w:rsidR="0077031F" w:rsidRPr="00110D6C" w:rsidRDefault="00DC3C01" w:rsidP="006F5AF8">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3.</w:t>
      </w:r>
      <w:r w:rsidRPr="00110D6C">
        <w:rPr>
          <w:rFonts w:cs="Times New Roman"/>
          <w:b/>
          <w:bCs/>
          <w:color w:val="auto"/>
          <w:szCs w:val="22"/>
          <w:lang w:val="pt-PT"/>
        </w:rPr>
        <w:tab/>
      </w:r>
      <w:r w:rsidR="00030085" w:rsidRPr="00110D6C">
        <w:rPr>
          <w:rFonts w:cs="Times New Roman"/>
          <w:b/>
          <w:bCs/>
          <w:color w:val="auto"/>
          <w:szCs w:val="22"/>
          <w:lang w:val="pt-PT"/>
        </w:rPr>
        <w:t>LISTA DOS EXCIPIENTES</w:t>
      </w:r>
      <w:bookmarkEnd w:id="87"/>
    </w:p>
    <w:p w14:paraId="42A70795" w14:textId="77777777" w:rsidR="006F5AF8" w:rsidRPr="00110D6C" w:rsidRDefault="006F5AF8" w:rsidP="00A17623">
      <w:pPr>
        <w:widowControl/>
        <w:rPr>
          <w:rFonts w:cs="Times New Roman"/>
          <w:color w:val="auto"/>
          <w:szCs w:val="22"/>
          <w:lang w:val="pt-PT"/>
        </w:rPr>
      </w:pPr>
    </w:p>
    <w:p w14:paraId="1CDAC422" w14:textId="410407CB" w:rsidR="0077031F" w:rsidRPr="00110D6C" w:rsidRDefault="00030085" w:rsidP="00A17623">
      <w:pPr>
        <w:widowControl/>
        <w:rPr>
          <w:rFonts w:cs="Times New Roman"/>
          <w:color w:val="auto"/>
          <w:szCs w:val="22"/>
          <w:lang w:val="pt-PT"/>
        </w:rPr>
      </w:pPr>
      <w:r w:rsidRPr="00110D6C">
        <w:rPr>
          <w:rFonts w:cs="Times New Roman"/>
          <w:color w:val="auto"/>
          <w:szCs w:val="22"/>
          <w:lang w:val="pt-PT"/>
        </w:rPr>
        <w:t>Excipientes: Sacarose, L-histidina, polissorbato 80, água para preparações injetáveis</w:t>
      </w:r>
      <w:r w:rsidR="003508E1">
        <w:rPr>
          <w:rFonts w:cs="Times New Roman"/>
          <w:color w:val="auto"/>
          <w:szCs w:val="22"/>
          <w:lang w:val="pt-PT"/>
        </w:rPr>
        <w:t>, ácido clorídrico</w:t>
      </w:r>
      <w:r w:rsidRPr="00110D6C">
        <w:rPr>
          <w:rFonts w:cs="Times New Roman"/>
          <w:color w:val="auto"/>
          <w:szCs w:val="22"/>
          <w:lang w:val="pt-PT"/>
        </w:rPr>
        <w:t>.</w:t>
      </w:r>
    </w:p>
    <w:p w14:paraId="0FA32080" w14:textId="77777777" w:rsidR="006F5AF8" w:rsidRPr="00110D6C" w:rsidRDefault="006F5AF8" w:rsidP="008D3859">
      <w:pPr>
        <w:widowControl/>
        <w:rPr>
          <w:rFonts w:cs="Times New Roman"/>
          <w:bCs/>
          <w:color w:val="auto"/>
          <w:szCs w:val="22"/>
          <w:lang w:val="pt-PT"/>
        </w:rPr>
      </w:pPr>
      <w:bookmarkStart w:id="88" w:name="bookmark144"/>
    </w:p>
    <w:p w14:paraId="0022814E" w14:textId="77777777" w:rsidR="006F5AF8" w:rsidRPr="00110D6C" w:rsidRDefault="006F5AF8" w:rsidP="008D3859">
      <w:pPr>
        <w:widowControl/>
        <w:rPr>
          <w:rFonts w:cs="Times New Roman"/>
          <w:bCs/>
          <w:color w:val="auto"/>
          <w:szCs w:val="22"/>
          <w:lang w:val="pt-PT"/>
        </w:rPr>
      </w:pPr>
    </w:p>
    <w:p w14:paraId="46C746A8" w14:textId="77777777" w:rsidR="0077031F" w:rsidRPr="00110D6C" w:rsidRDefault="00DC3C01" w:rsidP="006F5AF8">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4.</w:t>
      </w:r>
      <w:r w:rsidRPr="00110D6C">
        <w:rPr>
          <w:rFonts w:cs="Times New Roman"/>
          <w:b/>
          <w:bCs/>
          <w:color w:val="auto"/>
          <w:szCs w:val="22"/>
          <w:lang w:val="pt-PT"/>
        </w:rPr>
        <w:tab/>
      </w:r>
      <w:r w:rsidR="00030085" w:rsidRPr="00110D6C">
        <w:rPr>
          <w:rFonts w:cs="Times New Roman"/>
          <w:b/>
          <w:bCs/>
          <w:color w:val="auto"/>
          <w:szCs w:val="22"/>
          <w:lang w:val="pt-PT"/>
        </w:rPr>
        <w:t>FORMA FARMACÊUTICA E CONTEÚDO</w:t>
      </w:r>
      <w:bookmarkEnd w:id="88"/>
    </w:p>
    <w:p w14:paraId="65EE7325" w14:textId="77777777" w:rsidR="006F5AF8" w:rsidRPr="00110D6C" w:rsidRDefault="006F5AF8" w:rsidP="00A17623">
      <w:pPr>
        <w:widowControl/>
        <w:rPr>
          <w:rFonts w:cs="Times New Roman"/>
          <w:color w:val="auto"/>
          <w:szCs w:val="22"/>
          <w:lang w:val="pt-PT"/>
        </w:rPr>
      </w:pPr>
    </w:p>
    <w:p w14:paraId="07C4520C" w14:textId="77777777" w:rsidR="0077031F" w:rsidRPr="00110D6C" w:rsidRDefault="00030085" w:rsidP="00A17623">
      <w:pPr>
        <w:widowControl/>
        <w:rPr>
          <w:rFonts w:cs="Times New Roman"/>
          <w:color w:val="auto"/>
          <w:szCs w:val="22"/>
          <w:lang w:val="pt-PT"/>
        </w:rPr>
      </w:pPr>
      <w:r w:rsidRPr="00492A01">
        <w:rPr>
          <w:rFonts w:cs="Times New Roman"/>
          <w:color w:val="auto"/>
          <w:szCs w:val="22"/>
          <w:highlight w:val="lightGray"/>
          <w:lang w:val="pt-PT"/>
        </w:rPr>
        <w:t>Solução injetável em seringa pré-cheia</w:t>
      </w:r>
    </w:p>
    <w:p w14:paraId="118C56A7"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9</w:t>
      </w:r>
      <w:r w:rsidR="00B910F9" w:rsidRPr="00110D6C">
        <w:rPr>
          <w:rFonts w:cs="Times New Roman"/>
          <w:color w:val="auto"/>
          <w:szCs w:val="22"/>
          <w:lang w:val="pt-PT"/>
        </w:rPr>
        <w:t>0 </w:t>
      </w:r>
      <w:r w:rsidRPr="00110D6C">
        <w:rPr>
          <w:rFonts w:cs="Times New Roman"/>
          <w:color w:val="auto"/>
          <w:szCs w:val="22"/>
          <w:lang w:val="pt-PT"/>
        </w:rPr>
        <w:t>mg/</w:t>
      </w:r>
      <w:r w:rsidR="00B910F9" w:rsidRPr="00110D6C">
        <w:rPr>
          <w:rFonts w:cs="Times New Roman"/>
          <w:color w:val="auto"/>
          <w:szCs w:val="22"/>
          <w:lang w:val="pt-PT"/>
        </w:rPr>
        <w:t>1 </w:t>
      </w:r>
      <w:r w:rsidRPr="00110D6C">
        <w:rPr>
          <w:rFonts w:cs="Times New Roman"/>
          <w:color w:val="auto"/>
          <w:szCs w:val="22"/>
          <w:lang w:val="pt-PT"/>
        </w:rPr>
        <w:t>ml</w:t>
      </w:r>
    </w:p>
    <w:p w14:paraId="4FE4F24C" w14:textId="77777777" w:rsidR="0077031F" w:rsidRPr="00110D6C" w:rsidRDefault="00030085" w:rsidP="006F5AF8">
      <w:pPr>
        <w:widowControl/>
        <w:rPr>
          <w:rFonts w:cs="Times New Roman"/>
          <w:color w:val="auto"/>
          <w:szCs w:val="22"/>
          <w:lang w:val="pt-PT"/>
        </w:rPr>
      </w:pPr>
      <w:r w:rsidRPr="00110D6C">
        <w:rPr>
          <w:rFonts w:cs="Times New Roman"/>
          <w:color w:val="auto"/>
          <w:szCs w:val="22"/>
          <w:lang w:val="pt-PT"/>
        </w:rPr>
        <w:t>1</w:t>
      </w:r>
      <w:r w:rsidR="006F5AF8" w:rsidRPr="00110D6C">
        <w:rPr>
          <w:rFonts w:cs="Times New Roman"/>
          <w:color w:val="auto"/>
          <w:szCs w:val="22"/>
          <w:lang w:val="pt-PT"/>
        </w:rPr>
        <w:t xml:space="preserve"> </w:t>
      </w:r>
      <w:r w:rsidRPr="00110D6C">
        <w:rPr>
          <w:rFonts w:cs="Times New Roman"/>
          <w:color w:val="auto"/>
          <w:szCs w:val="22"/>
          <w:lang w:val="pt-PT"/>
        </w:rPr>
        <w:t>seringa pré-cheia</w:t>
      </w:r>
    </w:p>
    <w:p w14:paraId="1D303F34" w14:textId="77777777" w:rsidR="006F5AF8" w:rsidRPr="00110D6C" w:rsidRDefault="006F5AF8" w:rsidP="00A17623">
      <w:pPr>
        <w:widowControl/>
        <w:ind w:left="567" w:hanging="567"/>
        <w:rPr>
          <w:rFonts w:cs="Times New Roman"/>
          <w:bCs/>
          <w:color w:val="auto"/>
          <w:szCs w:val="22"/>
          <w:lang w:val="pt-PT"/>
        </w:rPr>
      </w:pPr>
      <w:bookmarkStart w:id="89" w:name="bookmark146"/>
    </w:p>
    <w:p w14:paraId="5EF56F74" w14:textId="77777777" w:rsidR="006F5AF8" w:rsidRPr="00110D6C" w:rsidRDefault="006F5AF8" w:rsidP="00A17623">
      <w:pPr>
        <w:widowControl/>
        <w:ind w:left="567" w:hanging="567"/>
        <w:rPr>
          <w:rFonts w:cs="Times New Roman"/>
          <w:bCs/>
          <w:color w:val="auto"/>
          <w:szCs w:val="22"/>
          <w:lang w:val="pt-PT"/>
        </w:rPr>
      </w:pPr>
    </w:p>
    <w:p w14:paraId="08C18C83" w14:textId="77777777" w:rsidR="0077031F" w:rsidRPr="00110D6C" w:rsidRDefault="00DC3C01" w:rsidP="006F5AF8">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5.</w:t>
      </w:r>
      <w:r w:rsidRPr="00110D6C">
        <w:rPr>
          <w:rFonts w:cs="Times New Roman"/>
          <w:b/>
          <w:bCs/>
          <w:color w:val="auto"/>
          <w:szCs w:val="22"/>
          <w:lang w:val="pt-PT"/>
        </w:rPr>
        <w:tab/>
      </w:r>
      <w:r w:rsidR="00030085" w:rsidRPr="00110D6C">
        <w:rPr>
          <w:rFonts w:cs="Times New Roman"/>
          <w:b/>
          <w:bCs/>
          <w:color w:val="auto"/>
          <w:szCs w:val="22"/>
          <w:lang w:val="pt-PT"/>
        </w:rPr>
        <w:t>MODO E VIA(S) DE ADMINISTRAÇÃO</w:t>
      </w:r>
      <w:bookmarkEnd w:id="89"/>
    </w:p>
    <w:p w14:paraId="04382921" w14:textId="77777777" w:rsidR="006F5AF8" w:rsidRPr="00110D6C" w:rsidRDefault="006F5AF8" w:rsidP="00A17623">
      <w:pPr>
        <w:widowControl/>
        <w:rPr>
          <w:rFonts w:cs="Times New Roman"/>
          <w:color w:val="auto"/>
          <w:szCs w:val="22"/>
          <w:lang w:val="pt-PT"/>
        </w:rPr>
      </w:pPr>
    </w:p>
    <w:p w14:paraId="798E788E"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Não agitar.</w:t>
      </w:r>
    </w:p>
    <w:p w14:paraId="69B3C7CF"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Via subcutânea.</w:t>
      </w:r>
    </w:p>
    <w:p w14:paraId="31054384"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Consultar o folheto informativo antes de utilizar.</w:t>
      </w:r>
    </w:p>
    <w:p w14:paraId="31FBE756" w14:textId="77777777" w:rsidR="006F5AF8" w:rsidRPr="00110D6C" w:rsidRDefault="006F5AF8" w:rsidP="008D3859">
      <w:pPr>
        <w:widowControl/>
        <w:rPr>
          <w:rFonts w:cs="Times New Roman"/>
          <w:bCs/>
          <w:color w:val="auto"/>
          <w:szCs w:val="22"/>
          <w:lang w:val="pt-PT"/>
        </w:rPr>
      </w:pPr>
      <w:bookmarkStart w:id="90" w:name="bookmark148"/>
    </w:p>
    <w:p w14:paraId="27E6938D" w14:textId="77777777" w:rsidR="006F5AF8" w:rsidRPr="00110D6C" w:rsidRDefault="006F5AF8" w:rsidP="008D3859">
      <w:pPr>
        <w:widowControl/>
        <w:rPr>
          <w:rFonts w:cs="Times New Roman"/>
          <w:bCs/>
          <w:color w:val="auto"/>
          <w:szCs w:val="22"/>
          <w:lang w:val="pt-PT"/>
        </w:rPr>
      </w:pPr>
    </w:p>
    <w:p w14:paraId="53B762BC" w14:textId="77777777" w:rsidR="0077031F" w:rsidRPr="00110D6C" w:rsidRDefault="00DC3C01" w:rsidP="006F5AF8">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6.</w:t>
      </w:r>
      <w:r w:rsidRPr="00110D6C">
        <w:rPr>
          <w:rFonts w:cs="Times New Roman"/>
          <w:b/>
          <w:bCs/>
          <w:color w:val="auto"/>
          <w:szCs w:val="22"/>
          <w:lang w:val="pt-PT"/>
        </w:rPr>
        <w:tab/>
      </w:r>
      <w:r w:rsidR="00030085" w:rsidRPr="00110D6C">
        <w:rPr>
          <w:rFonts w:cs="Times New Roman"/>
          <w:b/>
          <w:bCs/>
          <w:color w:val="auto"/>
          <w:szCs w:val="22"/>
          <w:lang w:val="pt-PT"/>
        </w:rPr>
        <w:t>ADVERTÊNCIA ESPECIAL DE QUE O MEDICAMENTO DEVE SER MANTIDO FORA DA VISTA E DO ALCANCE DAS CRIANÇAS</w:t>
      </w:r>
      <w:bookmarkEnd w:id="90"/>
    </w:p>
    <w:p w14:paraId="3D53B052" w14:textId="77777777" w:rsidR="006F5AF8" w:rsidRPr="00110D6C" w:rsidRDefault="006F5AF8" w:rsidP="00A17623">
      <w:pPr>
        <w:widowControl/>
        <w:rPr>
          <w:rFonts w:cs="Times New Roman"/>
          <w:color w:val="auto"/>
          <w:szCs w:val="22"/>
          <w:lang w:val="pt-PT"/>
        </w:rPr>
      </w:pPr>
    </w:p>
    <w:p w14:paraId="4EA01474"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Manter fora da vista e do alcance das crianças.</w:t>
      </w:r>
    </w:p>
    <w:p w14:paraId="6E3D77BC" w14:textId="77777777" w:rsidR="006F5AF8" w:rsidRPr="00110D6C" w:rsidRDefault="006F5AF8" w:rsidP="008D3859">
      <w:pPr>
        <w:widowControl/>
        <w:rPr>
          <w:rFonts w:cs="Times New Roman"/>
          <w:bCs/>
          <w:color w:val="auto"/>
          <w:szCs w:val="22"/>
          <w:lang w:val="pt-PT"/>
        </w:rPr>
      </w:pPr>
    </w:p>
    <w:p w14:paraId="47276015" w14:textId="77777777" w:rsidR="006F5AF8" w:rsidRPr="00110D6C" w:rsidRDefault="006F5AF8" w:rsidP="008D3859">
      <w:pPr>
        <w:widowControl/>
        <w:rPr>
          <w:rFonts w:cs="Times New Roman"/>
          <w:bCs/>
          <w:color w:val="auto"/>
          <w:szCs w:val="22"/>
          <w:lang w:val="pt-PT"/>
        </w:rPr>
      </w:pPr>
    </w:p>
    <w:p w14:paraId="4C9DD7FA" w14:textId="77777777" w:rsidR="0077031F" w:rsidRPr="00110D6C" w:rsidRDefault="00DC3C01" w:rsidP="006F5AF8">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7.</w:t>
      </w:r>
      <w:r w:rsidRPr="00110D6C">
        <w:rPr>
          <w:rFonts w:cs="Times New Roman"/>
          <w:b/>
          <w:bCs/>
          <w:color w:val="auto"/>
          <w:szCs w:val="22"/>
          <w:lang w:val="pt-PT"/>
        </w:rPr>
        <w:tab/>
      </w:r>
      <w:r w:rsidR="00030085" w:rsidRPr="00110D6C">
        <w:rPr>
          <w:rFonts w:cs="Times New Roman"/>
          <w:b/>
          <w:bCs/>
          <w:color w:val="auto"/>
          <w:szCs w:val="22"/>
          <w:lang w:val="pt-PT"/>
        </w:rPr>
        <w:t>OUTRAS ADVERTÊNCIAS ESPECIAIS, SE NECESSÁRIO</w:t>
      </w:r>
    </w:p>
    <w:p w14:paraId="5E735D32" w14:textId="77777777" w:rsidR="006F5AF8" w:rsidRPr="00110D6C" w:rsidRDefault="006F5AF8" w:rsidP="008D3859">
      <w:pPr>
        <w:widowControl/>
        <w:rPr>
          <w:rFonts w:cs="Times New Roman"/>
          <w:bCs/>
          <w:color w:val="auto"/>
          <w:szCs w:val="22"/>
          <w:lang w:val="pt-PT"/>
        </w:rPr>
      </w:pPr>
      <w:bookmarkStart w:id="91" w:name="bookmark150"/>
    </w:p>
    <w:p w14:paraId="0ACB3D08" w14:textId="77777777" w:rsidR="006F5AF8" w:rsidRPr="00110D6C" w:rsidRDefault="006F5AF8" w:rsidP="008D3859">
      <w:pPr>
        <w:widowControl/>
        <w:rPr>
          <w:rFonts w:cs="Times New Roman"/>
          <w:bCs/>
          <w:color w:val="auto"/>
          <w:szCs w:val="22"/>
          <w:lang w:val="pt-PT"/>
        </w:rPr>
      </w:pPr>
    </w:p>
    <w:p w14:paraId="31F104AB" w14:textId="77777777" w:rsidR="0077031F" w:rsidRPr="00110D6C" w:rsidRDefault="00DC3C01" w:rsidP="006F5AF8">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8.</w:t>
      </w:r>
      <w:r w:rsidRPr="00110D6C">
        <w:rPr>
          <w:rFonts w:cs="Times New Roman"/>
          <w:b/>
          <w:bCs/>
          <w:color w:val="auto"/>
          <w:szCs w:val="22"/>
          <w:lang w:val="pt-PT"/>
        </w:rPr>
        <w:tab/>
      </w:r>
      <w:r w:rsidR="00030085" w:rsidRPr="00110D6C">
        <w:rPr>
          <w:rFonts w:cs="Times New Roman"/>
          <w:b/>
          <w:bCs/>
          <w:color w:val="auto"/>
          <w:szCs w:val="22"/>
          <w:lang w:val="pt-PT"/>
        </w:rPr>
        <w:t>PRAZO DE VALIDADE</w:t>
      </w:r>
      <w:bookmarkEnd w:id="91"/>
    </w:p>
    <w:p w14:paraId="064CE6C5" w14:textId="77777777" w:rsidR="006F5AF8" w:rsidRPr="00110D6C" w:rsidRDefault="006F5AF8" w:rsidP="00A17623">
      <w:pPr>
        <w:widowControl/>
        <w:rPr>
          <w:rFonts w:cs="Times New Roman"/>
          <w:color w:val="auto"/>
          <w:szCs w:val="22"/>
          <w:lang w:val="pt-PT"/>
        </w:rPr>
      </w:pPr>
    </w:p>
    <w:p w14:paraId="4F3DD474"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VAL.</w:t>
      </w:r>
    </w:p>
    <w:p w14:paraId="120C4B86"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Data de eliminação, se conservado à temperatura ambiente:</w:t>
      </w:r>
      <w:r w:rsidR="00A22FCE" w:rsidRPr="00110D6C">
        <w:rPr>
          <w:rFonts w:cs="Times New Roman"/>
          <w:color w:val="auto"/>
          <w:szCs w:val="22"/>
          <w:lang w:val="pt-PT"/>
        </w:rPr>
        <w:t>______________________</w:t>
      </w:r>
    </w:p>
    <w:p w14:paraId="7CB9FDF0" w14:textId="77777777" w:rsidR="006F5AF8" w:rsidRPr="00110D6C" w:rsidRDefault="006F5AF8" w:rsidP="008D3859">
      <w:pPr>
        <w:widowControl/>
        <w:rPr>
          <w:rFonts w:cs="Times New Roman"/>
          <w:bCs/>
          <w:color w:val="auto"/>
          <w:szCs w:val="22"/>
          <w:lang w:val="pt-PT"/>
        </w:rPr>
      </w:pPr>
    </w:p>
    <w:p w14:paraId="064FCB1D" w14:textId="77777777" w:rsidR="006F5AF8" w:rsidRPr="00110D6C" w:rsidRDefault="006F5AF8" w:rsidP="008D3859">
      <w:pPr>
        <w:widowControl/>
        <w:rPr>
          <w:rFonts w:cs="Times New Roman"/>
          <w:bCs/>
          <w:color w:val="auto"/>
          <w:szCs w:val="22"/>
          <w:lang w:val="pt-PT"/>
        </w:rPr>
      </w:pPr>
    </w:p>
    <w:p w14:paraId="3E2FD2CE" w14:textId="77777777" w:rsidR="0077031F" w:rsidRPr="00110D6C" w:rsidRDefault="00DC3C01" w:rsidP="006F5AF8">
      <w:pPr>
        <w:keepNext/>
        <w:keepLines/>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9.</w:t>
      </w:r>
      <w:r w:rsidRPr="00110D6C">
        <w:rPr>
          <w:rFonts w:cs="Times New Roman"/>
          <w:b/>
          <w:bCs/>
          <w:color w:val="auto"/>
          <w:szCs w:val="22"/>
          <w:lang w:val="pt-PT"/>
        </w:rPr>
        <w:tab/>
      </w:r>
      <w:r w:rsidR="00030085" w:rsidRPr="00110D6C">
        <w:rPr>
          <w:rFonts w:cs="Times New Roman"/>
          <w:b/>
          <w:bCs/>
          <w:color w:val="auto"/>
          <w:szCs w:val="22"/>
          <w:lang w:val="pt-PT"/>
        </w:rPr>
        <w:t>CONDIÇÕES ESPECIAIS DE CONSERVAÇÃO</w:t>
      </w:r>
    </w:p>
    <w:p w14:paraId="4BB6F650" w14:textId="77777777" w:rsidR="006F5AF8" w:rsidRPr="00110D6C" w:rsidRDefault="006F5AF8" w:rsidP="006F5AF8">
      <w:pPr>
        <w:keepNext/>
        <w:keepLines/>
        <w:widowControl/>
        <w:rPr>
          <w:rFonts w:cs="Times New Roman"/>
          <w:color w:val="auto"/>
          <w:szCs w:val="22"/>
          <w:lang w:val="pt-PT"/>
        </w:rPr>
      </w:pPr>
    </w:p>
    <w:p w14:paraId="45142DDC" w14:textId="77777777" w:rsidR="0077031F" w:rsidRPr="00110D6C" w:rsidRDefault="00030085" w:rsidP="006F5AF8">
      <w:pPr>
        <w:keepNext/>
        <w:keepLines/>
        <w:widowControl/>
        <w:rPr>
          <w:rFonts w:cs="Times New Roman"/>
          <w:color w:val="auto"/>
          <w:szCs w:val="22"/>
          <w:lang w:val="pt-PT"/>
        </w:rPr>
      </w:pPr>
      <w:r w:rsidRPr="00110D6C">
        <w:rPr>
          <w:rFonts w:cs="Times New Roman"/>
          <w:color w:val="auto"/>
          <w:szCs w:val="22"/>
          <w:lang w:val="pt-PT"/>
        </w:rPr>
        <w:t>Conservar no frigorífico.</w:t>
      </w:r>
    </w:p>
    <w:p w14:paraId="32301FBF"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Não congelar.</w:t>
      </w:r>
    </w:p>
    <w:p w14:paraId="7B3EBF85"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Manter a seringa pré-cheia dentro da embalagem exterior para proteger da luz.</w:t>
      </w:r>
    </w:p>
    <w:p w14:paraId="3146490E" w14:textId="4BE12D25" w:rsidR="0077031F" w:rsidRPr="00110D6C" w:rsidRDefault="00030085" w:rsidP="00A17623">
      <w:pPr>
        <w:widowControl/>
        <w:rPr>
          <w:rFonts w:cs="Times New Roman"/>
          <w:color w:val="auto"/>
          <w:szCs w:val="22"/>
          <w:lang w:val="pt-PT"/>
        </w:rPr>
      </w:pPr>
      <w:r w:rsidRPr="00110D6C">
        <w:rPr>
          <w:rFonts w:cs="Times New Roman"/>
          <w:color w:val="auto"/>
          <w:szCs w:val="22"/>
          <w:lang w:val="pt-PT"/>
        </w:rPr>
        <w:lastRenderedPageBreak/>
        <w:t>Pode ser conservado à temperatura ambiente (até 30</w:t>
      </w:r>
      <w:r w:rsidR="003508E1">
        <w:rPr>
          <w:rFonts w:cs="Times New Roman"/>
          <w:color w:val="auto"/>
          <w:szCs w:val="22"/>
          <w:lang w:val="pt-PT"/>
        </w:rPr>
        <w:t> </w:t>
      </w:r>
      <w:r w:rsidRPr="00110D6C">
        <w:rPr>
          <w:rFonts w:cs="Times New Roman"/>
          <w:color w:val="auto"/>
          <w:szCs w:val="22"/>
          <w:lang w:val="pt-PT"/>
        </w:rPr>
        <w:t>°C) por um período único até 3</w:t>
      </w:r>
      <w:r w:rsidR="00B910F9" w:rsidRPr="00110D6C">
        <w:rPr>
          <w:rFonts w:cs="Times New Roman"/>
          <w:color w:val="auto"/>
          <w:szCs w:val="22"/>
          <w:lang w:val="pt-PT"/>
        </w:rPr>
        <w:t>0 </w:t>
      </w:r>
      <w:r w:rsidRPr="00110D6C">
        <w:rPr>
          <w:rFonts w:cs="Times New Roman"/>
          <w:color w:val="auto"/>
          <w:szCs w:val="22"/>
          <w:lang w:val="pt-PT"/>
        </w:rPr>
        <w:t>dias, mas não excedendo o prazo de validade original.</w:t>
      </w:r>
    </w:p>
    <w:p w14:paraId="706D5BC0" w14:textId="77777777" w:rsidR="00272769" w:rsidRPr="00110D6C" w:rsidRDefault="00272769" w:rsidP="008D3859">
      <w:pPr>
        <w:widowControl/>
        <w:rPr>
          <w:rFonts w:cs="Times New Roman"/>
          <w:bCs/>
          <w:color w:val="auto"/>
          <w:szCs w:val="22"/>
          <w:lang w:val="pt-PT"/>
        </w:rPr>
      </w:pPr>
    </w:p>
    <w:p w14:paraId="2E65C166" w14:textId="77777777" w:rsidR="00272769" w:rsidRPr="00110D6C" w:rsidRDefault="00272769" w:rsidP="008D3859">
      <w:pPr>
        <w:widowControl/>
        <w:rPr>
          <w:rFonts w:cs="Times New Roman"/>
          <w:bCs/>
          <w:color w:val="auto"/>
          <w:szCs w:val="22"/>
          <w:lang w:val="pt-PT"/>
        </w:rPr>
      </w:pPr>
    </w:p>
    <w:p w14:paraId="10B92838" w14:textId="77777777" w:rsidR="0077031F" w:rsidRPr="00110D6C" w:rsidRDefault="00272769" w:rsidP="00A51F4B">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10.</w:t>
      </w:r>
      <w:r w:rsidRPr="00110D6C">
        <w:rPr>
          <w:rFonts w:cs="Times New Roman"/>
          <w:b/>
          <w:bCs/>
          <w:color w:val="auto"/>
          <w:szCs w:val="22"/>
          <w:lang w:val="pt-PT"/>
        </w:rPr>
        <w:tab/>
      </w:r>
      <w:r w:rsidR="00030085" w:rsidRPr="00110D6C">
        <w:rPr>
          <w:rFonts w:cs="Times New Roman"/>
          <w:b/>
          <w:bCs/>
          <w:color w:val="auto"/>
          <w:szCs w:val="22"/>
          <w:lang w:val="pt-PT"/>
        </w:rPr>
        <w:t>CUIDADOS ESPECIAIS QUANTO À ELIMINAÇÃO DO MEDICAMENTO NÃO</w:t>
      </w:r>
      <w:r w:rsidR="00A51F4B" w:rsidRPr="00110D6C">
        <w:rPr>
          <w:rFonts w:cs="Times New Roman"/>
          <w:b/>
          <w:bCs/>
          <w:color w:val="auto"/>
          <w:szCs w:val="22"/>
          <w:lang w:val="pt-PT"/>
        </w:rPr>
        <w:t xml:space="preserve"> </w:t>
      </w:r>
      <w:r w:rsidR="00030085" w:rsidRPr="00110D6C">
        <w:rPr>
          <w:rFonts w:cs="Times New Roman"/>
          <w:b/>
          <w:bCs/>
          <w:color w:val="auto"/>
          <w:szCs w:val="22"/>
          <w:lang w:val="pt-PT"/>
        </w:rPr>
        <w:t>UTILIZADO OU DOS RESÍDUOS PROVENIENTES DESSE MEDICAMENTO, SE APLICÁVEL</w:t>
      </w:r>
    </w:p>
    <w:p w14:paraId="2A48AEBB" w14:textId="77777777" w:rsidR="00272769" w:rsidRPr="00110D6C" w:rsidRDefault="00272769" w:rsidP="008D3859">
      <w:pPr>
        <w:widowControl/>
        <w:rPr>
          <w:rFonts w:cs="Times New Roman"/>
          <w:bCs/>
          <w:color w:val="auto"/>
          <w:szCs w:val="22"/>
          <w:lang w:val="pt-PT"/>
        </w:rPr>
      </w:pPr>
    </w:p>
    <w:p w14:paraId="4164133A" w14:textId="77777777" w:rsidR="00272769" w:rsidRPr="00110D6C" w:rsidRDefault="00272769" w:rsidP="008D3859">
      <w:pPr>
        <w:widowControl/>
        <w:rPr>
          <w:rFonts w:cs="Times New Roman"/>
          <w:bCs/>
          <w:color w:val="auto"/>
          <w:szCs w:val="22"/>
          <w:lang w:val="pt-PT"/>
        </w:rPr>
      </w:pPr>
    </w:p>
    <w:p w14:paraId="37426300" w14:textId="77777777" w:rsidR="0077031F" w:rsidRPr="00110D6C" w:rsidRDefault="00272769" w:rsidP="00A51F4B">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11.</w:t>
      </w:r>
      <w:r w:rsidRPr="00110D6C">
        <w:rPr>
          <w:rFonts w:cs="Times New Roman"/>
          <w:b/>
          <w:bCs/>
          <w:color w:val="auto"/>
          <w:szCs w:val="22"/>
          <w:lang w:val="pt-PT"/>
        </w:rPr>
        <w:tab/>
      </w:r>
      <w:r w:rsidR="00030085" w:rsidRPr="00110D6C">
        <w:rPr>
          <w:rFonts w:cs="Times New Roman"/>
          <w:b/>
          <w:bCs/>
          <w:color w:val="auto"/>
          <w:szCs w:val="22"/>
          <w:lang w:val="pt-PT"/>
        </w:rPr>
        <w:t>NOME E ENDEREÇO DO TITULAR DA AUTORIZAÇÃO DE INTRODUÇÃO NO MERCADO</w:t>
      </w:r>
    </w:p>
    <w:p w14:paraId="08DCC30E" w14:textId="77777777" w:rsidR="00A51F4B" w:rsidRPr="00110D6C" w:rsidRDefault="00A51F4B" w:rsidP="00A17623">
      <w:pPr>
        <w:widowControl/>
        <w:rPr>
          <w:rFonts w:cs="Times New Roman"/>
          <w:color w:val="auto"/>
          <w:szCs w:val="22"/>
          <w:lang w:val="pt-PT"/>
        </w:rPr>
      </w:pPr>
    </w:p>
    <w:p w14:paraId="2CE68E42" w14:textId="77777777" w:rsidR="003508E1" w:rsidRPr="00492A01" w:rsidRDefault="003508E1" w:rsidP="003508E1">
      <w:pPr>
        <w:pStyle w:val="Textkrper"/>
        <w:rPr>
          <w:lang w:val="pt-PT"/>
        </w:rPr>
      </w:pPr>
      <w:r w:rsidRPr="00492A01">
        <w:rPr>
          <w:lang w:val="pt-PT"/>
        </w:rPr>
        <w:t>Formycon AG</w:t>
      </w:r>
    </w:p>
    <w:p w14:paraId="23EC49C7" w14:textId="77777777" w:rsidR="003508E1" w:rsidRPr="00492A01" w:rsidRDefault="003508E1" w:rsidP="003508E1">
      <w:pPr>
        <w:pStyle w:val="Textkrper"/>
        <w:rPr>
          <w:lang w:val="pt-PT"/>
        </w:rPr>
      </w:pPr>
      <w:r w:rsidRPr="00492A01">
        <w:rPr>
          <w:lang w:val="pt-PT"/>
        </w:rPr>
        <w:t>Fraunhoferstraße 15</w:t>
      </w:r>
    </w:p>
    <w:p w14:paraId="3AD71BEE" w14:textId="77777777" w:rsidR="003508E1" w:rsidRPr="00492A01" w:rsidRDefault="003508E1" w:rsidP="003508E1">
      <w:pPr>
        <w:pStyle w:val="Textkrper"/>
        <w:rPr>
          <w:lang w:val="pt-PT"/>
        </w:rPr>
      </w:pPr>
      <w:r w:rsidRPr="00492A01">
        <w:rPr>
          <w:lang w:val="pt-PT"/>
        </w:rPr>
        <w:t>82152 Martinsried/Planegg</w:t>
      </w:r>
    </w:p>
    <w:p w14:paraId="77AE207D" w14:textId="77777777" w:rsidR="003508E1" w:rsidRDefault="003508E1" w:rsidP="00A17623">
      <w:pPr>
        <w:widowControl/>
        <w:rPr>
          <w:rFonts w:cs="Times New Roman"/>
          <w:color w:val="auto"/>
          <w:szCs w:val="22"/>
          <w:lang w:val="pt-PT"/>
        </w:rPr>
      </w:pPr>
      <w:r>
        <w:rPr>
          <w:rFonts w:cs="Times New Roman"/>
          <w:color w:val="auto"/>
          <w:szCs w:val="22"/>
          <w:lang w:val="pt-PT"/>
        </w:rPr>
        <w:t>Alemanha</w:t>
      </w:r>
    </w:p>
    <w:p w14:paraId="3AC91943" w14:textId="77777777" w:rsidR="00272769" w:rsidRPr="00110D6C" w:rsidRDefault="00272769" w:rsidP="008D3859">
      <w:pPr>
        <w:widowControl/>
        <w:rPr>
          <w:rFonts w:cs="Times New Roman"/>
          <w:bCs/>
          <w:color w:val="auto"/>
          <w:szCs w:val="22"/>
          <w:lang w:val="pt-PT"/>
        </w:rPr>
      </w:pPr>
    </w:p>
    <w:p w14:paraId="4FDB00D2" w14:textId="77777777" w:rsidR="00272769" w:rsidRPr="00110D6C" w:rsidRDefault="00272769" w:rsidP="008D3859">
      <w:pPr>
        <w:widowControl/>
        <w:rPr>
          <w:rFonts w:cs="Times New Roman"/>
          <w:bCs/>
          <w:color w:val="auto"/>
          <w:szCs w:val="22"/>
          <w:lang w:val="pt-PT"/>
        </w:rPr>
      </w:pPr>
    </w:p>
    <w:p w14:paraId="1FBB5E32" w14:textId="77777777" w:rsidR="0077031F" w:rsidRPr="00110D6C" w:rsidRDefault="00272769" w:rsidP="00A51F4B">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12.</w:t>
      </w:r>
      <w:r w:rsidRPr="00110D6C">
        <w:rPr>
          <w:rFonts w:cs="Times New Roman"/>
          <w:b/>
          <w:bCs/>
          <w:color w:val="auto"/>
          <w:szCs w:val="22"/>
          <w:lang w:val="pt-PT"/>
        </w:rPr>
        <w:tab/>
      </w:r>
      <w:r w:rsidR="00030085" w:rsidRPr="00110D6C">
        <w:rPr>
          <w:rFonts w:cs="Times New Roman"/>
          <w:b/>
          <w:bCs/>
          <w:color w:val="auto"/>
          <w:szCs w:val="22"/>
          <w:lang w:val="pt-PT"/>
        </w:rPr>
        <w:t>NÚMERO(S) DA AUTORIZAÇÃO DE INTRODUÇÃO NO MERCADO</w:t>
      </w:r>
    </w:p>
    <w:p w14:paraId="721958D6" w14:textId="77777777" w:rsidR="00A51F4B" w:rsidRPr="00110D6C" w:rsidRDefault="00A51F4B" w:rsidP="00A17623">
      <w:pPr>
        <w:widowControl/>
        <w:rPr>
          <w:rFonts w:cs="Times New Roman"/>
          <w:color w:val="auto"/>
          <w:szCs w:val="22"/>
          <w:lang w:val="pt-PT"/>
        </w:rPr>
      </w:pPr>
    </w:p>
    <w:p w14:paraId="5171FE2E" w14:textId="19B56F19" w:rsidR="0077031F" w:rsidRPr="00110D6C" w:rsidRDefault="00030085" w:rsidP="00A17623">
      <w:pPr>
        <w:widowControl/>
        <w:rPr>
          <w:rFonts w:cs="Times New Roman"/>
          <w:color w:val="auto"/>
          <w:szCs w:val="22"/>
          <w:lang w:val="pt-PT"/>
        </w:rPr>
      </w:pPr>
      <w:r w:rsidRPr="00110D6C">
        <w:rPr>
          <w:rFonts w:cs="Times New Roman"/>
          <w:color w:val="auto"/>
          <w:szCs w:val="22"/>
          <w:lang w:val="pt-PT"/>
        </w:rPr>
        <w:t>EU/1/</w:t>
      </w:r>
      <w:r w:rsidR="00E45A61" w:rsidRPr="00E45A61">
        <w:rPr>
          <w:lang w:val="pt-PT"/>
        </w:rPr>
        <w:t>24/1862/00</w:t>
      </w:r>
      <w:r w:rsidR="00E45A61">
        <w:rPr>
          <w:lang w:val="pt-PT"/>
        </w:rPr>
        <w:t>2</w:t>
      </w:r>
    </w:p>
    <w:p w14:paraId="1D310F0B" w14:textId="77777777" w:rsidR="00272769" w:rsidRPr="00110D6C" w:rsidRDefault="00272769" w:rsidP="008D3859">
      <w:pPr>
        <w:widowControl/>
        <w:rPr>
          <w:rFonts w:cs="Times New Roman"/>
          <w:bCs/>
          <w:color w:val="auto"/>
          <w:szCs w:val="22"/>
          <w:lang w:val="pt-PT"/>
        </w:rPr>
      </w:pPr>
    </w:p>
    <w:p w14:paraId="7E1AD4C9" w14:textId="77777777" w:rsidR="00272769" w:rsidRPr="00110D6C" w:rsidRDefault="00272769" w:rsidP="008D3859">
      <w:pPr>
        <w:widowControl/>
        <w:rPr>
          <w:rFonts w:cs="Times New Roman"/>
          <w:bCs/>
          <w:color w:val="auto"/>
          <w:szCs w:val="22"/>
          <w:lang w:val="pt-PT"/>
        </w:rPr>
      </w:pPr>
    </w:p>
    <w:p w14:paraId="66622146" w14:textId="77777777" w:rsidR="0077031F" w:rsidRPr="00110D6C" w:rsidRDefault="00272769" w:rsidP="00A51F4B">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13.</w:t>
      </w:r>
      <w:r w:rsidRPr="00110D6C">
        <w:rPr>
          <w:rFonts w:cs="Times New Roman"/>
          <w:b/>
          <w:bCs/>
          <w:color w:val="auto"/>
          <w:szCs w:val="22"/>
          <w:lang w:val="pt-PT"/>
        </w:rPr>
        <w:tab/>
      </w:r>
      <w:r w:rsidR="00030085" w:rsidRPr="00110D6C">
        <w:rPr>
          <w:rFonts w:cs="Times New Roman"/>
          <w:b/>
          <w:bCs/>
          <w:color w:val="auto"/>
          <w:szCs w:val="22"/>
          <w:lang w:val="pt-PT"/>
        </w:rPr>
        <w:t>NÚMERO DO LOTE</w:t>
      </w:r>
    </w:p>
    <w:p w14:paraId="5DA356D1" w14:textId="77777777" w:rsidR="00A51F4B" w:rsidRPr="00110D6C" w:rsidRDefault="00A51F4B" w:rsidP="00A17623">
      <w:pPr>
        <w:widowControl/>
        <w:rPr>
          <w:rFonts w:cs="Times New Roman"/>
          <w:color w:val="auto"/>
          <w:szCs w:val="22"/>
          <w:lang w:val="pt-PT"/>
        </w:rPr>
      </w:pPr>
    </w:p>
    <w:p w14:paraId="5E466857"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Lote</w:t>
      </w:r>
    </w:p>
    <w:p w14:paraId="4E1DB855" w14:textId="77777777" w:rsidR="00272769" w:rsidRPr="00110D6C" w:rsidRDefault="00272769" w:rsidP="008D3859">
      <w:pPr>
        <w:widowControl/>
        <w:rPr>
          <w:rFonts w:cs="Times New Roman"/>
          <w:bCs/>
          <w:color w:val="auto"/>
          <w:szCs w:val="22"/>
          <w:lang w:val="pt-PT"/>
        </w:rPr>
      </w:pPr>
    </w:p>
    <w:p w14:paraId="65356FD7" w14:textId="77777777" w:rsidR="00272769" w:rsidRPr="00110D6C" w:rsidRDefault="00272769" w:rsidP="008D3859">
      <w:pPr>
        <w:widowControl/>
        <w:rPr>
          <w:rFonts w:cs="Times New Roman"/>
          <w:bCs/>
          <w:color w:val="auto"/>
          <w:szCs w:val="22"/>
          <w:lang w:val="pt-PT"/>
        </w:rPr>
      </w:pPr>
    </w:p>
    <w:p w14:paraId="4E107893" w14:textId="77777777" w:rsidR="0077031F" w:rsidRPr="00110D6C" w:rsidRDefault="00272769" w:rsidP="00A51F4B">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14.</w:t>
      </w:r>
      <w:r w:rsidRPr="00110D6C">
        <w:rPr>
          <w:rFonts w:cs="Times New Roman"/>
          <w:b/>
          <w:bCs/>
          <w:color w:val="auto"/>
          <w:szCs w:val="22"/>
          <w:lang w:val="pt-PT"/>
        </w:rPr>
        <w:tab/>
      </w:r>
      <w:r w:rsidR="00030085" w:rsidRPr="00110D6C">
        <w:rPr>
          <w:rFonts w:cs="Times New Roman"/>
          <w:b/>
          <w:bCs/>
          <w:color w:val="auto"/>
          <w:szCs w:val="22"/>
          <w:lang w:val="pt-PT"/>
        </w:rPr>
        <w:t>CLASSIFICAÇÃO QUANTO À DISPENSA AO PÚBLICO</w:t>
      </w:r>
    </w:p>
    <w:p w14:paraId="68EE87B3" w14:textId="77777777" w:rsidR="00272769" w:rsidRPr="00110D6C" w:rsidRDefault="00272769" w:rsidP="008D3859">
      <w:pPr>
        <w:widowControl/>
        <w:rPr>
          <w:rFonts w:cs="Times New Roman"/>
          <w:bCs/>
          <w:color w:val="auto"/>
          <w:szCs w:val="22"/>
          <w:lang w:val="pt-PT"/>
        </w:rPr>
      </w:pPr>
    </w:p>
    <w:p w14:paraId="21D8D83D" w14:textId="77777777" w:rsidR="00272769" w:rsidRPr="00110D6C" w:rsidRDefault="00272769" w:rsidP="008D3859">
      <w:pPr>
        <w:widowControl/>
        <w:rPr>
          <w:rFonts w:cs="Times New Roman"/>
          <w:bCs/>
          <w:color w:val="auto"/>
          <w:szCs w:val="22"/>
          <w:lang w:val="pt-PT"/>
        </w:rPr>
      </w:pPr>
    </w:p>
    <w:p w14:paraId="16EC5974" w14:textId="77777777" w:rsidR="0077031F" w:rsidRPr="00110D6C" w:rsidRDefault="00272769" w:rsidP="00A51F4B">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15.</w:t>
      </w:r>
      <w:r w:rsidRPr="00110D6C">
        <w:rPr>
          <w:rFonts w:cs="Times New Roman"/>
          <w:b/>
          <w:bCs/>
          <w:color w:val="auto"/>
          <w:szCs w:val="22"/>
          <w:lang w:val="pt-PT"/>
        </w:rPr>
        <w:tab/>
      </w:r>
      <w:r w:rsidR="00030085" w:rsidRPr="00110D6C">
        <w:rPr>
          <w:rFonts w:cs="Times New Roman"/>
          <w:b/>
          <w:bCs/>
          <w:color w:val="auto"/>
          <w:szCs w:val="22"/>
          <w:lang w:val="pt-PT"/>
        </w:rPr>
        <w:t>INSTRUÇÕES DE UTILIZAÇÃO</w:t>
      </w:r>
    </w:p>
    <w:p w14:paraId="043080F3" w14:textId="77777777" w:rsidR="00272769" w:rsidRPr="00110D6C" w:rsidRDefault="00272769" w:rsidP="008D3859">
      <w:pPr>
        <w:widowControl/>
        <w:rPr>
          <w:rFonts w:cs="Times New Roman"/>
          <w:bCs/>
          <w:color w:val="auto"/>
          <w:szCs w:val="22"/>
          <w:lang w:val="pt-PT"/>
        </w:rPr>
      </w:pPr>
    </w:p>
    <w:p w14:paraId="53CF9A88" w14:textId="77777777" w:rsidR="00272769" w:rsidRPr="00110D6C" w:rsidRDefault="00272769" w:rsidP="008D3859">
      <w:pPr>
        <w:widowControl/>
        <w:rPr>
          <w:rFonts w:cs="Times New Roman"/>
          <w:bCs/>
          <w:color w:val="auto"/>
          <w:szCs w:val="22"/>
          <w:lang w:val="pt-PT"/>
        </w:rPr>
      </w:pPr>
    </w:p>
    <w:p w14:paraId="5E682C58" w14:textId="77777777" w:rsidR="0077031F" w:rsidRPr="00110D6C" w:rsidRDefault="00272769" w:rsidP="00A51F4B">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16.</w:t>
      </w:r>
      <w:r w:rsidRPr="00110D6C">
        <w:rPr>
          <w:rFonts w:cs="Times New Roman"/>
          <w:b/>
          <w:bCs/>
          <w:color w:val="auto"/>
          <w:szCs w:val="22"/>
          <w:lang w:val="pt-PT"/>
        </w:rPr>
        <w:tab/>
      </w:r>
      <w:r w:rsidR="00030085" w:rsidRPr="00110D6C">
        <w:rPr>
          <w:rFonts w:cs="Times New Roman"/>
          <w:b/>
          <w:bCs/>
          <w:color w:val="auto"/>
          <w:szCs w:val="22"/>
          <w:lang w:val="pt-PT"/>
        </w:rPr>
        <w:t>INFORMAÇÃO EM BRAILLE</w:t>
      </w:r>
    </w:p>
    <w:p w14:paraId="5D7A1D1C" w14:textId="77777777" w:rsidR="00A51F4B" w:rsidRPr="00110D6C" w:rsidRDefault="00A51F4B" w:rsidP="00A17623">
      <w:pPr>
        <w:widowControl/>
        <w:rPr>
          <w:rFonts w:cs="Times New Roman"/>
          <w:color w:val="auto"/>
          <w:szCs w:val="22"/>
          <w:lang w:val="pt-PT"/>
        </w:rPr>
      </w:pPr>
    </w:p>
    <w:p w14:paraId="30BB9FA7" w14:textId="6073E0FB" w:rsidR="0077031F" w:rsidRPr="00110D6C" w:rsidRDefault="00D05FE6" w:rsidP="00A17623">
      <w:pPr>
        <w:widowControl/>
        <w:rPr>
          <w:rFonts w:cs="Times New Roman"/>
          <w:color w:val="auto"/>
          <w:szCs w:val="22"/>
          <w:lang w:val="pt-PT"/>
        </w:rPr>
      </w:pPr>
      <w:r w:rsidRPr="00110D6C">
        <w:rPr>
          <w:rFonts w:cs="Times New Roman"/>
          <w:color w:val="auto"/>
          <w:szCs w:val="22"/>
          <w:lang w:val="pt-PT"/>
        </w:rPr>
        <w:t>F</w:t>
      </w:r>
      <w:r w:rsidR="003508E1" w:rsidRPr="00110D6C">
        <w:rPr>
          <w:rFonts w:cs="Times New Roman"/>
          <w:color w:val="auto"/>
          <w:szCs w:val="22"/>
          <w:lang w:val="pt-PT"/>
        </w:rPr>
        <w:t>ymskina</w:t>
      </w:r>
      <w:r w:rsidR="00030085" w:rsidRPr="00110D6C">
        <w:rPr>
          <w:rFonts w:cs="Times New Roman"/>
          <w:color w:val="auto"/>
          <w:szCs w:val="22"/>
          <w:lang w:val="pt-PT"/>
        </w:rPr>
        <w:t xml:space="preserve"> 9</w:t>
      </w:r>
      <w:r w:rsidR="00B910F9" w:rsidRPr="00110D6C">
        <w:rPr>
          <w:rFonts w:cs="Times New Roman"/>
          <w:color w:val="auto"/>
          <w:szCs w:val="22"/>
          <w:lang w:val="pt-PT"/>
        </w:rPr>
        <w:t>0 </w:t>
      </w:r>
      <w:r w:rsidR="00030085" w:rsidRPr="00110D6C">
        <w:rPr>
          <w:rFonts w:cs="Times New Roman"/>
          <w:color w:val="auto"/>
          <w:szCs w:val="22"/>
          <w:lang w:val="pt-PT"/>
        </w:rPr>
        <w:t>mg</w:t>
      </w:r>
    </w:p>
    <w:p w14:paraId="28E89366" w14:textId="77777777" w:rsidR="00272769" w:rsidRPr="00110D6C" w:rsidRDefault="00272769" w:rsidP="008D3859">
      <w:pPr>
        <w:widowControl/>
        <w:rPr>
          <w:rFonts w:cs="Times New Roman"/>
          <w:bCs/>
          <w:color w:val="auto"/>
          <w:szCs w:val="22"/>
          <w:lang w:val="pt-PT"/>
        </w:rPr>
      </w:pPr>
    </w:p>
    <w:p w14:paraId="7D6B7FB3" w14:textId="77777777" w:rsidR="00272769" w:rsidRPr="00110D6C" w:rsidRDefault="00272769" w:rsidP="008D3859">
      <w:pPr>
        <w:widowControl/>
        <w:rPr>
          <w:rFonts w:cs="Times New Roman"/>
          <w:bCs/>
          <w:color w:val="auto"/>
          <w:szCs w:val="22"/>
          <w:lang w:val="pt-PT"/>
        </w:rPr>
      </w:pPr>
    </w:p>
    <w:p w14:paraId="200EF974" w14:textId="77777777" w:rsidR="0077031F" w:rsidRPr="00110D6C" w:rsidRDefault="00272769" w:rsidP="00A51F4B">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17.</w:t>
      </w:r>
      <w:r w:rsidRPr="00110D6C">
        <w:rPr>
          <w:rFonts w:cs="Times New Roman"/>
          <w:b/>
          <w:bCs/>
          <w:color w:val="auto"/>
          <w:szCs w:val="22"/>
          <w:lang w:val="pt-PT"/>
        </w:rPr>
        <w:tab/>
      </w:r>
      <w:r w:rsidR="00030085" w:rsidRPr="00110D6C">
        <w:rPr>
          <w:rFonts w:cs="Times New Roman"/>
          <w:b/>
          <w:bCs/>
          <w:color w:val="auto"/>
          <w:szCs w:val="22"/>
          <w:lang w:val="pt-PT"/>
        </w:rPr>
        <w:t>IDENTIFICADOR ÚNICO – CÓDIGO DE BARRAS 2D</w:t>
      </w:r>
    </w:p>
    <w:p w14:paraId="7984A1B1" w14:textId="77777777" w:rsidR="00A51F4B" w:rsidRPr="00110D6C" w:rsidRDefault="00A51F4B" w:rsidP="00A17623">
      <w:pPr>
        <w:widowControl/>
        <w:rPr>
          <w:rFonts w:cs="Times New Roman"/>
          <w:color w:val="auto"/>
          <w:szCs w:val="22"/>
          <w:lang w:val="pt-PT"/>
        </w:rPr>
      </w:pPr>
    </w:p>
    <w:p w14:paraId="703BF93C" w14:textId="77777777" w:rsidR="0077031F" w:rsidRPr="00110D6C" w:rsidRDefault="00030085" w:rsidP="00A17623">
      <w:pPr>
        <w:widowControl/>
        <w:rPr>
          <w:rFonts w:cs="Times New Roman"/>
          <w:color w:val="auto"/>
          <w:szCs w:val="22"/>
          <w:lang w:val="pt-PT"/>
        </w:rPr>
      </w:pPr>
      <w:r w:rsidRPr="00110D6C">
        <w:rPr>
          <w:rFonts w:cs="Times New Roman"/>
          <w:color w:val="auto"/>
          <w:szCs w:val="22"/>
          <w:highlight w:val="lightGray"/>
          <w:lang w:val="pt-PT"/>
        </w:rPr>
        <w:t>Código de barras 2D com identificador único incluído.</w:t>
      </w:r>
    </w:p>
    <w:p w14:paraId="47D56F67" w14:textId="77777777" w:rsidR="00A51F4B" w:rsidRPr="00110D6C" w:rsidRDefault="00A51F4B" w:rsidP="00A17623">
      <w:pPr>
        <w:widowControl/>
        <w:rPr>
          <w:rFonts w:cs="Times New Roman"/>
          <w:bCs/>
          <w:color w:val="auto"/>
          <w:szCs w:val="22"/>
          <w:lang w:val="pt-PT"/>
        </w:rPr>
      </w:pPr>
    </w:p>
    <w:p w14:paraId="621F9EF4" w14:textId="77777777" w:rsidR="00A51F4B" w:rsidRPr="00110D6C" w:rsidRDefault="00A51F4B" w:rsidP="00A17623">
      <w:pPr>
        <w:widowControl/>
        <w:rPr>
          <w:rFonts w:cs="Times New Roman"/>
          <w:bCs/>
          <w:color w:val="auto"/>
          <w:szCs w:val="22"/>
          <w:lang w:val="pt-PT"/>
        </w:rPr>
      </w:pPr>
    </w:p>
    <w:p w14:paraId="7221DCFD" w14:textId="77777777" w:rsidR="0077031F" w:rsidRPr="00110D6C" w:rsidRDefault="00030085" w:rsidP="00A51F4B">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18.</w:t>
      </w:r>
      <w:r w:rsidR="00A51F4B" w:rsidRPr="00110D6C">
        <w:rPr>
          <w:rFonts w:cs="Times New Roman"/>
          <w:b/>
          <w:bCs/>
          <w:color w:val="auto"/>
          <w:szCs w:val="22"/>
          <w:lang w:val="pt-PT"/>
        </w:rPr>
        <w:tab/>
      </w:r>
      <w:r w:rsidRPr="00110D6C">
        <w:rPr>
          <w:rFonts w:cs="Times New Roman"/>
          <w:b/>
          <w:bCs/>
          <w:color w:val="auto"/>
          <w:szCs w:val="22"/>
          <w:lang w:val="pt-PT"/>
        </w:rPr>
        <w:t>IDENTIFICADOR ÚNICO – DADOS PARA A LEITURA HUMANA</w:t>
      </w:r>
    </w:p>
    <w:p w14:paraId="1827DAC3" w14:textId="77777777" w:rsidR="00A51F4B" w:rsidRPr="00110D6C" w:rsidRDefault="00A51F4B" w:rsidP="00A17623">
      <w:pPr>
        <w:widowControl/>
        <w:rPr>
          <w:rFonts w:cs="Times New Roman"/>
          <w:color w:val="auto"/>
          <w:szCs w:val="22"/>
          <w:lang w:val="pt-PT"/>
        </w:rPr>
      </w:pPr>
    </w:p>
    <w:p w14:paraId="4C002043"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PC</w:t>
      </w:r>
    </w:p>
    <w:p w14:paraId="3BE297BC"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SN</w:t>
      </w:r>
    </w:p>
    <w:p w14:paraId="7EE3E8A0"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NN</w:t>
      </w:r>
    </w:p>
    <w:p w14:paraId="08604075" w14:textId="77777777" w:rsidR="00A51F4B" w:rsidRPr="00110D6C" w:rsidRDefault="00A51F4B">
      <w:pPr>
        <w:rPr>
          <w:rFonts w:cs="Times New Roman"/>
          <w:bCs/>
          <w:color w:val="auto"/>
          <w:szCs w:val="22"/>
          <w:lang w:val="pt-PT"/>
        </w:rPr>
      </w:pPr>
      <w:r w:rsidRPr="00110D6C">
        <w:rPr>
          <w:rFonts w:cs="Times New Roman"/>
          <w:b/>
          <w:bCs/>
          <w:color w:val="auto"/>
          <w:szCs w:val="22"/>
          <w:lang w:val="pt-PT"/>
        </w:rPr>
        <w:br w:type="page"/>
      </w:r>
    </w:p>
    <w:p w14:paraId="6F958591" w14:textId="77777777" w:rsidR="0077031F" w:rsidRPr="00110D6C" w:rsidRDefault="00030085" w:rsidP="00A51F4B">
      <w:pPr>
        <w:widowControl/>
        <w:pBdr>
          <w:top w:val="single" w:sz="4" w:space="1" w:color="auto"/>
          <w:left w:val="single" w:sz="4" w:space="4" w:color="auto"/>
          <w:bottom w:val="single" w:sz="4" w:space="1" w:color="auto"/>
          <w:right w:val="single" w:sz="4" w:space="4" w:color="auto"/>
        </w:pBdr>
        <w:rPr>
          <w:rFonts w:cs="Times New Roman"/>
          <w:color w:val="auto"/>
          <w:szCs w:val="22"/>
          <w:lang w:val="pt-PT"/>
        </w:rPr>
      </w:pPr>
      <w:r w:rsidRPr="00110D6C">
        <w:rPr>
          <w:rFonts w:cs="Times New Roman"/>
          <w:b/>
          <w:bCs/>
          <w:color w:val="auto"/>
          <w:szCs w:val="22"/>
          <w:lang w:val="pt-PT"/>
        </w:rPr>
        <w:lastRenderedPageBreak/>
        <w:t>INDICAÇÕES MÍNIMAS A INCLUIR EM PEQUENAS UNIDADES DE ACONDICIONAMENTO PRIMÁRIO</w:t>
      </w:r>
    </w:p>
    <w:p w14:paraId="56320D4D" w14:textId="77777777" w:rsidR="00A51F4B" w:rsidRPr="00110D6C" w:rsidRDefault="00A51F4B" w:rsidP="00A51F4B">
      <w:pPr>
        <w:widowControl/>
        <w:pBdr>
          <w:top w:val="single" w:sz="4" w:space="1" w:color="auto"/>
          <w:left w:val="single" w:sz="4" w:space="4" w:color="auto"/>
          <w:bottom w:val="single" w:sz="4" w:space="1" w:color="auto"/>
          <w:right w:val="single" w:sz="4" w:space="4" w:color="auto"/>
        </w:pBdr>
        <w:rPr>
          <w:rFonts w:cs="Times New Roman"/>
          <w:bCs/>
          <w:color w:val="auto"/>
          <w:szCs w:val="22"/>
          <w:lang w:val="pt-PT"/>
        </w:rPr>
      </w:pPr>
    </w:p>
    <w:p w14:paraId="5935261A" w14:textId="77777777" w:rsidR="0077031F" w:rsidRPr="00110D6C" w:rsidRDefault="00030085" w:rsidP="00A51F4B">
      <w:pPr>
        <w:widowControl/>
        <w:pBdr>
          <w:top w:val="single" w:sz="4" w:space="1" w:color="auto"/>
          <w:left w:val="single" w:sz="4" w:space="4" w:color="auto"/>
          <w:bottom w:val="single" w:sz="4" w:space="1" w:color="auto"/>
          <w:right w:val="single" w:sz="4" w:space="4" w:color="auto"/>
        </w:pBdr>
        <w:rPr>
          <w:rFonts w:cs="Times New Roman"/>
          <w:color w:val="auto"/>
          <w:szCs w:val="22"/>
          <w:lang w:val="pt-PT"/>
        </w:rPr>
      </w:pPr>
      <w:r w:rsidRPr="00110D6C">
        <w:rPr>
          <w:rFonts w:cs="Times New Roman"/>
          <w:b/>
          <w:bCs/>
          <w:color w:val="auto"/>
          <w:szCs w:val="22"/>
          <w:lang w:val="pt-PT"/>
        </w:rPr>
        <w:t>TEXTO PARA O RÓTULO DA SERINGA PRÉ-CHEIA (9</w:t>
      </w:r>
      <w:r w:rsidR="00B910F9" w:rsidRPr="00110D6C">
        <w:rPr>
          <w:rFonts w:cs="Times New Roman"/>
          <w:b/>
          <w:bCs/>
          <w:color w:val="auto"/>
          <w:szCs w:val="22"/>
          <w:lang w:val="pt-PT"/>
        </w:rPr>
        <w:t>0 </w:t>
      </w:r>
      <w:r w:rsidRPr="00110D6C">
        <w:rPr>
          <w:rFonts w:cs="Times New Roman"/>
          <w:b/>
          <w:bCs/>
          <w:color w:val="auto"/>
          <w:szCs w:val="22"/>
          <w:lang w:val="pt-PT"/>
        </w:rPr>
        <w:t>mg)</w:t>
      </w:r>
    </w:p>
    <w:p w14:paraId="67039932" w14:textId="77777777" w:rsidR="00A51F4B" w:rsidRPr="00110D6C" w:rsidRDefault="00A51F4B" w:rsidP="008D3859">
      <w:pPr>
        <w:widowControl/>
        <w:rPr>
          <w:rFonts w:cs="Times New Roman"/>
          <w:bCs/>
          <w:color w:val="auto"/>
          <w:szCs w:val="22"/>
          <w:lang w:val="pt-PT"/>
        </w:rPr>
      </w:pPr>
    </w:p>
    <w:p w14:paraId="101906A2" w14:textId="77777777" w:rsidR="00A51F4B" w:rsidRPr="00110D6C" w:rsidRDefault="00A51F4B" w:rsidP="008D3859">
      <w:pPr>
        <w:widowControl/>
        <w:rPr>
          <w:rFonts w:cs="Times New Roman"/>
          <w:bCs/>
          <w:color w:val="auto"/>
          <w:szCs w:val="22"/>
          <w:lang w:val="pt-PT"/>
        </w:rPr>
      </w:pPr>
    </w:p>
    <w:p w14:paraId="2B2024CF" w14:textId="77777777" w:rsidR="0077031F" w:rsidRPr="00110D6C" w:rsidRDefault="00DC3C01" w:rsidP="00A51F4B">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1.</w:t>
      </w:r>
      <w:r w:rsidRPr="00110D6C">
        <w:rPr>
          <w:rFonts w:cs="Times New Roman"/>
          <w:b/>
          <w:bCs/>
          <w:color w:val="auto"/>
          <w:szCs w:val="22"/>
          <w:lang w:val="pt-PT"/>
        </w:rPr>
        <w:tab/>
      </w:r>
      <w:r w:rsidR="00030085" w:rsidRPr="00110D6C">
        <w:rPr>
          <w:rFonts w:cs="Times New Roman"/>
          <w:b/>
          <w:bCs/>
          <w:color w:val="auto"/>
          <w:szCs w:val="22"/>
          <w:lang w:val="pt-PT"/>
        </w:rPr>
        <w:t>NOME DO MEDICAMENTO E VIA(S) DE ADMINISTRAÇÃO</w:t>
      </w:r>
    </w:p>
    <w:p w14:paraId="0B30D645" w14:textId="77777777" w:rsidR="00A51F4B" w:rsidRPr="00110D6C" w:rsidRDefault="00A51F4B" w:rsidP="00A17623">
      <w:pPr>
        <w:widowControl/>
        <w:rPr>
          <w:rFonts w:cs="Times New Roman"/>
          <w:color w:val="auto"/>
          <w:szCs w:val="22"/>
          <w:lang w:val="pt-PT"/>
        </w:rPr>
      </w:pPr>
    </w:p>
    <w:p w14:paraId="6B98C9F7" w14:textId="588AE149" w:rsidR="0077031F" w:rsidRPr="00110D6C" w:rsidRDefault="00D05FE6" w:rsidP="00A17623">
      <w:pPr>
        <w:widowControl/>
        <w:rPr>
          <w:rFonts w:cs="Times New Roman"/>
          <w:color w:val="auto"/>
          <w:szCs w:val="22"/>
          <w:lang w:val="pt-PT"/>
        </w:rPr>
      </w:pPr>
      <w:r w:rsidRPr="00110D6C">
        <w:rPr>
          <w:rFonts w:cs="Times New Roman"/>
          <w:color w:val="auto"/>
          <w:szCs w:val="22"/>
          <w:lang w:val="pt-PT"/>
        </w:rPr>
        <w:t>F</w:t>
      </w:r>
      <w:r w:rsidR="003508E1" w:rsidRPr="00110D6C">
        <w:rPr>
          <w:rFonts w:cs="Times New Roman"/>
          <w:color w:val="auto"/>
          <w:szCs w:val="22"/>
          <w:lang w:val="pt-PT"/>
        </w:rPr>
        <w:t>ymskina</w:t>
      </w:r>
      <w:r w:rsidR="00030085" w:rsidRPr="00110D6C">
        <w:rPr>
          <w:rFonts w:cs="Times New Roman"/>
          <w:color w:val="auto"/>
          <w:szCs w:val="22"/>
          <w:lang w:val="pt-PT"/>
        </w:rPr>
        <w:t xml:space="preserve"> 9</w:t>
      </w:r>
      <w:r w:rsidR="00B910F9" w:rsidRPr="00110D6C">
        <w:rPr>
          <w:rFonts w:cs="Times New Roman"/>
          <w:color w:val="auto"/>
          <w:szCs w:val="22"/>
          <w:lang w:val="pt-PT"/>
        </w:rPr>
        <w:t>0 </w:t>
      </w:r>
      <w:r w:rsidR="00030085" w:rsidRPr="00110D6C">
        <w:rPr>
          <w:rFonts w:cs="Times New Roman"/>
          <w:color w:val="auto"/>
          <w:szCs w:val="22"/>
          <w:lang w:val="pt-PT"/>
        </w:rPr>
        <w:t>mg injetável</w:t>
      </w:r>
    </w:p>
    <w:p w14:paraId="5F88EBB6"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ustecinumab</w:t>
      </w:r>
    </w:p>
    <w:p w14:paraId="22C77D03"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Via SC</w:t>
      </w:r>
    </w:p>
    <w:p w14:paraId="5A139209" w14:textId="77777777" w:rsidR="00A51F4B" w:rsidRPr="00110D6C" w:rsidRDefault="00A51F4B" w:rsidP="008D3859">
      <w:pPr>
        <w:widowControl/>
        <w:rPr>
          <w:rFonts w:cs="Times New Roman"/>
          <w:bCs/>
          <w:color w:val="auto"/>
          <w:szCs w:val="22"/>
          <w:lang w:val="pt-PT"/>
        </w:rPr>
      </w:pPr>
    </w:p>
    <w:p w14:paraId="3BD65B15" w14:textId="77777777" w:rsidR="00A22FCE" w:rsidRPr="00110D6C" w:rsidRDefault="00A22FCE" w:rsidP="008D3859">
      <w:pPr>
        <w:widowControl/>
        <w:rPr>
          <w:rFonts w:cs="Times New Roman"/>
          <w:bCs/>
          <w:color w:val="auto"/>
          <w:szCs w:val="22"/>
          <w:lang w:val="pt-PT"/>
        </w:rPr>
      </w:pPr>
    </w:p>
    <w:p w14:paraId="2970F91D" w14:textId="77777777" w:rsidR="0077031F" w:rsidRPr="00110D6C" w:rsidRDefault="00DC3C01" w:rsidP="00A51F4B">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2.</w:t>
      </w:r>
      <w:r w:rsidRPr="00110D6C">
        <w:rPr>
          <w:rFonts w:cs="Times New Roman"/>
          <w:b/>
          <w:bCs/>
          <w:color w:val="auto"/>
          <w:szCs w:val="22"/>
          <w:lang w:val="pt-PT"/>
        </w:rPr>
        <w:tab/>
      </w:r>
      <w:r w:rsidR="00030085" w:rsidRPr="00110D6C">
        <w:rPr>
          <w:rFonts w:cs="Times New Roman"/>
          <w:b/>
          <w:bCs/>
          <w:color w:val="auto"/>
          <w:szCs w:val="22"/>
          <w:lang w:val="pt-PT"/>
        </w:rPr>
        <w:t>MODO DE ADMINISTRAÇÃO</w:t>
      </w:r>
    </w:p>
    <w:p w14:paraId="6E11A81F" w14:textId="77777777" w:rsidR="00A51F4B" w:rsidRPr="00110D6C" w:rsidRDefault="00A51F4B" w:rsidP="008D3859">
      <w:pPr>
        <w:widowControl/>
        <w:rPr>
          <w:rFonts w:cs="Times New Roman"/>
          <w:bCs/>
          <w:color w:val="auto"/>
          <w:szCs w:val="22"/>
          <w:lang w:val="pt-PT"/>
        </w:rPr>
      </w:pPr>
    </w:p>
    <w:p w14:paraId="366B9E41" w14:textId="77777777" w:rsidR="00A51F4B" w:rsidRPr="00110D6C" w:rsidRDefault="00A51F4B" w:rsidP="008D3859">
      <w:pPr>
        <w:widowControl/>
        <w:rPr>
          <w:rFonts w:cs="Times New Roman"/>
          <w:bCs/>
          <w:color w:val="auto"/>
          <w:szCs w:val="22"/>
          <w:lang w:val="pt-PT"/>
        </w:rPr>
      </w:pPr>
    </w:p>
    <w:p w14:paraId="59A2FA27" w14:textId="77777777" w:rsidR="0077031F" w:rsidRPr="00110D6C" w:rsidRDefault="00DC3C01" w:rsidP="00A51F4B">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3.</w:t>
      </w:r>
      <w:r w:rsidRPr="00110D6C">
        <w:rPr>
          <w:rFonts w:cs="Times New Roman"/>
          <w:b/>
          <w:bCs/>
          <w:color w:val="auto"/>
          <w:szCs w:val="22"/>
          <w:lang w:val="pt-PT"/>
        </w:rPr>
        <w:tab/>
      </w:r>
      <w:r w:rsidR="00030085" w:rsidRPr="00110D6C">
        <w:rPr>
          <w:rFonts w:cs="Times New Roman"/>
          <w:b/>
          <w:bCs/>
          <w:color w:val="auto"/>
          <w:szCs w:val="22"/>
          <w:lang w:val="pt-PT"/>
        </w:rPr>
        <w:t>PRAZO DE VALIDADE</w:t>
      </w:r>
    </w:p>
    <w:p w14:paraId="5C63A280" w14:textId="77777777" w:rsidR="00A51F4B" w:rsidRPr="00110D6C" w:rsidRDefault="00A51F4B" w:rsidP="00A17623">
      <w:pPr>
        <w:widowControl/>
        <w:rPr>
          <w:rFonts w:cs="Times New Roman"/>
          <w:color w:val="auto"/>
          <w:szCs w:val="22"/>
          <w:lang w:val="pt-PT"/>
        </w:rPr>
      </w:pPr>
    </w:p>
    <w:p w14:paraId="755DFDC3"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VAL.</w:t>
      </w:r>
    </w:p>
    <w:p w14:paraId="31DD05F2" w14:textId="77777777" w:rsidR="00A51F4B" w:rsidRPr="00110D6C" w:rsidRDefault="00A51F4B" w:rsidP="008D3859">
      <w:pPr>
        <w:widowControl/>
        <w:rPr>
          <w:rFonts w:cs="Times New Roman"/>
          <w:bCs/>
          <w:color w:val="auto"/>
          <w:szCs w:val="22"/>
          <w:lang w:val="pt-PT"/>
        </w:rPr>
      </w:pPr>
    </w:p>
    <w:p w14:paraId="0739E22B" w14:textId="77777777" w:rsidR="00A51F4B" w:rsidRPr="00110D6C" w:rsidRDefault="00A51F4B" w:rsidP="008D3859">
      <w:pPr>
        <w:widowControl/>
        <w:rPr>
          <w:rFonts w:cs="Times New Roman"/>
          <w:bCs/>
          <w:color w:val="auto"/>
          <w:szCs w:val="22"/>
          <w:lang w:val="pt-PT"/>
        </w:rPr>
      </w:pPr>
    </w:p>
    <w:p w14:paraId="52A64983" w14:textId="77777777" w:rsidR="0077031F" w:rsidRPr="00110D6C" w:rsidRDefault="00DC3C01" w:rsidP="00A51F4B">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4.</w:t>
      </w:r>
      <w:r w:rsidRPr="00110D6C">
        <w:rPr>
          <w:rFonts w:cs="Times New Roman"/>
          <w:b/>
          <w:bCs/>
          <w:color w:val="auto"/>
          <w:szCs w:val="22"/>
          <w:lang w:val="pt-PT"/>
        </w:rPr>
        <w:tab/>
      </w:r>
      <w:r w:rsidR="00030085" w:rsidRPr="00110D6C">
        <w:rPr>
          <w:rFonts w:cs="Times New Roman"/>
          <w:b/>
          <w:bCs/>
          <w:color w:val="auto"/>
          <w:szCs w:val="22"/>
          <w:lang w:val="pt-PT"/>
        </w:rPr>
        <w:t>NÚMERO DO LOTE</w:t>
      </w:r>
    </w:p>
    <w:p w14:paraId="505F01C7" w14:textId="77777777" w:rsidR="00A51F4B" w:rsidRPr="00110D6C" w:rsidRDefault="00A51F4B" w:rsidP="00A17623">
      <w:pPr>
        <w:widowControl/>
        <w:rPr>
          <w:rFonts w:cs="Times New Roman"/>
          <w:color w:val="auto"/>
          <w:szCs w:val="22"/>
          <w:lang w:val="pt-PT"/>
        </w:rPr>
      </w:pPr>
    </w:p>
    <w:p w14:paraId="67D40B4E"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Lote</w:t>
      </w:r>
    </w:p>
    <w:p w14:paraId="4CC28B46" w14:textId="77777777" w:rsidR="00A51F4B" w:rsidRPr="00110D6C" w:rsidRDefault="00A51F4B" w:rsidP="008D3859">
      <w:pPr>
        <w:widowControl/>
        <w:rPr>
          <w:rFonts w:cs="Times New Roman"/>
          <w:bCs/>
          <w:color w:val="auto"/>
          <w:szCs w:val="22"/>
          <w:lang w:val="pt-PT"/>
        </w:rPr>
      </w:pPr>
    </w:p>
    <w:p w14:paraId="5E65D166" w14:textId="77777777" w:rsidR="00A51F4B" w:rsidRPr="00110D6C" w:rsidRDefault="00A51F4B" w:rsidP="008D3859">
      <w:pPr>
        <w:widowControl/>
        <w:rPr>
          <w:rFonts w:cs="Times New Roman"/>
          <w:bCs/>
          <w:color w:val="auto"/>
          <w:szCs w:val="22"/>
          <w:lang w:val="pt-PT"/>
        </w:rPr>
      </w:pPr>
    </w:p>
    <w:p w14:paraId="031F0F26" w14:textId="77777777" w:rsidR="0077031F" w:rsidRPr="00110D6C" w:rsidRDefault="00DC3C01" w:rsidP="00A51F4B">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5.</w:t>
      </w:r>
      <w:r w:rsidRPr="00110D6C">
        <w:rPr>
          <w:rFonts w:cs="Times New Roman"/>
          <w:b/>
          <w:bCs/>
          <w:color w:val="auto"/>
          <w:szCs w:val="22"/>
          <w:lang w:val="pt-PT"/>
        </w:rPr>
        <w:tab/>
      </w:r>
      <w:r w:rsidR="00030085" w:rsidRPr="00110D6C">
        <w:rPr>
          <w:rFonts w:cs="Times New Roman"/>
          <w:b/>
          <w:bCs/>
          <w:color w:val="auto"/>
          <w:szCs w:val="22"/>
          <w:lang w:val="pt-PT"/>
        </w:rPr>
        <w:t>CONTEÚDO EM PESO, VOLUME OU UNIDADE</w:t>
      </w:r>
    </w:p>
    <w:p w14:paraId="5994D728" w14:textId="77777777" w:rsidR="00A51F4B" w:rsidRPr="00110D6C" w:rsidRDefault="00A51F4B" w:rsidP="00A17623">
      <w:pPr>
        <w:widowControl/>
        <w:rPr>
          <w:rFonts w:cs="Times New Roman"/>
          <w:color w:val="auto"/>
          <w:szCs w:val="22"/>
          <w:lang w:val="pt-PT"/>
        </w:rPr>
      </w:pPr>
    </w:p>
    <w:p w14:paraId="3E0EF5C5"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9</w:t>
      </w:r>
      <w:r w:rsidR="00B910F9" w:rsidRPr="00110D6C">
        <w:rPr>
          <w:rFonts w:cs="Times New Roman"/>
          <w:color w:val="auto"/>
          <w:szCs w:val="22"/>
          <w:lang w:val="pt-PT"/>
        </w:rPr>
        <w:t>0 </w:t>
      </w:r>
      <w:r w:rsidRPr="00110D6C">
        <w:rPr>
          <w:rFonts w:cs="Times New Roman"/>
          <w:color w:val="auto"/>
          <w:szCs w:val="22"/>
          <w:lang w:val="pt-PT"/>
        </w:rPr>
        <w:t>mg/</w:t>
      </w:r>
      <w:r w:rsidR="00B910F9" w:rsidRPr="00110D6C">
        <w:rPr>
          <w:rFonts w:cs="Times New Roman"/>
          <w:color w:val="auto"/>
          <w:szCs w:val="22"/>
          <w:lang w:val="pt-PT"/>
        </w:rPr>
        <w:t>1 </w:t>
      </w:r>
      <w:r w:rsidRPr="00110D6C">
        <w:rPr>
          <w:rFonts w:cs="Times New Roman"/>
          <w:color w:val="auto"/>
          <w:szCs w:val="22"/>
          <w:lang w:val="pt-PT"/>
        </w:rPr>
        <w:t>ml</w:t>
      </w:r>
    </w:p>
    <w:p w14:paraId="5EF7680C" w14:textId="77777777" w:rsidR="00A51F4B" w:rsidRPr="00110D6C" w:rsidRDefault="00A51F4B" w:rsidP="008D3859">
      <w:pPr>
        <w:widowControl/>
        <w:rPr>
          <w:rFonts w:cs="Times New Roman"/>
          <w:bCs/>
          <w:color w:val="auto"/>
          <w:szCs w:val="22"/>
          <w:lang w:val="pt-PT"/>
        </w:rPr>
      </w:pPr>
    </w:p>
    <w:p w14:paraId="545F7A43" w14:textId="77777777" w:rsidR="00A51F4B" w:rsidRPr="00110D6C" w:rsidRDefault="00A51F4B" w:rsidP="008D3859">
      <w:pPr>
        <w:widowControl/>
        <w:rPr>
          <w:rFonts w:cs="Times New Roman"/>
          <w:bCs/>
          <w:color w:val="auto"/>
          <w:szCs w:val="22"/>
          <w:lang w:val="pt-PT"/>
        </w:rPr>
      </w:pPr>
    </w:p>
    <w:p w14:paraId="6DE23760" w14:textId="77777777" w:rsidR="0077031F" w:rsidRPr="00110D6C" w:rsidRDefault="00DC3C01" w:rsidP="00A51F4B">
      <w:pPr>
        <w:widowControl/>
        <w:pBdr>
          <w:top w:val="single" w:sz="4" w:space="1" w:color="auto"/>
          <w:left w:val="single" w:sz="4" w:space="4" w:color="auto"/>
          <w:bottom w:val="single" w:sz="4" w:space="1" w:color="auto"/>
          <w:right w:val="single" w:sz="4" w:space="4" w:color="auto"/>
        </w:pBdr>
        <w:ind w:left="567" w:hanging="567"/>
        <w:rPr>
          <w:rFonts w:cs="Times New Roman"/>
          <w:color w:val="auto"/>
          <w:szCs w:val="22"/>
          <w:lang w:val="pt-PT"/>
        </w:rPr>
      </w:pPr>
      <w:r w:rsidRPr="00110D6C">
        <w:rPr>
          <w:rFonts w:cs="Times New Roman"/>
          <w:b/>
          <w:bCs/>
          <w:color w:val="auto"/>
          <w:szCs w:val="22"/>
          <w:lang w:val="pt-PT"/>
        </w:rPr>
        <w:t>6.</w:t>
      </w:r>
      <w:r w:rsidRPr="00110D6C">
        <w:rPr>
          <w:rFonts w:cs="Times New Roman"/>
          <w:b/>
          <w:bCs/>
          <w:color w:val="auto"/>
          <w:szCs w:val="22"/>
          <w:lang w:val="pt-PT"/>
        </w:rPr>
        <w:tab/>
      </w:r>
      <w:r w:rsidR="00030085" w:rsidRPr="00110D6C">
        <w:rPr>
          <w:rFonts w:cs="Times New Roman"/>
          <w:b/>
          <w:bCs/>
          <w:color w:val="auto"/>
          <w:szCs w:val="22"/>
          <w:lang w:val="pt-PT"/>
        </w:rPr>
        <w:t>OUTRAS</w:t>
      </w:r>
    </w:p>
    <w:p w14:paraId="1A735251" w14:textId="77777777" w:rsidR="00A22FCE" w:rsidRPr="00110D6C" w:rsidRDefault="00A22FCE">
      <w:pPr>
        <w:rPr>
          <w:rFonts w:cs="Times New Roman"/>
          <w:bCs/>
          <w:color w:val="auto"/>
          <w:szCs w:val="22"/>
          <w:lang w:val="pt-PT"/>
        </w:rPr>
      </w:pPr>
    </w:p>
    <w:p w14:paraId="5529AB64" w14:textId="77777777" w:rsidR="00A51F4B" w:rsidRPr="00110D6C" w:rsidRDefault="00A51F4B">
      <w:pPr>
        <w:rPr>
          <w:rFonts w:cs="Times New Roman"/>
          <w:bCs/>
          <w:color w:val="auto"/>
          <w:szCs w:val="22"/>
          <w:lang w:val="pt-PT"/>
        </w:rPr>
      </w:pPr>
      <w:r w:rsidRPr="00110D6C">
        <w:rPr>
          <w:rFonts w:cs="Times New Roman"/>
          <w:bCs/>
          <w:color w:val="auto"/>
          <w:szCs w:val="22"/>
          <w:lang w:val="pt-PT"/>
        </w:rPr>
        <w:br w:type="page"/>
      </w:r>
    </w:p>
    <w:p w14:paraId="3AA0FD7C" w14:textId="77777777" w:rsidR="00A51F4B" w:rsidRPr="00110D6C" w:rsidRDefault="00A51F4B" w:rsidP="00A51F4B">
      <w:pPr>
        <w:jc w:val="center"/>
        <w:rPr>
          <w:rFonts w:cs="Times New Roman"/>
          <w:lang w:val="pt-PT"/>
        </w:rPr>
      </w:pPr>
    </w:p>
    <w:p w14:paraId="4D2955F0" w14:textId="77777777" w:rsidR="00A51F4B" w:rsidRPr="00110D6C" w:rsidRDefault="00A51F4B" w:rsidP="00A51F4B">
      <w:pPr>
        <w:jc w:val="center"/>
        <w:rPr>
          <w:rFonts w:cs="Times New Roman"/>
          <w:lang w:val="pt-PT"/>
        </w:rPr>
      </w:pPr>
    </w:p>
    <w:p w14:paraId="45D2B480" w14:textId="77777777" w:rsidR="00A51F4B" w:rsidRPr="00110D6C" w:rsidRDefault="00A51F4B" w:rsidP="00A51F4B">
      <w:pPr>
        <w:jc w:val="center"/>
        <w:rPr>
          <w:rFonts w:cs="Times New Roman"/>
          <w:lang w:val="pt-PT"/>
        </w:rPr>
      </w:pPr>
    </w:p>
    <w:p w14:paraId="3F6363F3" w14:textId="77777777" w:rsidR="00A51F4B" w:rsidRPr="00110D6C" w:rsidRDefault="00A51F4B" w:rsidP="00A51F4B">
      <w:pPr>
        <w:jc w:val="center"/>
        <w:rPr>
          <w:rFonts w:cs="Times New Roman"/>
          <w:lang w:val="pt-PT"/>
        </w:rPr>
      </w:pPr>
    </w:p>
    <w:p w14:paraId="62FE25C3" w14:textId="77777777" w:rsidR="00A51F4B" w:rsidRPr="00110D6C" w:rsidRDefault="00A51F4B" w:rsidP="00A51F4B">
      <w:pPr>
        <w:jc w:val="center"/>
        <w:rPr>
          <w:rFonts w:cs="Times New Roman"/>
          <w:lang w:val="pt-PT"/>
        </w:rPr>
      </w:pPr>
    </w:p>
    <w:p w14:paraId="4AFB846E" w14:textId="77777777" w:rsidR="00A51F4B" w:rsidRPr="00110D6C" w:rsidRDefault="00A51F4B" w:rsidP="00A51F4B">
      <w:pPr>
        <w:jc w:val="center"/>
        <w:rPr>
          <w:rFonts w:cs="Times New Roman"/>
          <w:lang w:val="pt-PT"/>
        </w:rPr>
      </w:pPr>
    </w:p>
    <w:p w14:paraId="2E143A97" w14:textId="77777777" w:rsidR="00A51F4B" w:rsidRPr="00110D6C" w:rsidRDefault="00A51F4B" w:rsidP="00A51F4B">
      <w:pPr>
        <w:jc w:val="center"/>
        <w:rPr>
          <w:rFonts w:cs="Times New Roman"/>
          <w:lang w:val="pt-PT"/>
        </w:rPr>
      </w:pPr>
    </w:p>
    <w:p w14:paraId="59188965" w14:textId="77777777" w:rsidR="00A51F4B" w:rsidRPr="00110D6C" w:rsidRDefault="00A51F4B" w:rsidP="00A51F4B">
      <w:pPr>
        <w:jc w:val="center"/>
        <w:rPr>
          <w:rFonts w:cs="Times New Roman"/>
          <w:lang w:val="pt-PT"/>
        </w:rPr>
      </w:pPr>
    </w:p>
    <w:p w14:paraId="1D5BE007" w14:textId="77777777" w:rsidR="00A51F4B" w:rsidRPr="00110D6C" w:rsidRDefault="00A51F4B" w:rsidP="00A51F4B">
      <w:pPr>
        <w:jc w:val="center"/>
        <w:rPr>
          <w:rFonts w:cs="Times New Roman"/>
          <w:lang w:val="pt-PT"/>
        </w:rPr>
      </w:pPr>
    </w:p>
    <w:p w14:paraId="68AE3B71" w14:textId="77777777" w:rsidR="00A51F4B" w:rsidRPr="00110D6C" w:rsidRDefault="00A51F4B" w:rsidP="00A51F4B">
      <w:pPr>
        <w:jc w:val="center"/>
        <w:rPr>
          <w:rFonts w:cs="Times New Roman"/>
          <w:lang w:val="pt-PT"/>
        </w:rPr>
      </w:pPr>
    </w:p>
    <w:p w14:paraId="7F2B4227" w14:textId="77777777" w:rsidR="00A51F4B" w:rsidRPr="00110D6C" w:rsidRDefault="00A51F4B" w:rsidP="00A51F4B">
      <w:pPr>
        <w:jc w:val="center"/>
        <w:rPr>
          <w:rFonts w:cs="Times New Roman"/>
          <w:lang w:val="pt-PT"/>
        </w:rPr>
      </w:pPr>
    </w:p>
    <w:p w14:paraId="3995C5C8" w14:textId="77777777" w:rsidR="00A51F4B" w:rsidRPr="00110D6C" w:rsidRDefault="00A51F4B" w:rsidP="00A51F4B">
      <w:pPr>
        <w:jc w:val="center"/>
        <w:rPr>
          <w:rFonts w:cs="Times New Roman"/>
          <w:lang w:val="pt-PT"/>
        </w:rPr>
      </w:pPr>
    </w:p>
    <w:p w14:paraId="41D16DFC" w14:textId="77777777" w:rsidR="00A51F4B" w:rsidRPr="00110D6C" w:rsidRDefault="00A51F4B" w:rsidP="00A51F4B">
      <w:pPr>
        <w:jc w:val="center"/>
        <w:rPr>
          <w:rFonts w:cs="Times New Roman"/>
          <w:lang w:val="pt-PT"/>
        </w:rPr>
      </w:pPr>
    </w:p>
    <w:p w14:paraId="1A753EB5" w14:textId="77777777" w:rsidR="00A51F4B" w:rsidRPr="00110D6C" w:rsidRDefault="00A51F4B" w:rsidP="00A51F4B">
      <w:pPr>
        <w:jc w:val="center"/>
        <w:rPr>
          <w:rFonts w:cs="Times New Roman"/>
          <w:lang w:val="pt-PT"/>
        </w:rPr>
      </w:pPr>
    </w:p>
    <w:p w14:paraId="1EF35749" w14:textId="77777777" w:rsidR="00A51F4B" w:rsidRPr="00110D6C" w:rsidRDefault="00A51F4B" w:rsidP="00A51F4B">
      <w:pPr>
        <w:jc w:val="center"/>
        <w:rPr>
          <w:rFonts w:cs="Times New Roman"/>
          <w:lang w:val="pt-PT"/>
        </w:rPr>
      </w:pPr>
    </w:p>
    <w:p w14:paraId="78684177" w14:textId="77777777" w:rsidR="00A51F4B" w:rsidRPr="00110D6C" w:rsidRDefault="00A51F4B" w:rsidP="00A51F4B">
      <w:pPr>
        <w:jc w:val="center"/>
        <w:rPr>
          <w:rFonts w:cs="Times New Roman"/>
          <w:lang w:val="pt-PT"/>
        </w:rPr>
      </w:pPr>
    </w:p>
    <w:p w14:paraId="52A46A0A" w14:textId="77777777" w:rsidR="00A51F4B" w:rsidRPr="00110D6C" w:rsidRDefault="00A51F4B" w:rsidP="00A51F4B">
      <w:pPr>
        <w:jc w:val="center"/>
        <w:rPr>
          <w:rFonts w:cs="Times New Roman"/>
          <w:lang w:val="pt-PT"/>
        </w:rPr>
      </w:pPr>
    </w:p>
    <w:p w14:paraId="0884EC8F" w14:textId="77777777" w:rsidR="00A51F4B" w:rsidRPr="00110D6C" w:rsidRDefault="00A51F4B" w:rsidP="00A51F4B">
      <w:pPr>
        <w:jc w:val="center"/>
        <w:rPr>
          <w:rFonts w:cs="Times New Roman"/>
          <w:lang w:val="pt-PT"/>
        </w:rPr>
      </w:pPr>
    </w:p>
    <w:p w14:paraId="6E73E524" w14:textId="77777777" w:rsidR="00A51F4B" w:rsidRPr="00110D6C" w:rsidRDefault="00A51F4B" w:rsidP="00A51F4B">
      <w:pPr>
        <w:jc w:val="center"/>
        <w:rPr>
          <w:rFonts w:cs="Times New Roman"/>
          <w:lang w:val="pt-PT"/>
        </w:rPr>
      </w:pPr>
    </w:p>
    <w:p w14:paraId="6F2A82F2" w14:textId="77777777" w:rsidR="00A51F4B" w:rsidRPr="00110D6C" w:rsidRDefault="00A51F4B" w:rsidP="00A51F4B">
      <w:pPr>
        <w:jc w:val="center"/>
        <w:rPr>
          <w:rFonts w:cs="Times New Roman"/>
          <w:lang w:val="pt-PT"/>
        </w:rPr>
      </w:pPr>
    </w:p>
    <w:p w14:paraId="4CEE7B45" w14:textId="77777777" w:rsidR="00A51F4B" w:rsidRPr="00110D6C" w:rsidRDefault="00A51F4B" w:rsidP="00A51F4B">
      <w:pPr>
        <w:jc w:val="center"/>
        <w:rPr>
          <w:rFonts w:cs="Times New Roman"/>
          <w:lang w:val="pt-PT"/>
        </w:rPr>
      </w:pPr>
    </w:p>
    <w:p w14:paraId="73FBDB8F" w14:textId="77777777" w:rsidR="00A51F4B" w:rsidRPr="00110D6C" w:rsidRDefault="00A51F4B" w:rsidP="00A51F4B">
      <w:pPr>
        <w:jc w:val="center"/>
        <w:rPr>
          <w:rFonts w:cs="Times New Roman"/>
          <w:lang w:val="pt-PT"/>
        </w:rPr>
      </w:pPr>
    </w:p>
    <w:p w14:paraId="2022E075" w14:textId="77777777" w:rsidR="00A51F4B" w:rsidRPr="00110D6C" w:rsidRDefault="00A51F4B" w:rsidP="00A51F4B">
      <w:pPr>
        <w:jc w:val="center"/>
        <w:rPr>
          <w:rFonts w:cs="Times New Roman"/>
          <w:lang w:val="pt-PT"/>
        </w:rPr>
      </w:pPr>
    </w:p>
    <w:p w14:paraId="7509A45E" w14:textId="77777777" w:rsidR="0077031F" w:rsidRPr="00110D6C" w:rsidRDefault="00030085" w:rsidP="001763E6">
      <w:pPr>
        <w:pStyle w:val="TitleA"/>
      </w:pPr>
      <w:r w:rsidRPr="00110D6C">
        <w:t>B. FOLHETO INFORMATIVO</w:t>
      </w:r>
    </w:p>
    <w:p w14:paraId="0DF3AF60" w14:textId="77777777" w:rsidR="00A51F4B" w:rsidRPr="00110D6C" w:rsidRDefault="00A51F4B">
      <w:pPr>
        <w:rPr>
          <w:rFonts w:cs="Times New Roman"/>
          <w:bCs/>
          <w:color w:val="auto"/>
          <w:szCs w:val="22"/>
          <w:lang w:val="pt-PT"/>
        </w:rPr>
      </w:pPr>
      <w:r w:rsidRPr="00110D6C">
        <w:rPr>
          <w:rFonts w:cs="Times New Roman"/>
          <w:b/>
          <w:bCs/>
          <w:color w:val="auto"/>
          <w:szCs w:val="22"/>
          <w:lang w:val="pt-PT"/>
        </w:rPr>
        <w:br w:type="page"/>
      </w:r>
    </w:p>
    <w:p w14:paraId="589BA7DA" w14:textId="77777777" w:rsidR="0077031F" w:rsidRPr="00110D6C" w:rsidRDefault="00030085" w:rsidP="00A51F4B">
      <w:pPr>
        <w:widowControl/>
        <w:jc w:val="center"/>
        <w:rPr>
          <w:rFonts w:cs="Times New Roman"/>
          <w:color w:val="auto"/>
          <w:szCs w:val="22"/>
          <w:lang w:val="pt-PT"/>
        </w:rPr>
      </w:pPr>
      <w:r w:rsidRPr="00110D6C">
        <w:rPr>
          <w:rFonts w:cs="Times New Roman"/>
          <w:b/>
          <w:bCs/>
          <w:color w:val="auto"/>
          <w:szCs w:val="22"/>
          <w:lang w:val="pt-PT"/>
        </w:rPr>
        <w:lastRenderedPageBreak/>
        <w:t>Folheto Informativo: Informação para o utilizador</w:t>
      </w:r>
    </w:p>
    <w:p w14:paraId="668335F4" w14:textId="77777777" w:rsidR="00A51F4B" w:rsidRPr="00110D6C" w:rsidRDefault="00A51F4B" w:rsidP="00A51F4B">
      <w:pPr>
        <w:widowControl/>
        <w:jc w:val="center"/>
        <w:rPr>
          <w:rFonts w:cs="Times New Roman"/>
          <w:bCs/>
          <w:color w:val="auto"/>
          <w:szCs w:val="22"/>
          <w:lang w:val="pt-PT"/>
        </w:rPr>
      </w:pPr>
    </w:p>
    <w:p w14:paraId="52B9B0B9" w14:textId="62F1A122" w:rsidR="00A51F4B" w:rsidRPr="00110D6C" w:rsidRDefault="00D05FE6" w:rsidP="00A51F4B">
      <w:pPr>
        <w:widowControl/>
        <w:jc w:val="center"/>
        <w:rPr>
          <w:rFonts w:cs="Times New Roman"/>
          <w:b/>
          <w:bCs/>
          <w:color w:val="auto"/>
          <w:szCs w:val="22"/>
          <w:lang w:val="pt-PT"/>
        </w:rPr>
      </w:pPr>
      <w:r w:rsidRPr="00110D6C">
        <w:rPr>
          <w:rFonts w:cs="Times New Roman"/>
          <w:b/>
          <w:bCs/>
          <w:color w:val="auto"/>
          <w:szCs w:val="22"/>
          <w:lang w:val="pt-PT"/>
        </w:rPr>
        <w:t>F</w:t>
      </w:r>
      <w:r w:rsidR="00AA5C87" w:rsidRPr="00110D6C">
        <w:rPr>
          <w:rFonts w:cs="Times New Roman"/>
          <w:b/>
          <w:bCs/>
          <w:color w:val="auto"/>
          <w:szCs w:val="22"/>
          <w:lang w:val="pt-PT"/>
        </w:rPr>
        <w:t>ymskina</w:t>
      </w:r>
      <w:r w:rsidR="00030085" w:rsidRPr="00110D6C">
        <w:rPr>
          <w:rFonts w:cs="Times New Roman"/>
          <w:b/>
          <w:bCs/>
          <w:color w:val="auto"/>
          <w:szCs w:val="22"/>
          <w:lang w:val="pt-PT"/>
        </w:rPr>
        <w:t xml:space="preserve"> 13</w:t>
      </w:r>
      <w:r w:rsidR="00B910F9" w:rsidRPr="00110D6C">
        <w:rPr>
          <w:rFonts w:cs="Times New Roman"/>
          <w:b/>
          <w:bCs/>
          <w:color w:val="auto"/>
          <w:szCs w:val="22"/>
          <w:lang w:val="pt-PT"/>
        </w:rPr>
        <w:t>0 </w:t>
      </w:r>
      <w:r w:rsidR="00030085" w:rsidRPr="00110D6C">
        <w:rPr>
          <w:rFonts w:cs="Times New Roman"/>
          <w:b/>
          <w:bCs/>
          <w:color w:val="auto"/>
          <w:szCs w:val="22"/>
          <w:lang w:val="pt-PT"/>
        </w:rPr>
        <w:t>mg concentrado para solução para perfusão</w:t>
      </w:r>
    </w:p>
    <w:p w14:paraId="38BD964E" w14:textId="77777777" w:rsidR="0077031F" w:rsidRPr="00110D6C" w:rsidRDefault="00030085" w:rsidP="00A51F4B">
      <w:pPr>
        <w:widowControl/>
        <w:jc w:val="center"/>
        <w:rPr>
          <w:rFonts w:cs="Times New Roman"/>
          <w:color w:val="auto"/>
          <w:szCs w:val="22"/>
          <w:lang w:val="pt-PT"/>
        </w:rPr>
      </w:pPr>
      <w:r w:rsidRPr="00110D6C">
        <w:rPr>
          <w:rFonts w:cs="Times New Roman"/>
          <w:color w:val="auto"/>
          <w:szCs w:val="22"/>
          <w:lang w:val="pt-PT"/>
        </w:rPr>
        <w:t>ustecinumab</w:t>
      </w:r>
    </w:p>
    <w:p w14:paraId="5C3BF3CB" w14:textId="77777777" w:rsidR="00A51F4B" w:rsidRPr="00110D6C" w:rsidRDefault="00A51F4B" w:rsidP="00A51F4B">
      <w:pPr>
        <w:widowControl/>
        <w:jc w:val="center"/>
        <w:rPr>
          <w:rFonts w:cs="Times New Roman"/>
          <w:color w:val="auto"/>
          <w:szCs w:val="22"/>
          <w:lang w:val="pt-PT"/>
        </w:rPr>
      </w:pPr>
    </w:p>
    <w:p w14:paraId="3536B80F" w14:textId="77777777" w:rsidR="00AA5C87" w:rsidRDefault="00AA5C87" w:rsidP="00AA5C87">
      <w:pPr>
        <w:widowControl/>
        <w:rPr>
          <w:rFonts w:cs="Times New Roman"/>
          <w:b/>
          <w:bCs/>
          <w:color w:val="auto"/>
          <w:szCs w:val="22"/>
          <w:lang w:val="pt-PT"/>
        </w:rPr>
      </w:pPr>
      <w:r>
        <w:rPr>
          <w:noProof/>
          <w:lang w:val="en-GB" w:eastAsia="en-GB" w:bidi="ar-SA"/>
        </w:rPr>
        <w:drawing>
          <wp:inline distT="0" distB="0" distL="0" distR="0" wp14:anchorId="0F3FDE7C" wp14:editId="2046F605">
            <wp:extent cx="200025" cy="171450"/>
            <wp:effectExtent l="0" t="0" r="0" b="0"/>
            <wp:docPr id="1403287207"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79268" name="Picture 2"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2D4719">
        <w:t>Este medicamento está sujeito a monitorização adicional. Isto irá permitir a rápida identificação d</w:t>
      </w:r>
      <w:r w:rsidRPr="00487FCB">
        <w:t xml:space="preserve">e nova informação de segurança. Poderá ajudar, comunicando quaisquer efeitos </w:t>
      </w:r>
      <w:r>
        <w:t>indesejáveis</w:t>
      </w:r>
      <w:r w:rsidRPr="00487FCB">
        <w:t xml:space="preserve"> que tenha. Para saber como comunicar efeitos </w:t>
      </w:r>
      <w:r>
        <w:t>indesejáveis</w:t>
      </w:r>
      <w:r w:rsidRPr="00487FCB">
        <w:t>, veja o final da secção</w:t>
      </w:r>
      <w:r>
        <w:t> </w:t>
      </w:r>
      <w:r w:rsidRPr="00487FCB">
        <w:t>4</w:t>
      </w:r>
      <w:r>
        <w:t>.</w:t>
      </w:r>
    </w:p>
    <w:p w14:paraId="6DFD4B2D" w14:textId="77777777" w:rsidR="00AA5C87" w:rsidRDefault="00AA5C87" w:rsidP="00A17623">
      <w:pPr>
        <w:widowControl/>
        <w:rPr>
          <w:rFonts w:cs="Times New Roman"/>
          <w:b/>
          <w:bCs/>
          <w:color w:val="auto"/>
          <w:szCs w:val="22"/>
          <w:lang w:val="pt-PT"/>
        </w:rPr>
      </w:pPr>
    </w:p>
    <w:p w14:paraId="03049B33" w14:textId="7E17B164"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Leia atentamente este folheto antes de utilizar este medicamento, pois contém informação importante para si.</w:t>
      </w:r>
    </w:p>
    <w:p w14:paraId="62C2AEF2" w14:textId="77777777" w:rsidR="00A51F4B" w:rsidRPr="00110D6C" w:rsidRDefault="00A51F4B" w:rsidP="00A17623">
      <w:pPr>
        <w:widowControl/>
        <w:rPr>
          <w:rFonts w:cs="Times New Roman"/>
          <w:bCs/>
          <w:color w:val="auto"/>
          <w:szCs w:val="22"/>
          <w:lang w:val="pt-PT"/>
        </w:rPr>
      </w:pPr>
      <w:bookmarkStart w:id="92" w:name="bookmark152"/>
    </w:p>
    <w:p w14:paraId="61BE5554" w14:textId="77777777" w:rsidR="0077031F" w:rsidRPr="00110D6C" w:rsidRDefault="00030085" w:rsidP="00A17623">
      <w:pPr>
        <w:widowControl/>
        <w:rPr>
          <w:rFonts w:cs="Times New Roman"/>
          <w:b/>
          <w:bCs/>
          <w:color w:val="auto"/>
          <w:szCs w:val="22"/>
          <w:lang w:val="pt-PT"/>
        </w:rPr>
      </w:pPr>
      <w:r w:rsidRPr="00110D6C">
        <w:rPr>
          <w:rFonts w:cs="Times New Roman"/>
          <w:b/>
          <w:bCs/>
          <w:color w:val="auto"/>
          <w:szCs w:val="22"/>
          <w:lang w:val="pt-PT"/>
        </w:rPr>
        <w:t>Este folheto foi escrito para a pessoa que tomar o medicamento.</w:t>
      </w:r>
      <w:bookmarkEnd w:id="92"/>
    </w:p>
    <w:p w14:paraId="5DDC5912" w14:textId="77777777" w:rsidR="00A51F4B" w:rsidRPr="00110D6C" w:rsidRDefault="00A51F4B" w:rsidP="00A17623">
      <w:pPr>
        <w:widowControl/>
        <w:rPr>
          <w:rFonts w:cs="Times New Roman"/>
          <w:color w:val="auto"/>
          <w:szCs w:val="22"/>
          <w:lang w:val="pt-PT"/>
        </w:rPr>
      </w:pPr>
    </w:p>
    <w:p w14:paraId="6951F468" w14:textId="77777777" w:rsidR="0077031F" w:rsidRPr="00110D6C" w:rsidRDefault="00030085" w:rsidP="00D74B6E">
      <w:pPr>
        <w:pStyle w:val="Listenabsatz"/>
        <w:widowControl/>
        <w:numPr>
          <w:ilvl w:val="0"/>
          <w:numId w:val="3"/>
        </w:numPr>
        <w:ind w:left="567" w:hanging="567"/>
        <w:rPr>
          <w:rFonts w:cs="Times New Roman"/>
          <w:color w:val="auto"/>
          <w:szCs w:val="22"/>
          <w:lang w:val="pt-PT"/>
        </w:rPr>
      </w:pPr>
      <w:r w:rsidRPr="00110D6C">
        <w:rPr>
          <w:rFonts w:cs="Times New Roman"/>
          <w:color w:val="auto"/>
          <w:szCs w:val="22"/>
          <w:lang w:val="pt-PT"/>
        </w:rPr>
        <w:t>Conserve este folheto. Pode ter necessidade de o ler novamente.</w:t>
      </w:r>
    </w:p>
    <w:p w14:paraId="081A3711" w14:textId="77777777" w:rsidR="0077031F" w:rsidRPr="00110D6C" w:rsidRDefault="00030085" w:rsidP="00D74B6E">
      <w:pPr>
        <w:pStyle w:val="Listenabsatz"/>
        <w:widowControl/>
        <w:numPr>
          <w:ilvl w:val="0"/>
          <w:numId w:val="3"/>
        </w:numPr>
        <w:ind w:left="567" w:hanging="567"/>
        <w:rPr>
          <w:rFonts w:cs="Times New Roman"/>
          <w:color w:val="auto"/>
          <w:szCs w:val="22"/>
          <w:lang w:val="pt-PT"/>
        </w:rPr>
      </w:pPr>
      <w:r w:rsidRPr="00110D6C">
        <w:rPr>
          <w:rFonts w:cs="Times New Roman"/>
          <w:color w:val="auto"/>
          <w:szCs w:val="22"/>
          <w:lang w:val="pt-PT"/>
        </w:rPr>
        <w:t>Caso ainda tenha dúvidas, fale com o seu médico ou farmacêutico.</w:t>
      </w:r>
    </w:p>
    <w:p w14:paraId="70BF2F43" w14:textId="77777777" w:rsidR="0077031F" w:rsidRPr="00110D6C" w:rsidRDefault="00030085" w:rsidP="00D74B6E">
      <w:pPr>
        <w:pStyle w:val="Listenabsatz"/>
        <w:widowControl/>
        <w:numPr>
          <w:ilvl w:val="0"/>
          <w:numId w:val="3"/>
        </w:numPr>
        <w:ind w:left="567" w:hanging="567"/>
        <w:rPr>
          <w:rFonts w:cs="Times New Roman"/>
          <w:color w:val="auto"/>
          <w:szCs w:val="22"/>
          <w:lang w:val="pt-PT"/>
        </w:rPr>
      </w:pPr>
      <w:r w:rsidRPr="00110D6C">
        <w:rPr>
          <w:rFonts w:cs="Times New Roman"/>
          <w:color w:val="auto"/>
          <w:szCs w:val="22"/>
          <w:lang w:val="pt-PT"/>
        </w:rPr>
        <w:t>Se tiver quaisquer efeitos indesejáveis, incluindo possíveis efeitos indesejáveis não indicados</w:t>
      </w:r>
      <w:r w:rsidR="00A51F4B" w:rsidRPr="00110D6C">
        <w:rPr>
          <w:rFonts w:cs="Times New Roman"/>
          <w:color w:val="auto"/>
          <w:szCs w:val="22"/>
          <w:lang w:val="pt-PT"/>
        </w:rPr>
        <w:t xml:space="preserve"> </w:t>
      </w:r>
      <w:r w:rsidRPr="00110D6C">
        <w:rPr>
          <w:rFonts w:cs="Times New Roman"/>
          <w:color w:val="auto"/>
          <w:szCs w:val="22"/>
          <w:lang w:val="pt-PT"/>
        </w:rPr>
        <w:t>neste folheto, fale com o seu médico ou farmacêutico.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w:t>
      </w:r>
    </w:p>
    <w:p w14:paraId="7184FDFF" w14:textId="77777777" w:rsidR="00A51F4B" w:rsidRPr="00110D6C" w:rsidRDefault="00A51F4B" w:rsidP="00A17623">
      <w:pPr>
        <w:widowControl/>
        <w:rPr>
          <w:rFonts w:cs="Times New Roman"/>
          <w:bCs/>
          <w:color w:val="auto"/>
          <w:szCs w:val="22"/>
          <w:lang w:val="pt-PT"/>
        </w:rPr>
      </w:pPr>
      <w:bookmarkStart w:id="93" w:name="bookmark154"/>
    </w:p>
    <w:p w14:paraId="161105C4"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O que contém este folheto</w:t>
      </w:r>
      <w:r w:rsidRPr="00110D6C">
        <w:rPr>
          <w:rFonts w:cs="Times New Roman"/>
          <w:color w:val="auto"/>
          <w:szCs w:val="22"/>
          <w:lang w:val="pt-PT"/>
        </w:rPr>
        <w:t>:</w:t>
      </w:r>
      <w:bookmarkEnd w:id="93"/>
    </w:p>
    <w:p w14:paraId="2616F9DC" w14:textId="7C4FBCFD" w:rsidR="0077031F" w:rsidRPr="00110D6C" w:rsidRDefault="00DC3C01" w:rsidP="00A17623">
      <w:pPr>
        <w:widowControl/>
        <w:ind w:left="567" w:hanging="567"/>
        <w:rPr>
          <w:rFonts w:cs="Times New Roman"/>
          <w:color w:val="auto"/>
          <w:szCs w:val="22"/>
          <w:lang w:val="pt-PT"/>
        </w:rPr>
      </w:pPr>
      <w:r w:rsidRPr="00110D6C">
        <w:rPr>
          <w:rFonts w:cs="Times New Roman"/>
          <w:color w:val="auto"/>
          <w:szCs w:val="22"/>
          <w:lang w:val="pt-PT"/>
        </w:rPr>
        <w:t>1.</w:t>
      </w:r>
      <w:r w:rsidRPr="00110D6C">
        <w:rPr>
          <w:rFonts w:cs="Times New Roman"/>
          <w:color w:val="auto"/>
          <w:szCs w:val="22"/>
          <w:lang w:val="pt-PT"/>
        </w:rPr>
        <w:tab/>
      </w:r>
      <w:r w:rsidR="00030085" w:rsidRPr="00110D6C">
        <w:rPr>
          <w:rFonts w:cs="Times New Roman"/>
          <w:color w:val="auto"/>
          <w:szCs w:val="22"/>
          <w:lang w:val="pt-PT"/>
        </w:rPr>
        <w:t xml:space="preserve">O que é </w:t>
      </w:r>
      <w:r w:rsidR="00D05FE6" w:rsidRPr="00110D6C">
        <w:rPr>
          <w:rFonts w:cs="Times New Roman"/>
          <w:color w:val="auto"/>
          <w:szCs w:val="22"/>
          <w:lang w:val="pt-PT"/>
        </w:rPr>
        <w:t>Fymskina</w:t>
      </w:r>
      <w:r w:rsidR="00030085" w:rsidRPr="00110D6C">
        <w:rPr>
          <w:rFonts w:cs="Times New Roman"/>
          <w:color w:val="auto"/>
          <w:szCs w:val="22"/>
          <w:lang w:val="pt-PT"/>
        </w:rPr>
        <w:t xml:space="preserve"> e para que é utilizado</w:t>
      </w:r>
    </w:p>
    <w:p w14:paraId="5A7C359A" w14:textId="1A12355E" w:rsidR="0077031F" w:rsidRPr="00110D6C" w:rsidRDefault="00DC3C01" w:rsidP="00A17623">
      <w:pPr>
        <w:widowControl/>
        <w:ind w:left="567" w:hanging="567"/>
        <w:rPr>
          <w:rFonts w:cs="Times New Roman"/>
          <w:color w:val="auto"/>
          <w:szCs w:val="22"/>
          <w:lang w:val="pt-PT"/>
        </w:rPr>
      </w:pPr>
      <w:r w:rsidRPr="00110D6C">
        <w:rPr>
          <w:rFonts w:cs="Times New Roman"/>
          <w:color w:val="auto"/>
          <w:szCs w:val="22"/>
          <w:lang w:val="pt-PT"/>
        </w:rPr>
        <w:t>2.</w:t>
      </w:r>
      <w:r w:rsidRPr="00110D6C">
        <w:rPr>
          <w:rFonts w:cs="Times New Roman"/>
          <w:color w:val="auto"/>
          <w:szCs w:val="22"/>
          <w:lang w:val="pt-PT"/>
        </w:rPr>
        <w:tab/>
      </w:r>
      <w:r w:rsidR="00030085" w:rsidRPr="00110D6C">
        <w:rPr>
          <w:rFonts w:cs="Times New Roman"/>
          <w:color w:val="auto"/>
          <w:szCs w:val="22"/>
          <w:lang w:val="pt-PT"/>
        </w:rPr>
        <w:t xml:space="preserve">O que precisa de saber antes de utilizar </w:t>
      </w:r>
      <w:r w:rsidR="00D05FE6" w:rsidRPr="00110D6C">
        <w:rPr>
          <w:rFonts w:cs="Times New Roman"/>
          <w:color w:val="auto"/>
          <w:szCs w:val="22"/>
          <w:lang w:val="pt-PT"/>
        </w:rPr>
        <w:t>Fymskina</w:t>
      </w:r>
    </w:p>
    <w:p w14:paraId="6A213620" w14:textId="47960993" w:rsidR="0077031F" w:rsidRPr="00110D6C" w:rsidRDefault="00DC3C01" w:rsidP="00A17623">
      <w:pPr>
        <w:widowControl/>
        <w:ind w:left="567" w:hanging="567"/>
        <w:rPr>
          <w:rFonts w:cs="Times New Roman"/>
          <w:color w:val="auto"/>
          <w:szCs w:val="22"/>
          <w:lang w:val="pt-PT"/>
        </w:rPr>
      </w:pPr>
      <w:r w:rsidRPr="00110D6C">
        <w:rPr>
          <w:rFonts w:cs="Times New Roman"/>
          <w:color w:val="auto"/>
          <w:szCs w:val="22"/>
          <w:lang w:val="pt-PT"/>
        </w:rPr>
        <w:t>3.</w:t>
      </w:r>
      <w:r w:rsidRPr="00110D6C">
        <w:rPr>
          <w:rFonts w:cs="Times New Roman"/>
          <w:color w:val="auto"/>
          <w:szCs w:val="22"/>
          <w:lang w:val="pt-PT"/>
        </w:rPr>
        <w:tab/>
      </w:r>
      <w:r w:rsidR="00030085" w:rsidRPr="00110D6C">
        <w:rPr>
          <w:rFonts w:cs="Times New Roman"/>
          <w:color w:val="auto"/>
          <w:szCs w:val="22"/>
          <w:lang w:val="pt-PT"/>
        </w:rPr>
        <w:t xml:space="preserve">Como será administrado </w:t>
      </w:r>
      <w:r w:rsidR="00D05FE6" w:rsidRPr="00110D6C">
        <w:rPr>
          <w:rFonts w:cs="Times New Roman"/>
          <w:color w:val="auto"/>
          <w:szCs w:val="22"/>
          <w:lang w:val="pt-PT"/>
        </w:rPr>
        <w:t>Fymskina</w:t>
      </w:r>
    </w:p>
    <w:p w14:paraId="17265A05" w14:textId="77777777" w:rsidR="0077031F" w:rsidRPr="00110D6C" w:rsidRDefault="00DC3C01" w:rsidP="00A17623">
      <w:pPr>
        <w:widowControl/>
        <w:ind w:left="567" w:hanging="567"/>
        <w:rPr>
          <w:rFonts w:cs="Times New Roman"/>
          <w:color w:val="auto"/>
          <w:szCs w:val="22"/>
          <w:lang w:val="pt-PT"/>
        </w:rPr>
      </w:pPr>
      <w:r w:rsidRPr="00110D6C">
        <w:rPr>
          <w:rFonts w:cs="Times New Roman"/>
          <w:color w:val="auto"/>
          <w:szCs w:val="22"/>
          <w:lang w:val="pt-PT"/>
        </w:rPr>
        <w:t>4.</w:t>
      </w:r>
      <w:r w:rsidRPr="00110D6C">
        <w:rPr>
          <w:rFonts w:cs="Times New Roman"/>
          <w:color w:val="auto"/>
          <w:szCs w:val="22"/>
          <w:lang w:val="pt-PT"/>
        </w:rPr>
        <w:tab/>
      </w:r>
      <w:r w:rsidR="00030085" w:rsidRPr="00110D6C">
        <w:rPr>
          <w:rFonts w:cs="Times New Roman"/>
          <w:color w:val="auto"/>
          <w:szCs w:val="22"/>
          <w:lang w:val="pt-PT"/>
        </w:rPr>
        <w:t>Efeitos indesejáveis possíveis</w:t>
      </w:r>
    </w:p>
    <w:p w14:paraId="355836FA" w14:textId="61FA2F9B" w:rsidR="0077031F" w:rsidRPr="00110D6C" w:rsidRDefault="00DC3C01" w:rsidP="00A17623">
      <w:pPr>
        <w:widowControl/>
        <w:ind w:left="567" w:hanging="567"/>
        <w:rPr>
          <w:rFonts w:cs="Times New Roman"/>
          <w:color w:val="auto"/>
          <w:szCs w:val="22"/>
          <w:lang w:val="pt-PT"/>
        </w:rPr>
      </w:pPr>
      <w:r w:rsidRPr="00110D6C">
        <w:rPr>
          <w:rFonts w:cs="Times New Roman"/>
          <w:color w:val="auto"/>
          <w:szCs w:val="22"/>
          <w:lang w:val="pt-PT"/>
        </w:rPr>
        <w:t>5.</w:t>
      </w:r>
      <w:r w:rsidRPr="00110D6C">
        <w:rPr>
          <w:rFonts w:cs="Times New Roman"/>
          <w:color w:val="auto"/>
          <w:szCs w:val="22"/>
          <w:lang w:val="pt-PT"/>
        </w:rPr>
        <w:tab/>
      </w:r>
      <w:r w:rsidR="00030085" w:rsidRPr="00110D6C">
        <w:rPr>
          <w:rFonts w:cs="Times New Roman"/>
          <w:color w:val="auto"/>
          <w:szCs w:val="22"/>
          <w:lang w:val="pt-PT"/>
        </w:rPr>
        <w:t xml:space="preserve">Como conservar </w:t>
      </w:r>
      <w:r w:rsidR="00D05FE6" w:rsidRPr="00110D6C">
        <w:rPr>
          <w:rFonts w:cs="Times New Roman"/>
          <w:color w:val="auto"/>
          <w:szCs w:val="22"/>
          <w:lang w:val="pt-PT"/>
        </w:rPr>
        <w:t>Fymskina</w:t>
      </w:r>
    </w:p>
    <w:p w14:paraId="1441E166" w14:textId="77777777" w:rsidR="0077031F" w:rsidRPr="00110D6C" w:rsidRDefault="00DC3C01" w:rsidP="00A17623">
      <w:pPr>
        <w:widowControl/>
        <w:ind w:left="567" w:hanging="567"/>
        <w:rPr>
          <w:rFonts w:cs="Times New Roman"/>
          <w:color w:val="auto"/>
          <w:szCs w:val="22"/>
          <w:lang w:val="pt-PT"/>
        </w:rPr>
      </w:pPr>
      <w:r w:rsidRPr="00110D6C">
        <w:rPr>
          <w:rFonts w:cs="Times New Roman"/>
          <w:color w:val="auto"/>
          <w:szCs w:val="22"/>
          <w:lang w:val="pt-PT"/>
        </w:rPr>
        <w:t>6.</w:t>
      </w:r>
      <w:r w:rsidRPr="00110D6C">
        <w:rPr>
          <w:rFonts w:cs="Times New Roman"/>
          <w:color w:val="auto"/>
          <w:szCs w:val="22"/>
          <w:lang w:val="pt-PT"/>
        </w:rPr>
        <w:tab/>
      </w:r>
      <w:r w:rsidR="00030085" w:rsidRPr="00110D6C">
        <w:rPr>
          <w:rFonts w:cs="Times New Roman"/>
          <w:color w:val="auto"/>
          <w:szCs w:val="22"/>
          <w:lang w:val="pt-PT"/>
        </w:rPr>
        <w:t>Conteúdo da embalagem e outras informações</w:t>
      </w:r>
    </w:p>
    <w:p w14:paraId="3E70D1F5" w14:textId="77777777" w:rsidR="00A51F4B" w:rsidRPr="00110D6C" w:rsidRDefault="00A51F4B" w:rsidP="002057DA">
      <w:pPr>
        <w:widowControl/>
        <w:rPr>
          <w:rFonts w:cs="Times New Roman"/>
          <w:bCs/>
          <w:color w:val="auto"/>
          <w:szCs w:val="22"/>
          <w:lang w:val="pt-PT"/>
        </w:rPr>
      </w:pPr>
      <w:bookmarkStart w:id="94" w:name="bookmark156"/>
    </w:p>
    <w:p w14:paraId="09337DEC" w14:textId="77777777" w:rsidR="00A51F4B" w:rsidRPr="00110D6C" w:rsidRDefault="00A51F4B" w:rsidP="002057DA">
      <w:pPr>
        <w:widowControl/>
        <w:rPr>
          <w:rFonts w:cs="Times New Roman"/>
          <w:bCs/>
          <w:color w:val="auto"/>
          <w:szCs w:val="22"/>
          <w:lang w:val="pt-PT"/>
        </w:rPr>
      </w:pPr>
    </w:p>
    <w:p w14:paraId="17727904" w14:textId="56013A0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1.</w:t>
      </w:r>
      <w:r w:rsidRPr="00110D6C">
        <w:rPr>
          <w:rFonts w:cs="Times New Roman"/>
          <w:b/>
          <w:bCs/>
          <w:color w:val="auto"/>
          <w:szCs w:val="22"/>
          <w:lang w:val="pt-PT"/>
        </w:rPr>
        <w:tab/>
      </w:r>
      <w:r w:rsidR="00030085" w:rsidRPr="00110D6C">
        <w:rPr>
          <w:rFonts w:cs="Times New Roman"/>
          <w:b/>
          <w:bCs/>
          <w:color w:val="auto"/>
          <w:szCs w:val="22"/>
          <w:lang w:val="pt-PT"/>
        </w:rPr>
        <w:t xml:space="preserve">O que é </w:t>
      </w:r>
      <w:r w:rsidR="00D05FE6" w:rsidRPr="00110D6C">
        <w:rPr>
          <w:rFonts w:cs="Times New Roman"/>
          <w:b/>
          <w:bCs/>
          <w:color w:val="auto"/>
          <w:szCs w:val="22"/>
          <w:lang w:val="pt-PT"/>
        </w:rPr>
        <w:t>Fymskina</w:t>
      </w:r>
      <w:r w:rsidR="00030085" w:rsidRPr="00110D6C">
        <w:rPr>
          <w:rFonts w:cs="Times New Roman"/>
          <w:b/>
          <w:bCs/>
          <w:color w:val="auto"/>
          <w:szCs w:val="22"/>
          <w:lang w:val="pt-PT"/>
        </w:rPr>
        <w:t xml:space="preserve"> e para que é utilizado</w:t>
      </w:r>
      <w:bookmarkEnd w:id="94"/>
    </w:p>
    <w:p w14:paraId="1D993D5C" w14:textId="77777777" w:rsidR="00A51F4B" w:rsidRPr="00110D6C" w:rsidRDefault="00A51F4B" w:rsidP="00A17623">
      <w:pPr>
        <w:widowControl/>
        <w:rPr>
          <w:rFonts w:cs="Times New Roman"/>
          <w:bCs/>
          <w:color w:val="auto"/>
          <w:szCs w:val="22"/>
          <w:lang w:val="pt-PT"/>
        </w:rPr>
      </w:pPr>
    </w:p>
    <w:p w14:paraId="1AD3C106" w14:textId="5BAAF79B"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O que é </w:t>
      </w:r>
      <w:r w:rsidR="00D05FE6" w:rsidRPr="00110D6C">
        <w:rPr>
          <w:rFonts w:cs="Times New Roman"/>
          <w:b/>
          <w:bCs/>
          <w:color w:val="auto"/>
          <w:szCs w:val="22"/>
          <w:lang w:val="pt-PT"/>
        </w:rPr>
        <w:t>Fymskina</w:t>
      </w:r>
    </w:p>
    <w:p w14:paraId="48A0CB69" w14:textId="48E9E1E1" w:rsidR="0077031F" w:rsidRPr="00110D6C" w:rsidRDefault="00D05FE6" w:rsidP="00A17623">
      <w:pPr>
        <w:widowControl/>
        <w:rPr>
          <w:rFonts w:cs="Times New Roman"/>
          <w:color w:val="auto"/>
          <w:szCs w:val="22"/>
          <w:lang w:val="pt-PT"/>
        </w:rPr>
      </w:pPr>
      <w:r w:rsidRPr="00110D6C">
        <w:rPr>
          <w:rFonts w:cs="Times New Roman"/>
          <w:color w:val="auto"/>
          <w:szCs w:val="22"/>
          <w:lang w:val="pt-PT"/>
        </w:rPr>
        <w:t>Fymskina</w:t>
      </w:r>
      <w:r w:rsidR="00030085" w:rsidRPr="00110D6C">
        <w:rPr>
          <w:rFonts w:cs="Times New Roman"/>
          <w:color w:val="auto"/>
          <w:szCs w:val="22"/>
          <w:lang w:val="pt-PT"/>
        </w:rPr>
        <w:t xml:space="preserve"> contém a substância ativa “ustecinumab”, um anticorpo monoclonal. Anticorpos monoclonais são proteínas que reconhecem e se ligam especificamente a certas proteínas do corpo.</w:t>
      </w:r>
    </w:p>
    <w:p w14:paraId="5BA858E1" w14:textId="77777777" w:rsidR="00A51F4B" w:rsidRPr="00110D6C" w:rsidRDefault="00A51F4B" w:rsidP="00A17623">
      <w:pPr>
        <w:widowControl/>
        <w:rPr>
          <w:rFonts w:cs="Times New Roman"/>
          <w:color w:val="auto"/>
          <w:szCs w:val="22"/>
          <w:lang w:val="pt-PT"/>
        </w:rPr>
      </w:pPr>
    </w:p>
    <w:p w14:paraId="6466927E" w14:textId="4F8B5625" w:rsidR="0077031F" w:rsidRPr="00110D6C" w:rsidRDefault="00D05FE6" w:rsidP="00A17623">
      <w:pPr>
        <w:widowControl/>
        <w:rPr>
          <w:rFonts w:cs="Times New Roman"/>
          <w:color w:val="auto"/>
          <w:szCs w:val="22"/>
          <w:lang w:val="pt-PT"/>
        </w:rPr>
      </w:pPr>
      <w:r w:rsidRPr="00110D6C">
        <w:rPr>
          <w:rFonts w:cs="Times New Roman"/>
          <w:color w:val="auto"/>
          <w:szCs w:val="22"/>
          <w:lang w:val="pt-PT"/>
        </w:rPr>
        <w:t>Fymskina</w:t>
      </w:r>
      <w:r w:rsidR="00030085" w:rsidRPr="00110D6C">
        <w:rPr>
          <w:rFonts w:cs="Times New Roman"/>
          <w:color w:val="auto"/>
          <w:szCs w:val="22"/>
          <w:lang w:val="pt-PT"/>
        </w:rPr>
        <w:t xml:space="preserve"> pertence a um grupo de medicamentos denominados “imunossupressores”. Estes medicamentos atuam enfraquecendo parte do seu sistema imunitário.</w:t>
      </w:r>
    </w:p>
    <w:p w14:paraId="4E0ED50C" w14:textId="77777777" w:rsidR="00A51F4B" w:rsidRPr="00110D6C" w:rsidRDefault="00A51F4B" w:rsidP="00A17623">
      <w:pPr>
        <w:widowControl/>
        <w:rPr>
          <w:rFonts w:cs="Times New Roman"/>
          <w:bCs/>
          <w:color w:val="auto"/>
          <w:szCs w:val="22"/>
          <w:lang w:val="pt-PT"/>
        </w:rPr>
      </w:pPr>
      <w:bookmarkStart w:id="95" w:name="bookmark159"/>
    </w:p>
    <w:p w14:paraId="2A100F11" w14:textId="2F74A860"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Para que é utilizado </w:t>
      </w:r>
      <w:bookmarkEnd w:id="95"/>
      <w:r w:rsidR="00D05FE6" w:rsidRPr="00110D6C">
        <w:rPr>
          <w:rFonts w:cs="Times New Roman"/>
          <w:b/>
          <w:bCs/>
          <w:color w:val="auto"/>
          <w:szCs w:val="22"/>
          <w:lang w:val="pt-PT"/>
        </w:rPr>
        <w:t>Fymskina</w:t>
      </w:r>
    </w:p>
    <w:p w14:paraId="451ED39F" w14:textId="7259C44C" w:rsidR="0077031F" w:rsidRPr="00110D6C" w:rsidRDefault="00D05FE6" w:rsidP="00A17623">
      <w:pPr>
        <w:widowControl/>
        <w:rPr>
          <w:rFonts w:cs="Times New Roman"/>
          <w:color w:val="auto"/>
          <w:szCs w:val="22"/>
          <w:lang w:val="pt-PT"/>
        </w:rPr>
      </w:pPr>
      <w:r w:rsidRPr="00110D6C">
        <w:rPr>
          <w:rFonts w:cs="Times New Roman"/>
          <w:color w:val="auto"/>
          <w:szCs w:val="22"/>
          <w:lang w:val="pt-PT"/>
        </w:rPr>
        <w:t>Fymskina</w:t>
      </w:r>
      <w:r w:rsidR="00030085" w:rsidRPr="00110D6C">
        <w:rPr>
          <w:rFonts w:cs="Times New Roman"/>
          <w:color w:val="auto"/>
          <w:szCs w:val="22"/>
          <w:lang w:val="pt-PT"/>
        </w:rPr>
        <w:t xml:space="preserve"> é utilizado para tratar as seguintes doenças inflamatórias:</w:t>
      </w:r>
    </w:p>
    <w:p w14:paraId="4AA94970" w14:textId="77777777" w:rsidR="0077031F" w:rsidRPr="00110D6C" w:rsidRDefault="00030085" w:rsidP="00D74B6E">
      <w:pPr>
        <w:pStyle w:val="Listenabsatz"/>
        <w:widowControl/>
        <w:numPr>
          <w:ilvl w:val="0"/>
          <w:numId w:val="4"/>
        </w:numPr>
        <w:ind w:left="567" w:hanging="567"/>
        <w:rPr>
          <w:rFonts w:cs="Times New Roman"/>
          <w:color w:val="auto"/>
          <w:szCs w:val="22"/>
          <w:lang w:val="pt-PT"/>
        </w:rPr>
      </w:pPr>
      <w:r w:rsidRPr="00110D6C">
        <w:rPr>
          <w:rFonts w:cs="Times New Roman"/>
          <w:color w:val="auto"/>
          <w:szCs w:val="22"/>
          <w:lang w:val="pt-PT"/>
        </w:rPr>
        <w:t>Doença de Crohn moderada a grave – em adultos</w:t>
      </w:r>
    </w:p>
    <w:p w14:paraId="6A280A14" w14:textId="77777777" w:rsidR="00A51F4B" w:rsidRPr="00110D6C" w:rsidRDefault="00A51F4B" w:rsidP="00A17623">
      <w:pPr>
        <w:widowControl/>
        <w:rPr>
          <w:rFonts w:cs="Times New Roman"/>
          <w:bCs/>
          <w:color w:val="auto"/>
          <w:szCs w:val="22"/>
          <w:lang w:val="pt-PT"/>
        </w:rPr>
      </w:pPr>
      <w:bookmarkStart w:id="96" w:name="bookmark161"/>
    </w:p>
    <w:p w14:paraId="1D178466"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Doença de Crohn</w:t>
      </w:r>
      <w:bookmarkEnd w:id="96"/>
    </w:p>
    <w:p w14:paraId="2A3EFC72" w14:textId="78CC84C7"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 doença de Crohn é uma doença inflamatória do intestino. No caso de sofrer de doença de Crohn, irá receber primeiro outros medicamentos. Se não tiver uma resposta suficiente ou se for intolerante a esses medicamentos, poderá receber </w:t>
      </w:r>
      <w:r w:rsidR="00D05FE6" w:rsidRPr="00110D6C">
        <w:rPr>
          <w:rFonts w:cs="Times New Roman"/>
          <w:color w:val="auto"/>
          <w:szCs w:val="22"/>
          <w:lang w:val="pt-PT"/>
        </w:rPr>
        <w:t>Fymskina</w:t>
      </w:r>
      <w:r w:rsidRPr="00110D6C">
        <w:rPr>
          <w:rFonts w:cs="Times New Roman"/>
          <w:color w:val="auto"/>
          <w:szCs w:val="22"/>
          <w:lang w:val="pt-PT"/>
        </w:rPr>
        <w:t xml:space="preserve"> para reduzir os sinais e sintomas da sua doença.</w:t>
      </w:r>
    </w:p>
    <w:p w14:paraId="23632967" w14:textId="77777777" w:rsidR="00A51F4B" w:rsidRPr="00110D6C" w:rsidRDefault="00A51F4B" w:rsidP="002057DA">
      <w:pPr>
        <w:widowControl/>
        <w:rPr>
          <w:rFonts w:cs="Times New Roman"/>
          <w:bCs/>
          <w:color w:val="auto"/>
          <w:szCs w:val="22"/>
          <w:lang w:val="pt-PT"/>
        </w:rPr>
      </w:pPr>
      <w:bookmarkStart w:id="97" w:name="bookmark165"/>
    </w:p>
    <w:p w14:paraId="2E38110A" w14:textId="77777777" w:rsidR="00A51F4B" w:rsidRPr="00110D6C" w:rsidRDefault="00A51F4B" w:rsidP="002057DA">
      <w:pPr>
        <w:widowControl/>
        <w:rPr>
          <w:rFonts w:cs="Times New Roman"/>
          <w:bCs/>
          <w:color w:val="auto"/>
          <w:szCs w:val="22"/>
          <w:lang w:val="pt-PT"/>
        </w:rPr>
      </w:pPr>
    </w:p>
    <w:p w14:paraId="37F27517" w14:textId="24E21EE8"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2.</w:t>
      </w:r>
      <w:r w:rsidRPr="00110D6C">
        <w:rPr>
          <w:rFonts w:cs="Times New Roman"/>
          <w:b/>
          <w:bCs/>
          <w:color w:val="auto"/>
          <w:szCs w:val="22"/>
          <w:lang w:val="pt-PT"/>
        </w:rPr>
        <w:tab/>
      </w:r>
      <w:r w:rsidR="00030085" w:rsidRPr="00110D6C">
        <w:rPr>
          <w:rFonts w:cs="Times New Roman"/>
          <w:b/>
          <w:bCs/>
          <w:color w:val="auto"/>
          <w:szCs w:val="22"/>
          <w:lang w:val="pt-PT"/>
        </w:rPr>
        <w:t xml:space="preserve">O que precisa de saber antes de utilizar </w:t>
      </w:r>
      <w:bookmarkEnd w:id="97"/>
      <w:r w:rsidR="00D05FE6" w:rsidRPr="00110D6C">
        <w:rPr>
          <w:rFonts w:cs="Times New Roman"/>
          <w:b/>
          <w:bCs/>
          <w:color w:val="auto"/>
          <w:szCs w:val="22"/>
          <w:lang w:val="pt-PT"/>
        </w:rPr>
        <w:t>Fymskina</w:t>
      </w:r>
    </w:p>
    <w:p w14:paraId="6B82BFA1" w14:textId="77777777" w:rsidR="00A51F4B" w:rsidRPr="00110D6C" w:rsidRDefault="00A51F4B" w:rsidP="00A17623">
      <w:pPr>
        <w:widowControl/>
        <w:rPr>
          <w:rFonts w:cs="Times New Roman"/>
          <w:bCs/>
          <w:color w:val="auto"/>
          <w:szCs w:val="22"/>
          <w:lang w:val="pt-PT"/>
        </w:rPr>
      </w:pPr>
    </w:p>
    <w:p w14:paraId="11FE803F" w14:textId="677F420F"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Não utilize </w:t>
      </w:r>
      <w:r w:rsidR="00D05FE6" w:rsidRPr="00110D6C">
        <w:rPr>
          <w:rFonts w:cs="Times New Roman"/>
          <w:b/>
          <w:bCs/>
          <w:color w:val="auto"/>
          <w:szCs w:val="22"/>
          <w:lang w:val="pt-PT"/>
        </w:rPr>
        <w:t>Fymskina</w:t>
      </w:r>
    </w:p>
    <w:p w14:paraId="6B8AB4FF" w14:textId="77777777" w:rsidR="0077031F" w:rsidRPr="00110D6C" w:rsidRDefault="00030085" w:rsidP="00D74B6E">
      <w:pPr>
        <w:pStyle w:val="Listenabsatz"/>
        <w:widowControl/>
        <w:numPr>
          <w:ilvl w:val="0"/>
          <w:numId w:val="4"/>
        </w:numPr>
        <w:ind w:left="567" w:hanging="567"/>
        <w:rPr>
          <w:rFonts w:cs="Times New Roman"/>
          <w:color w:val="auto"/>
          <w:szCs w:val="22"/>
          <w:lang w:val="pt-PT"/>
        </w:rPr>
      </w:pPr>
      <w:r w:rsidRPr="00110D6C">
        <w:rPr>
          <w:rFonts w:cs="Times New Roman"/>
          <w:b/>
          <w:bCs/>
          <w:color w:val="auto"/>
          <w:szCs w:val="22"/>
          <w:lang w:val="pt-PT"/>
        </w:rPr>
        <w:t xml:space="preserve">Se tem alergia ao ustecinumab </w:t>
      </w:r>
      <w:r w:rsidRPr="00110D6C">
        <w:rPr>
          <w:rFonts w:cs="Times New Roman"/>
          <w:color w:val="auto"/>
          <w:szCs w:val="22"/>
          <w:lang w:val="pt-PT"/>
        </w:rPr>
        <w:t>ou a qualquer outro componente deste medicamento (indicados</w:t>
      </w:r>
      <w:r w:rsidR="00A51F4B" w:rsidRPr="00110D6C">
        <w:rPr>
          <w:rFonts w:cs="Times New Roman"/>
          <w:color w:val="auto"/>
          <w:szCs w:val="22"/>
          <w:lang w:val="pt-PT"/>
        </w:rPr>
        <w:t xml:space="preserve"> </w:t>
      </w:r>
      <w:r w:rsidRPr="00110D6C">
        <w:rPr>
          <w:rFonts w:cs="Times New Roman"/>
          <w:color w:val="auto"/>
          <w:szCs w:val="22"/>
          <w:lang w:val="pt-PT"/>
        </w:rPr>
        <w:t>na secção 6).</w:t>
      </w:r>
    </w:p>
    <w:p w14:paraId="434E78BF" w14:textId="77777777" w:rsidR="0077031F" w:rsidRPr="00110D6C" w:rsidRDefault="00030085" w:rsidP="00D74B6E">
      <w:pPr>
        <w:pStyle w:val="Listenabsatz"/>
        <w:widowControl/>
        <w:numPr>
          <w:ilvl w:val="0"/>
          <w:numId w:val="4"/>
        </w:numPr>
        <w:ind w:left="567" w:hanging="567"/>
        <w:rPr>
          <w:rFonts w:cs="Times New Roman"/>
          <w:color w:val="auto"/>
          <w:szCs w:val="22"/>
          <w:lang w:val="pt-PT"/>
        </w:rPr>
      </w:pPr>
      <w:r w:rsidRPr="00110D6C">
        <w:rPr>
          <w:rFonts w:cs="Times New Roman"/>
          <w:b/>
          <w:bCs/>
          <w:color w:val="auto"/>
          <w:szCs w:val="22"/>
          <w:lang w:val="pt-PT"/>
        </w:rPr>
        <w:t xml:space="preserve">Se tem uma infeção ativa </w:t>
      </w:r>
      <w:r w:rsidRPr="00110D6C">
        <w:rPr>
          <w:rFonts w:cs="Times New Roman"/>
          <w:color w:val="auto"/>
          <w:szCs w:val="22"/>
          <w:lang w:val="pt-PT"/>
        </w:rPr>
        <w:t>que o seu médico pensa ser importante.</w:t>
      </w:r>
    </w:p>
    <w:p w14:paraId="347B169F" w14:textId="77777777" w:rsidR="00A51F4B" w:rsidRPr="00110D6C" w:rsidRDefault="00A51F4B" w:rsidP="00A17623">
      <w:pPr>
        <w:widowControl/>
        <w:rPr>
          <w:rFonts w:cs="Times New Roman"/>
          <w:color w:val="auto"/>
          <w:szCs w:val="22"/>
          <w:lang w:val="pt-PT"/>
        </w:rPr>
      </w:pPr>
    </w:p>
    <w:p w14:paraId="711FA66E" w14:textId="18162AAC"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Se não tem a certeza se alguma das situações acima descritas se aplica a si, fale com o seu médico ou farmacêutico antes de lhe ser administrado </w:t>
      </w:r>
      <w:r w:rsidR="00D05FE6" w:rsidRPr="00110D6C">
        <w:rPr>
          <w:rFonts w:cs="Times New Roman"/>
          <w:color w:val="auto"/>
          <w:szCs w:val="22"/>
          <w:lang w:val="pt-PT"/>
        </w:rPr>
        <w:t>Fymskina</w:t>
      </w:r>
      <w:r w:rsidRPr="00110D6C">
        <w:rPr>
          <w:rFonts w:cs="Times New Roman"/>
          <w:color w:val="auto"/>
          <w:szCs w:val="22"/>
          <w:lang w:val="pt-PT"/>
        </w:rPr>
        <w:t>.</w:t>
      </w:r>
    </w:p>
    <w:p w14:paraId="6640AD8A" w14:textId="77777777" w:rsidR="00A51F4B" w:rsidRPr="00110D6C" w:rsidRDefault="00A51F4B" w:rsidP="00A17623">
      <w:pPr>
        <w:widowControl/>
        <w:rPr>
          <w:rFonts w:cs="Times New Roman"/>
          <w:bCs/>
          <w:color w:val="auto"/>
          <w:szCs w:val="22"/>
          <w:lang w:val="pt-PT"/>
        </w:rPr>
      </w:pPr>
      <w:bookmarkStart w:id="98" w:name="bookmark168"/>
    </w:p>
    <w:p w14:paraId="5A4E7068"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lastRenderedPageBreak/>
        <w:t>Advertências e precauções</w:t>
      </w:r>
      <w:bookmarkEnd w:id="98"/>
    </w:p>
    <w:p w14:paraId="0E3B277E" w14:textId="4AE0DA29"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Fale com o seu médico ou farmacêutico antes de utilizar </w:t>
      </w:r>
      <w:r w:rsidR="00D05FE6" w:rsidRPr="00110D6C">
        <w:rPr>
          <w:rFonts w:cs="Times New Roman"/>
          <w:color w:val="auto"/>
          <w:szCs w:val="22"/>
          <w:lang w:val="pt-PT"/>
        </w:rPr>
        <w:t>Fymskina</w:t>
      </w:r>
      <w:r w:rsidRPr="00110D6C">
        <w:rPr>
          <w:rFonts w:cs="Times New Roman"/>
          <w:color w:val="auto"/>
          <w:szCs w:val="22"/>
          <w:lang w:val="pt-PT"/>
        </w:rPr>
        <w:t xml:space="preserve">. O seu médico avaliará o seu estado de saúde, antes do tratamento. Certifique-se que, antes do tratamento, informou o seu médico sobre qualquer doença que tenha. Informe igualmente o seu médico se tem estado, recentemente, perto de alguém que possa ter tuberculose. O seu médico irá examiná-lo e fazer um teste para a tuberculose, antes de utilizar </w:t>
      </w:r>
      <w:r w:rsidR="00D05FE6" w:rsidRPr="00110D6C">
        <w:rPr>
          <w:rFonts w:cs="Times New Roman"/>
          <w:color w:val="auto"/>
          <w:szCs w:val="22"/>
          <w:lang w:val="pt-PT"/>
        </w:rPr>
        <w:t>Fymskina</w:t>
      </w:r>
      <w:r w:rsidRPr="00110D6C">
        <w:rPr>
          <w:rFonts w:cs="Times New Roman"/>
          <w:color w:val="auto"/>
          <w:szCs w:val="22"/>
          <w:lang w:val="pt-PT"/>
        </w:rPr>
        <w:t>. Se o seu médico pensar que está em risco de tuberculose, podem ser-lhe receitados medicamentos para a tratar.</w:t>
      </w:r>
    </w:p>
    <w:p w14:paraId="0E66BADC" w14:textId="77777777" w:rsidR="00A51F4B" w:rsidRPr="00110D6C" w:rsidRDefault="00A51F4B" w:rsidP="00A17623">
      <w:pPr>
        <w:widowControl/>
        <w:rPr>
          <w:rFonts w:cs="Times New Roman"/>
          <w:bCs/>
          <w:color w:val="auto"/>
          <w:szCs w:val="22"/>
          <w:lang w:val="pt-PT"/>
        </w:rPr>
      </w:pPr>
      <w:bookmarkStart w:id="99" w:name="bookmark170"/>
    </w:p>
    <w:p w14:paraId="161B323C"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Atenção aos efeitos indesejáveis graves</w:t>
      </w:r>
      <w:bookmarkEnd w:id="99"/>
    </w:p>
    <w:p w14:paraId="2C62F6FF" w14:textId="32E77D7D" w:rsidR="0077031F" w:rsidRPr="00110D6C" w:rsidRDefault="00D05FE6" w:rsidP="00A17623">
      <w:pPr>
        <w:widowControl/>
        <w:rPr>
          <w:rFonts w:cs="Times New Roman"/>
          <w:color w:val="auto"/>
          <w:szCs w:val="22"/>
          <w:lang w:val="pt-PT"/>
        </w:rPr>
      </w:pPr>
      <w:r w:rsidRPr="00110D6C">
        <w:rPr>
          <w:rFonts w:cs="Times New Roman"/>
          <w:color w:val="auto"/>
          <w:szCs w:val="22"/>
          <w:lang w:val="pt-PT"/>
        </w:rPr>
        <w:t>Fymskina</w:t>
      </w:r>
      <w:r w:rsidR="00030085" w:rsidRPr="00110D6C">
        <w:rPr>
          <w:rFonts w:cs="Times New Roman"/>
          <w:color w:val="auto"/>
          <w:szCs w:val="22"/>
          <w:lang w:val="pt-PT"/>
        </w:rPr>
        <w:t xml:space="preserve"> pode causar efeitos indesejáveis graves, incluindo reações alérgicas e infeções. Deve ter atenção a certos sinais da doença enquanto estiver a tomar </w:t>
      </w:r>
      <w:r w:rsidRPr="00110D6C">
        <w:rPr>
          <w:rFonts w:cs="Times New Roman"/>
          <w:color w:val="auto"/>
          <w:szCs w:val="22"/>
          <w:lang w:val="pt-PT"/>
        </w:rPr>
        <w:t>Fymskina</w:t>
      </w:r>
      <w:r w:rsidR="00030085" w:rsidRPr="00110D6C">
        <w:rPr>
          <w:rFonts w:cs="Times New Roman"/>
          <w:color w:val="auto"/>
          <w:szCs w:val="22"/>
          <w:lang w:val="pt-PT"/>
        </w:rPr>
        <w:t xml:space="preserve">. Ver “Efeitos indesejáveis graves” na secção </w:t>
      </w:r>
      <w:r w:rsidR="00B910F9" w:rsidRPr="00110D6C">
        <w:rPr>
          <w:rFonts w:cs="Times New Roman"/>
          <w:color w:val="auto"/>
          <w:szCs w:val="22"/>
          <w:lang w:val="pt-PT"/>
        </w:rPr>
        <w:t>4 </w:t>
      </w:r>
      <w:r w:rsidR="00030085" w:rsidRPr="00110D6C">
        <w:rPr>
          <w:rFonts w:cs="Times New Roman"/>
          <w:color w:val="auto"/>
          <w:szCs w:val="22"/>
          <w:lang w:val="pt-PT"/>
        </w:rPr>
        <w:t>para uma lista completa de todos os efeitos indesejáveis.</w:t>
      </w:r>
    </w:p>
    <w:p w14:paraId="6BAA6E40" w14:textId="77777777" w:rsidR="00A51F4B" w:rsidRPr="00110D6C" w:rsidRDefault="00A51F4B" w:rsidP="00A17623">
      <w:pPr>
        <w:widowControl/>
        <w:rPr>
          <w:rFonts w:cs="Times New Roman"/>
          <w:color w:val="auto"/>
          <w:szCs w:val="22"/>
          <w:lang w:val="pt-PT"/>
        </w:rPr>
      </w:pPr>
    </w:p>
    <w:p w14:paraId="04547062" w14:textId="75C5F99A" w:rsidR="0077031F" w:rsidRPr="00110D6C" w:rsidRDefault="00030085" w:rsidP="00A17623">
      <w:pPr>
        <w:widowControl/>
        <w:rPr>
          <w:rFonts w:cs="Times New Roman"/>
          <w:color w:val="auto"/>
          <w:szCs w:val="22"/>
          <w:lang w:val="pt-PT"/>
        </w:rPr>
      </w:pPr>
      <w:bookmarkStart w:id="100" w:name="bookmark172"/>
      <w:r w:rsidRPr="00110D6C">
        <w:rPr>
          <w:rFonts w:cs="Times New Roman"/>
          <w:b/>
          <w:bCs/>
          <w:color w:val="auto"/>
          <w:szCs w:val="22"/>
          <w:lang w:val="pt-PT"/>
        </w:rPr>
        <w:t xml:space="preserve">Antes de utilizar </w:t>
      </w:r>
      <w:r w:rsidR="00D50CFA">
        <w:rPr>
          <w:rFonts w:cs="Times New Roman"/>
          <w:b/>
          <w:bCs/>
          <w:color w:val="auto"/>
          <w:szCs w:val="22"/>
          <w:lang w:val="pt-PT"/>
        </w:rPr>
        <w:t>Fymskina</w:t>
      </w:r>
      <w:r w:rsidRPr="00110D6C">
        <w:rPr>
          <w:rFonts w:cs="Times New Roman"/>
          <w:b/>
          <w:bCs/>
          <w:color w:val="auto"/>
          <w:szCs w:val="22"/>
          <w:lang w:val="pt-PT"/>
        </w:rPr>
        <w:t xml:space="preserve"> informe o seu médico:</w:t>
      </w:r>
      <w:bookmarkEnd w:id="100"/>
    </w:p>
    <w:p w14:paraId="36681F11" w14:textId="531B220E" w:rsidR="0077031F" w:rsidRPr="00110D6C" w:rsidRDefault="00030085" w:rsidP="00D74B6E">
      <w:pPr>
        <w:pStyle w:val="Listenabsatz"/>
        <w:widowControl/>
        <w:numPr>
          <w:ilvl w:val="0"/>
          <w:numId w:val="5"/>
        </w:numPr>
        <w:ind w:left="567" w:hanging="567"/>
        <w:rPr>
          <w:rFonts w:cs="Times New Roman"/>
          <w:color w:val="auto"/>
          <w:szCs w:val="22"/>
          <w:lang w:val="pt-PT"/>
        </w:rPr>
      </w:pPr>
      <w:r w:rsidRPr="00110D6C">
        <w:rPr>
          <w:rFonts w:cs="Times New Roman"/>
          <w:b/>
          <w:bCs/>
          <w:color w:val="auto"/>
          <w:szCs w:val="22"/>
          <w:lang w:val="pt-PT"/>
        </w:rPr>
        <w:t>Se alguma vez teve uma reação alérgica a</w:t>
      </w:r>
      <w:r w:rsidR="00D50CFA">
        <w:rPr>
          <w:rFonts w:cs="Times New Roman"/>
          <w:b/>
          <w:bCs/>
          <w:color w:val="auto"/>
          <w:szCs w:val="22"/>
          <w:lang w:val="pt-PT"/>
        </w:rPr>
        <w:t>o</w:t>
      </w:r>
      <w:r w:rsidRPr="00110D6C">
        <w:rPr>
          <w:rFonts w:cs="Times New Roman"/>
          <w:b/>
          <w:bCs/>
          <w:color w:val="auto"/>
          <w:szCs w:val="22"/>
          <w:lang w:val="pt-PT"/>
        </w:rPr>
        <w:t xml:space="preserve"> </w:t>
      </w:r>
      <w:r w:rsidR="00D50CFA" w:rsidRPr="00492A01">
        <w:rPr>
          <w:rFonts w:cs="Times New Roman"/>
          <w:b/>
          <w:bCs/>
          <w:color w:val="auto"/>
          <w:szCs w:val="22"/>
          <w:lang w:val="pt-PT"/>
        </w:rPr>
        <w:t>ustecinumab</w:t>
      </w:r>
      <w:r w:rsidRPr="00110D6C">
        <w:rPr>
          <w:rFonts w:cs="Times New Roman"/>
          <w:color w:val="auto"/>
          <w:szCs w:val="22"/>
          <w:lang w:val="pt-PT"/>
        </w:rPr>
        <w:t>. Fale com o seu médico se não tem a</w:t>
      </w:r>
      <w:r w:rsidR="00A51F4B" w:rsidRPr="00110D6C">
        <w:rPr>
          <w:rFonts w:cs="Times New Roman"/>
          <w:color w:val="auto"/>
          <w:szCs w:val="22"/>
          <w:lang w:val="pt-PT"/>
        </w:rPr>
        <w:t xml:space="preserve"> </w:t>
      </w:r>
      <w:r w:rsidRPr="00110D6C">
        <w:rPr>
          <w:rFonts w:cs="Times New Roman"/>
          <w:color w:val="auto"/>
          <w:szCs w:val="22"/>
          <w:lang w:val="pt-PT"/>
        </w:rPr>
        <w:t>certeza.</w:t>
      </w:r>
    </w:p>
    <w:p w14:paraId="537CA33F" w14:textId="52F652EB" w:rsidR="0077031F" w:rsidRPr="00110D6C" w:rsidRDefault="00030085" w:rsidP="00D74B6E">
      <w:pPr>
        <w:pStyle w:val="Listenabsatz"/>
        <w:widowControl/>
        <w:numPr>
          <w:ilvl w:val="0"/>
          <w:numId w:val="5"/>
        </w:numPr>
        <w:ind w:left="567" w:hanging="567"/>
        <w:rPr>
          <w:rFonts w:cs="Times New Roman"/>
          <w:color w:val="auto"/>
          <w:szCs w:val="22"/>
          <w:lang w:val="pt-PT"/>
        </w:rPr>
      </w:pPr>
      <w:r w:rsidRPr="00110D6C">
        <w:rPr>
          <w:rFonts w:cs="Times New Roman"/>
          <w:b/>
          <w:bCs/>
          <w:color w:val="auto"/>
          <w:szCs w:val="22"/>
          <w:lang w:val="pt-PT"/>
        </w:rPr>
        <w:t xml:space="preserve">Se alguma vez teve qualquer tipo de cancro </w:t>
      </w:r>
      <w:r w:rsidRPr="00110D6C">
        <w:rPr>
          <w:rFonts w:cs="Times New Roman"/>
          <w:color w:val="auto"/>
          <w:szCs w:val="22"/>
          <w:lang w:val="pt-PT"/>
        </w:rPr>
        <w:t xml:space="preserve">– isto porque imunossupressores como </w:t>
      </w:r>
      <w:r w:rsidR="00D50CFA">
        <w:rPr>
          <w:rFonts w:cs="Times New Roman"/>
          <w:color w:val="auto"/>
          <w:szCs w:val="22"/>
          <w:lang w:val="pt-PT"/>
        </w:rPr>
        <w:t>Fymskina</w:t>
      </w:r>
      <w:r w:rsidR="00A51F4B" w:rsidRPr="00110D6C">
        <w:rPr>
          <w:rFonts w:cs="Times New Roman"/>
          <w:color w:val="auto"/>
          <w:szCs w:val="22"/>
          <w:lang w:val="pt-PT"/>
        </w:rPr>
        <w:t xml:space="preserve"> </w:t>
      </w:r>
      <w:r w:rsidRPr="00110D6C">
        <w:rPr>
          <w:rFonts w:cs="Times New Roman"/>
          <w:color w:val="auto"/>
          <w:szCs w:val="22"/>
          <w:lang w:val="pt-PT"/>
        </w:rPr>
        <w:t>enfraquecem o sistema imunitário. Esta situação pode aumentar o risco de cancro.</w:t>
      </w:r>
    </w:p>
    <w:p w14:paraId="6F8F7A15" w14:textId="77777777" w:rsidR="0077031F" w:rsidRPr="00110D6C" w:rsidRDefault="00030085" w:rsidP="00D74B6E">
      <w:pPr>
        <w:pStyle w:val="Listenabsatz"/>
        <w:widowControl/>
        <w:numPr>
          <w:ilvl w:val="0"/>
          <w:numId w:val="5"/>
        </w:numPr>
        <w:ind w:left="567" w:hanging="567"/>
        <w:rPr>
          <w:rFonts w:cs="Times New Roman"/>
          <w:color w:val="auto"/>
          <w:szCs w:val="22"/>
          <w:lang w:val="pt-PT"/>
        </w:rPr>
      </w:pPr>
      <w:r w:rsidRPr="00110D6C">
        <w:rPr>
          <w:rFonts w:cs="Times New Roman"/>
          <w:b/>
          <w:bCs/>
          <w:color w:val="auto"/>
          <w:szCs w:val="22"/>
          <w:lang w:val="pt-PT"/>
        </w:rPr>
        <w:t>Se alguma vez foi tratado para a psoríase com outros medicamentos biológicos (um</w:t>
      </w:r>
      <w:r w:rsidR="00A51F4B" w:rsidRPr="00110D6C">
        <w:rPr>
          <w:rFonts w:cs="Times New Roman"/>
          <w:b/>
          <w:bCs/>
          <w:color w:val="auto"/>
          <w:szCs w:val="22"/>
          <w:lang w:val="pt-PT"/>
        </w:rPr>
        <w:t xml:space="preserve"> </w:t>
      </w:r>
      <w:r w:rsidRPr="00110D6C">
        <w:rPr>
          <w:rFonts w:cs="Times New Roman"/>
          <w:b/>
          <w:bCs/>
          <w:color w:val="auto"/>
          <w:szCs w:val="22"/>
          <w:lang w:val="pt-PT"/>
        </w:rPr>
        <w:t xml:space="preserve">medicamento produzido a partir de uma origem biológica e, geralmente, administrado por injeção) – </w:t>
      </w:r>
      <w:r w:rsidRPr="00110D6C">
        <w:rPr>
          <w:rFonts w:cs="Times New Roman"/>
          <w:color w:val="auto"/>
          <w:szCs w:val="22"/>
          <w:lang w:val="pt-PT"/>
        </w:rPr>
        <w:t>o risco de cancro pode ser maior.</w:t>
      </w:r>
    </w:p>
    <w:p w14:paraId="6E4B5B6E" w14:textId="77777777" w:rsidR="0077031F" w:rsidRPr="00110D6C" w:rsidRDefault="00030085" w:rsidP="00D74B6E">
      <w:pPr>
        <w:pStyle w:val="Listenabsatz"/>
        <w:widowControl/>
        <w:numPr>
          <w:ilvl w:val="0"/>
          <w:numId w:val="5"/>
        </w:numPr>
        <w:ind w:left="567" w:hanging="567"/>
        <w:rPr>
          <w:rFonts w:cs="Times New Roman"/>
          <w:color w:val="auto"/>
          <w:szCs w:val="22"/>
          <w:lang w:val="pt-PT"/>
        </w:rPr>
      </w:pPr>
      <w:r w:rsidRPr="00110D6C">
        <w:rPr>
          <w:rFonts w:cs="Times New Roman"/>
          <w:b/>
          <w:bCs/>
          <w:color w:val="auto"/>
          <w:szCs w:val="22"/>
          <w:lang w:val="pt-PT"/>
        </w:rPr>
        <w:t>Se tem ou teve recentemente uma infeção ou se tem alguma abertura anormal na pele</w:t>
      </w:r>
      <w:r w:rsidR="00A51F4B" w:rsidRPr="00110D6C">
        <w:rPr>
          <w:rFonts w:cs="Times New Roman"/>
          <w:b/>
          <w:bCs/>
          <w:color w:val="auto"/>
          <w:szCs w:val="22"/>
          <w:lang w:val="pt-PT"/>
        </w:rPr>
        <w:t xml:space="preserve"> </w:t>
      </w:r>
      <w:r w:rsidRPr="00110D6C">
        <w:rPr>
          <w:rFonts w:cs="Times New Roman"/>
          <w:b/>
          <w:bCs/>
          <w:color w:val="auto"/>
          <w:szCs w:val="22"/>
          <w:lang w:val="pt-PT"/>
        </w:rPr>
        <w:t>(fístula)</w:t>
      </w:r>
      <w:r w:rsidRPr="00110D6C">
        <w:rPr>
          <w:rFonts w:cs="Times New Roman"/>
          <w:color w:val="auto"/>
          <w:szCs w:val="22"/>
          <w:lang w:val="pt-PT"/>
        </w:rPr>
        <w:t>.</w:t>
      </w:r>
    </w:p>
    <w:p w14:paraId="5BFF8910" w14:textId="77777777" w:rsidR="0077031F" w:rsidRPr="00110D6C" w:rsidRDefault="00030085" w:rsidP="00D74B6E">
      <w:pPr>
        <w:pStyle w:val="Listenabsatz"/>
        <w:widowControl/>
        <w:numPr>
          <w:ilvl w:val="0"/>
          <w:numId w:val="5"/>
        </w:numPr>
        <w:ind w:left="567" w:hanging="567"/>
        <w:rPr>
          <w:rFonts w:cs="Times New Roman"/>
          <w:color w:val="auto"/>
          <w:szCs w:val="22"/>
          <w:lang w:val="pt-PT"/>
        </w:rPr>
      </w:pPr>
      <w:r w:rsidRPr="00110D6C">
        <w:rPr>
          <w:rFonts w:cs="Times New Roman"/>
          <w:b/>
          <w:bCs/>
          <w:color w:val="auto"/>
          <w:szCs w:val="22"/>
          <w:lang w:val="pt-PT"/>
        </w:rPr>
        <w:t xml:space="preserve">Se tem lesões novas ou alteradas </w:t>
      </w:r>
      <w:r w:rsidRPr="00110D6C">
        <w:rPr>
          <w:rFonts w:cs="Times New Roman"/>
          <w:color w:val="auto"/>
          <w:szCs w:val="22"/>
          <w:lang w:val="pt-PT"/>
        </w:rPr>
        <w:t>entre áreas da pele com psoríase ou em pele normal.</w:t>
      </w:r>
    </w:p>
    <w:p w14:paraId="753A1F9F" w14:textId="4ED7E76C" w:rsidR="0077031F" w:rsidRPr="00110D6C" w:rsidRDefault="00030085" w:rsidP="00D74B6E">
      <w:pPr>
        <w:pStyle w:val="Listenabsatz"/>
        <w:widowControl/>
        <w:numPr>
          <w:ilvl w:val="0"/>
          <w:numId w:val="5"/>
        </w:numPr>
        <w:ind w:left="567" w:hanging="567"/>
        <w:rPr>
          <w:rFonts w:cs="Times New Roman"/>
          <w:color w:val="auto"/>
          <w:szCs w:val="22"/>
          <w:lang w:val="pt-PT"/>
        </w:rPr>
      </w:pPr>
      <w:r w:rsidRPr="00110D6C">
        <w:rPr>
          <w:rFonts w:cs="Times New Roman"/>
          <w:b/>
          <w:bCs/>
          <w:color w:val="auto"/>
          <w:szCs w:val="22"/>
          <w:lang w:val="pt-PT"/>
        </w:rPr>
        <w:t xml:space="preserve">Se está a utilizar outro tratamento para a psoríase e/ou artrite psoriática </w:t>
      </w:r>
      <w:r w:rsidRPr="00110D6C">
        <w:rPr>
          <w:rFonts w:cs="Times New Roman"/>
          <w:color w:val="auto"/>
          <w:szCs w:val="22"/>
          <w:lang w:val="pt-PT"/>
        </w:rPr>
        <w:t>– tal como outro</w:t>
      </w:r>
      <w:r w:rsidR="00A51F4B" w:rsidRPr="00110D6C">
        <w:rPr>
          <w:rFonts w:cs="Times New Roman"/>
          <w:color w:val="auto"/>
          <w:szCs w:val="22"/>
          <w:lang w:val="pt-PT"/>
        </w:rPr>
        <w:t xml:space="preserve"> </w:t>
      </w:r>
      <w:r w:rsidRPr="00110D6C">
        <w:rPr>
          <w:rFonts w:cs="Times New Roman"/>
          <w:color w:val="auto"/>
          <w:szCs w:val="22"/>
          <w:lang w:val="pt-PT"/>
        </w:rPr>
        <w:t xml:space="preserve">imunossupressor ou a fototerapia (quando o seu corpo é tratado com uma luz ultravioleta (UV) específica). Estes tratamentos podem também enfraquecer o sistema imunitário. O uso destes tratamentos, em conjunto com </w:t>
      </w:r>
      <w:r w:rsidR="00D50CFA">
        <w:rPr>
          <w:rFonts w:cs="Times New Roman"/>
          <w:color w:val="auto"/>
          <w:szCs w:val="22"/>
          <w:lang w:val="pt-PT"/>
        </w:rPr>
        <w:t>Fymskina</w:t>
      </w:r>
      <w:r w:rsidRPr="00110D6C">
        <w:rPr>
          <w:rFonts w:cs="Times New Roman"/>
          <w:color w:val="auto"/>
          <w:szCs w:val="22"/>
          <w:lang w:val="pt-PT"/>
        </w:rPr>
        <w:t>, não foi estudado. Contudo, é possível que possa aumentar o risco de doenças relacionadas com um sistema imunitário enfraquecido.</w:t>
      </w:r>
    </w:p>
    <w:p w14:paraId="51DC1DC8" w14:textId="4BD60335" w:rsidR="0077031F" w:rsidRPr="00110D6C" w:rsidRDefault="00030085" w:rsidP="00D74B6E">
      <w:pPr>
        <w:pStyle w:val="Listenabsatz"/>
        <w:widowControl/>
        <w:numPr>
          <w:ilvl w:val="0"/>
          <w:numId w:val="5"/>
        </w:numPr>
        <w:ind w:left="567" w:hanging="567"/>
        <w:rPr>
          <w:rFonts w:cs="Times New Roman"/>
          <w:color w:val="auto"/>
          <w:szCs w:val="22"/>
          <w:lang w:val="pt-PT"/>
        </w:rPr>
      </w:pPr>
      <w:r w:rsidRPr="00110D6C">
        <w:rPr>
          <w:rFonts w:cs="Times New Roman"/>
          <w:b/>
          <w:bCs/>
          <w:color w:val="auto"/>
          <w:szCs w:val="22"/>
          <w:lang w:val="pt-PT"/>
        </w:rPr>
        <w:t xml:space="preserve">Se está a utilizar ou já utilizou injeções para tratar alergias </w:t>
      </w:r>
      <w:r w:rsidRPr="00110D6C">
        <w:rPr>
          <w:rFonts w:cs="Times New Roman"/>
          <w:color w:val="auto"/>
          <w:szCs w:val="22"/>
          <w:lang w:val="pt-PT"/>
        </w:rPr>
        <w:t xml:space="preserve">– não se sabe se </w:t>
      </w:r>
      <w:r w:rsidR="00D50CFA">
        <w:rPr>
          <w:rFonts w:cs="Times New Roman"/>
          <w:color w:val="auto"/>
          <w:szCs w:val="22"/>
          <w:lang w:val="pt-PT"/>
        </w:rPr>
        <w:t>Fymskina</w:t>
      </w:r>
      <w:r w:rsidRPr="00110D6C">
        <w:rPr>
          <w:rFonts w:cs="Times New Roman"/>
          <w:color w:val="auto"/>
          <w:szCs w:val="22"/>
          <w:lang w:val="pt-PT"/>
        </w:rPr>
        <w:t xml:space="preserve"> pode</w:t>
      </w:r>
      <w:r w:rsidR="00A51F4B" w:rsidRPr="00110D6C">
        <w:rPr>
          <w:rFonts w:cs="Times New Roman"/>
          <w:color w:val="auto"/>
          <w:szCs w:val="22"/>
          <w:lang w:val="pt-PT"/>
        </w:rPr>
        <w:t xml:space="preserve"> </w:t>
      </w:r>
      <w:r w:rsidRPr="00110D6C">
        <w:rPr>
          <w:rFonts w:cs="Times New Roman"/>
          <w:color w:val="auto"/>
          <w:szCs w:val="22"/>
          <w:lang w:val="pt-PT"/>
        </w:rPr>
        <w:t>afetar estes tratamentos.</w:t>
      </w:r>
    </w:p>
    <w:p w14:paraId="046F67CA" w14:textId="77777777" w:rsidR="0077031F" w:rsidRPr="00110D6C" w:rsidRDefault="00030085" w:rsidP="00D74B6E">
      <w:pPr>
        <w:pStyle w:val="Listenabsatz"/>
        <w:widowControl/>
        <w:numPr>
          <w:ilvl w:val="0"/>
          <w:numId w:val="5"/>
        </w:numPr>
        <w:ind w:left="567" w:hanging="567"/>
        <w:rPr>
          <w:rFonts w:cs="Times New Roman"/>
          <w:color w:val="auto"/>
          <w:szCs w:val="22"/>
          <w:lang w:val="pt-PT"/>
        </w:rPr>
      </w:pPr>
      <w:r w:rsidRPr="00110D6C">
        <w:rPr>
          <w:rFonts w:cs="Times New Roman"/>
          <w:b/>
          <w:bCs/>
          <w:color w:val="auto"/>
          <w:szCs w:val="22"/>
          <w:lang w:val="pt-PT"/>
        </w:rPr>
        <w:t>Se tiver 6</w:t>
      </w:r>
      <w:r w:rsidR="00B910F9" w:rsidRPr="00110D6C">
        <w:rPr>
          <w:rFonts w:cs="Times New Roman"/>
          <w:b/>
          <w:bCs/>
          <w:color w:val="auto"/>
          <w:szCs w:val="22"/>
          <w:lang w:val="pt-PT"/>
        </w:rPr>
        <w:t>5 </w:t>
      </w:r>
      <w:r w:rsidRPr="00110D6C">
        <w:rPr>
          <w:rFonts w:cs="Times New Roman"/>
          <w:b/>
          <w:bCs/>
          <w:color w:val="auto"/>
          <w:szCs w:val="22"/>
          <w:lang w:val="pt-PT"/>
        </w:rPr>
        <w:t xml:space="preserve">anos de idade ou mais </w:t>
      </w:r>
      <w:r w:rsidRPr="00110D6C">
        <w:rPr>
          <w:rFonts w:cs="Times New Roman"/>
          <w:color w:val="auto"/>
          <w:szCs w:val="22"/>
          <w:lang w:val="pt-PT"/>
        </w:rPr>
        <w:t>– pode estar mais suscetível a ter infeções.</w:t>
      </w:r>
    </w:p>
    <w:p w14:paraId="40ED5399" w14:textId="77777777" w:rsidR="00A51F4B" w:rsidRPr="00110D6C" w:rsidRDefault="00A51F4B" w:rsidP="00A17623">
      <w:pPr>
        <w:widowControl/>
        <w:rPr>
          <w:rFonts w:cs="Times New Roman"/>
          <w:color w:val="auto"/>
          <w:szCs w:val="22"/>
          <w:lang w:val="pt-PT"/>
        </w:rPr>
      </w:pPr>
    </w:p>
    <w:p w14:paraId="6BACFCA8" w14:textId="6C45F473"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Se não tem a certeza se algum dos pontos anteriores se aplica ao seu caso, fale com o seu médico ou farmacêutico antes de utilizar </w:t>
      </w:r>
      <w:r w:rsidR="00D50CFA">
        <w:rPr>
          <w:rFonts w:cs="Times New Roman"/>
          <w:color w:val="auto"/>
          <w:szCs w:val="22"/>
          <w:lang w:val="pt-PT"/>
        </w:rPr>
        <w:t>Fymskina</w:t>
      </w:r>
      <w:r w:rsidRPr="00110D6C">
        <w:rPr>
          <w:rFonts w:cs="Times New Roman"/>
          <w:color w:val="auto"/>
          <w:szCs w:val="22"/>
          <w:lang w:val="pt-PT"/>
        </w:rPr>
        <w:t>.</w:t>
      </w:r>
    </w:p>
    <w:p w14:paraId="66659E55" w14:textId="77777777" w:rsidR="00A51F4B" w:rsidRPr="00110D6C" w:rsidRDefault="00A51F4B" w:rsidP="00A17623">
      <w:pPr>
        <w:widowControl/>
        <w:rPr>
          <w:rFonts w:cs="Times New Roman"/>
          <w:color w:val="auto"/>
          <w:szCs w:val="22"/>
          <w:lang w:val="pt-PT"/>
        </w:rPr>
      </w:pPr>
    </w:p>
    <w:p w14:paraId="637812E5"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Alguns doentes apresentaram reações do tipo lúpus, incluindo lúpus cutâneo ou síndrome do tipo lúpus, durante o tratamento com ustecinumab. Fale com o seu médico imediatamente se apresentar uma erupção cutânea avermelhada, saliente e descamativa, por vezes com um rebordo mais escuro, em áreas da pele que estão expostas ao sol, ou se tiver dores articulares.</w:t>
      </w:r>
    </w:p>
    <w:p w14:paraId="1079CA3D" w14:textId="77777777" w:rsidR="00A51F4B" w:rsidRPr="00110D6C" w:rsidRDefault="00A51F4B" w:rsidP="00A17623">
      <w:pPr>
        <w:widowControl/>
        <w:rPr>
          <w:rFonts w:cs="Times New Roman"/>
          <w:bCs/>
          <w:color w:val="auto"/>
          <w:szCs w:val="22"/>
          <w:lang w:val="pt-PT"/>
        </w:rPr>
      </w:pPr>
      <w:bookmarkStart w:id="101" w:name="bookmark175"/>
    </w:p>
    <w:p w14:paraId="2B5040FB"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Ataque cardíaco e acidente vascular cerebral (AVC)</w:t>
      </w:r>
      <w:bookmarkEnd w:id="101"/>
    </w:p>
    <w:p w14:paraId="40D9A737" w14:textId="52BFC4B4"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Foram observados casos de ataque cardíaco e AVC num estudo em doentes com psoríase tratados com </w:t>
      </w:r>
      <w:r w:rsidR="003A5D75">
        <w:rPr>
          <w:rFonts w:cs="Times New Roman"/>
          <w:color w:val="auto"/>
          <w:szCs w:val="22"/>
          <w:lang w:val="pt-PT"/>
        </w:rPr>
        <w:t>ustecinumab</w:t>
      </w:r>
      <w:r w:rsidRPr="00110D6C">
        <w:rPr>
          <w:rFonts w:cs="Times New Roman"/>
          <w:color w:val="auto"/>
          <w:szCs w:val="22"/>
          <w:lang w:val="pt-PT"/>
        </w:rPr>
        <w:t>. O seu médico irá verificar regularmente os seus fatores de risco quanto a doença cardíaca e AVC, para garantir que são tratados adequadamente. Procure assistência médica imediatamente se desenvolver dores no peito, fraqueza ou sensação anormal num dos lados do corpo, face descaída ou anomalias visuais ou da fala.</w:t>
      </w:r>
    </w:p>
    <w:p w14:paraId="78F0AE23" w14:textId="77777777" w:rsidR="00A51F4B" w:rsidRPr="00110D6C" w:rsidRDefault="00A51F4B" w:rsidP="00A17623">
      <w:pPr>
        <w:widowControl/>
        <w:rPr>
          <w:rFonts w:cs="Times New Roman"/>
          <w:bCs/>
          <w:color w:val="auto"/>
          <w:szCs w:val="22"/>
          <w:lang w:val="pt-PT"/>
        </w:rPr>
      </w:pPr>
      <w:bookmarkStart w:id="102" w:name="bookmark177"/>
    </w:p>
    <w:p w14:paraId="445567A8"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Crianças e adolescentes</w:t>
      </w:r>
      <w:bookmarkEnd w:id="102"/>
    </w:p>
    <w:p w14:paraId="1B766416" w14:textId="62ADB762" w:rsidR="0077031F" w:rsidRPr="00110D6C" w:rsidRDefault="00D50CFA" w:rsidP="00A17623">
      <w:pPr>
        <w:widowControl/>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não é recomendado para utilização em crianças com idade inferior a 1</w:t>
      </w:r>
      <w:r w:rsidR="00B910F9" w:rsidRPr="00110D6C">
        <w:rPr>
          <w:rFonts w:cs="Times New Roman"/>
          <w:color w:val="auto"/>
          <w:szCs w:val="22"/>
          <w:lang w:val="pt-PT"/>
        </w:rPr>
        <w:t>8 </w:t>
      </w:r>
      <w:r w:rsidR="00030085" w:rsidRPr="00110D6C">
        <w:rPr>
          <w:rFonts w:cs="Times New Roman"/>
          <w:color w:val="auto"/>
          <w:szCs w:val="22"/>
          <w:lang w:val="pt-PT"/>
        </w:rPr>
        <w:t>anos com doença de Crohn porque não foi estudado nesse grupo etário.</w:t>
      </w:r>
    </w:p>
    <w:p w14:paraId="27EA617B" w14:textId="77777777" w:rsidR="00A51F4B" w:rsidRPr="00110D6C" w:rsidRDefault="00A51F4B" w:rsidP="00A17623">
      <w:pPr>
        <w:widowControl/>
        <w:rPr>
          <w:rFonts w:cs="Times New Roman"/>
          <w:bCs/>
          <w:color w:val="auto"/>
          <w:szCs w:val="22"/>
          <w:lang w:val="pt-PT"/>
        </w:rPr>
      </w:pPr>
      <w:bookmarkStart w:id="103" w:name="bookmark179"/>
    </w:p>
    <w:p w14:paraId="65AA7C14" w14:textId="2E01079E"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Outros medicamentos, vacinas e </w:t>
      </w:r>
      <w:bookmarkEnd w:id="103"/>
      <w:r w:rsidR="00D50CFA">
        <w:rPr>
          <w:rFonts w:cs="Times New Roman"/>
          <w:b/>
          <w:bCs/>
          <w:color w:val="auto"/>
          <w:szCs w:val="22"/>
          <w:lang w:val="pt-PT"/>
        </w:rPr>
        <w:t>Fymskina</w:t>
      </w:r>
    </w:p>
    <w:p w14:paraId="586707A5"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Informe o seu médico ou farmacêutico:</w:t>
      </w:r>
    </w:p>
    <w:p w14:paraId="039D32DD" w14:textId="77777777" w:rsidR="0077031F" w:rsidRPr="00110D6C" w:rsidRDefault="00030085" w:rsidP="00D74B6E">
      <w:pPr>
        <w:pStyle w:val="Listenabsatz"/>
        <w:widowControl/>
        <w:numPr>
          <w:ilvl w:val="0"/>
          <w:numId w:val="5"/>
        </w:numPr>
        <w:ind w:left="567" w:hanging="567"/>
        <w:rPr>
          <w:rFonts w:cs="Times New Roman"/>
          <w:color w:val="auto"/>
          <w:szCs w:val="22"/>
          <w:lang w:val="pt-PT"/>
        </w:rPr>
      </w:pPr>
      <w:r w:rsidRPr="00110D6C">
        <w:rPr>
          <w:rFonts w:cs="Times New Roman"/>
          <w:color w:val="auto"/>
          <w:szCs w:val="22"/>
          <w:lang w:val="pt-PT"/>
        </w:rPr>
        <w:t>Se estiver a tomar, tiver tomado recentemente ou vier a tomar outros medicamentos</w:t>
      </w:r>
    </w:p>
    <w:p w14:paraId="40B50DAB" w14:textId="4B19C216" w:rsidR="0077031F" w:rsidRPr="00110D6C" w:rsidRDefault="00030085" w:rsidP="00D74B6E">
      <w:pPr>
        <w:pStyle w:val="Listenabsatz"/>
        <w:widowControl/>
        <w:numPr>
          <w:ilvl w:val="0"/>
          <w:numId w:val="6"/>
        </w:numPr>
        <w:ind w:left="567" w:hanging="567"/>
        <w:rPr>
          <w:rFonts w:cs="Times New Roman"/>
          <w:color w:val="auto"/>
          <w:szCs w:val="22"/>
          <w:lang w:val="pt-PT"/>
        </w:rPr>
      </w:pPr>
      <w:r w:rsidRPr="00110D6C">
        <w:rPr>
          <w:rFonts w:cs="Times New Roman"/>
          <w:color w:val="auto"/>
          <w:szCs w:val="22"/>
          <w:lang w:val="pt-PT"/>
        </w:rPr>
        <w:lastRenderedPageBreak/>
        <w:t>Se foi recentemente ou vai ser vacinado. Alguns tipos de vacinas (vacinas vivas) não devem ser</w:t>
      </w:r>
      <w:r w:rsidR="00A51F4B" w:rsidRPr="00110D6C">
        <w:rPr>
          <w:rFonts w:cs="Times New Roman"/>
          <w:color w:val="auto"/>
          <w:szCs w:val="22"/>
          <w:lang w:val="pt-PT"/>
        </w:rPr>
        <w:t xml:space="preserve"> </w:t>
      </w:r>
      <w:r w:rsidRPr="00110D6C">
        <w:rPr>
          <w:rFonts w:cs="Times New Roman"/>
          <w:color w:val="auto"/>
          <w:szCs w:val="22"/>
          <w:lang w:val="pt-PT"/>
        </w:rPr>
        <w:t xml:space="preserve">administradas enquanto estiver em tratamento com </w:t>
      </w:r>
      <w:r w:rsidR="00D50CFA">
        <w:rPr>
          <w:rFonts w:cs="Times New Roman"/>
          <w:color w:val="auto"/>
          <w:szCs w:val="22"/>
          <w:lang w:val="pt-PT"/>
        </w:rPr>
        <w:t>Fymskina</w:t>
      </w:r>
      <w:r w:rsidRPr="00110D6C">
        <w:rPr>
          <w:rFonts w:cs="Times New Roman"/>
          <w:color w:val="auto"/>
          <w:szCs w:val="22"/>
          <w:lang w:val="pt-PT"/>
        </w:rPr>
        <w:t>.</w:t>
      </w:r>
    </w:p>
    <w:p w14:paraId="7CDA3A99" w14:textId="3D610B7C" w:rsidR="0077031F" w:rsidRPr="00110D6C" w:rsidRDefault="00030085" w:rsidP="00D74B6E">
      <w:pPr>
        <w:pStyle w:val="Listenabsatz"/>
        <w:widowControl/>
        <w:numPr>
          <w:ilvl w:val="0"/>
          <w:numId w:val="6"/>
        </w:numPr>
        <w:ind w:left="567" w:hanging="567"/>
        <w:rPr>
          <w:rFonts w:cs="Times New Roman"/>
          <w:color w:val="auto"/>
          <w:szCs w:val="22"/>
          <w:lang w:val="pt-PT"/>
        </w:rPr>
      </w:pPr>
      <w:r w:rsidRPr="00110D6C">
        <w:rPr>
          <w:rFonts w:cs="Times New Roman"/>
          <w:color w:val="auto"/>
          <w:szCs w:val="22"/>
          <w:lang w:val="pt-PT"/>
        </w:rPr>
        <w:t xml:space="preserve">Se tiver recebido </w:t>
      </w:r>
      <w:r w:rsidR="00D50CFA">
        <w:rPr>
          <w:rFonts w:cs="Times New Roman"/>
          <w:color w:val="auto"/>
          <w:szCs w:val="22"/>
          <w:lang w:val="pt-PT"/>
        </w:rPr>
        <w:t>Fymskina</w:t>
      </w:r>
      <w:r w:rsidRPr="00110D6C">
        <w:rPr>
          <w:rFonts w:cs="Times New Roman"/>
          <w:color w:val="auto"/>
          <w:szCs w:val="22"/>
          <w:lang w:val="pt-PT"/>
        </w:rPr>
        <w:t xml:space="preserve"> durante a gravidez, informe o médico do seu bebé sobre o seu</w:t>
      </w:r>
      <w:r w:rsidR="00A51F4B" w:rsidRPr="00110D6C">
        <w:rPr>
          <w:rFonts w:cs="Times New Roman"/>
          <w:color w:val="auto"/>
          <w:szCs w:val="22"/>
          <w:lang w:val="pt-PT"/>
        </w:rPr>
        <w:t xml:space="preserve"> </w:t>
      </w:r>
      <w:r w:rsidRPr="00110D6C">
        <w:rPr>
          <w:rFonts w:cs="Times New Roman"/>
          <w:color w:val="auto"/>
          <w:szCs w:val="22"/>
          <w:lang w:val="pt-PT"/>
        </w:rPr>
        <w:t xml:space="preserve">tratamento com </w:t>
      </w:r>
      <w:r w:rsidR="00D50CFA">
        <w:rPr>
          <w:rFonts w:cs="Times New Roman"/>
          <w:color w:val="auto"/>
          <w:szCs w:val="22"/>
          <w:lang w:val="pt-PT"/>
        </w:rPr>
        <w:t>Fymskina</w:t>
      </w:r>
      <w:r w:rsidRPr="00110D6C">
        <w:rPr>
          <w:rFonts w:cs="Times New Roman"/>
          <w:color w:val="auto"/>
          <w:szCs w:val="22"/>
          <w:lang w:val="pt-PT"/>
        </w:rPr>
        <w:t xml:space="preserve"> antes de o bebé receber qualquer vacina, incluindo vacinas vivas, tais como a vacina BCG (utilizada para prevenir a tuberculose). As vacinas vivas não são recomendadas para o seu bebé nos primeiros </w:t>
      </w:r>
      <w:r w:rsidR="0053717D">
        <w:rPr>
          <w:rFonts w:cs="Times New Roman"/>
          <w:color w:val="auto"/>
          <w:szCs w:val="22"/>
          <w:lang w:val="pt-PT"/>
        </w:rPr>
        <w:t>doze</w:t>
      </w:r>
      <w:r w:rsidR="0053717D" w:rsidRPr="00110D6C">
        <w:rPr>
          <w:rFonts w:cs="Times New Roman"/>
          <w:color w:val="auto"/>
          <w:szCs w:val="22"/>
          <w:lang w:val="pt-PT"/>
        </w:rPr>
        <w:t xml:space="preserve"> </w:t>
      </w:r>
      <w:r w:rsidRPr="00110D6C">
        <w:rPr>
          <w:rFonts w:cs="Times New Roman"/>
          <w:color w:val="auto"/>
          <w:szCs w:val="22"/>
          <w:lang w:val="pt-PT"/>
        </w:rPr>
        <w:t xml:space="preserve">meses após o nascimento se tiver recebido </w:t>
      </w:r>
      <w:r w:rsidR="00D50CFA">
        <w:rPr>
          <w:rFonts w:cs="Times New Roman"/>
          <w:color w:val="auto"/>
          <w:szCs w:val="22"/>
          <w:lang w:val="pt-PT"/>
        </w:rPr>
        <w:t>Fymskina</w:t>
      </w:r>
      <w:r w:rsidRPr="00110D6C">
        <w:rPr>
          <w:rFonts w:cs="Times New Roman"/>
          <w:color w:val="auto"/>
          <w:szCs w:val="22"/>
          <w:lang w:val="pt-PT"/>
        </w:rPr>
        <w:t xml:space="preserve"> durante a gravidez, exceto se o médico do seu bebé recomendar o contrário.</w:t>
      </w:r>
    </w:p>
    <w:p w14:paraId="5B070BD9" w14:textId="77777777" w:rsidR="00A51F4B" w:rsidRPr="00110D6C" w:rsidRDefault="00A51F4B" w:rsidP="00A17623">
      <w:pPr>
        <w:widowControl/>
        <w:rPr>
          <w:rFonts w:cs="Times New Roman"/>
          <w:bCs/>
          <w:color w:val="auto"/>
          <w:szCs w:val="22"/>
          <w:lang w:val="pt-PT"/>
        </w:rPr>
      </w:pPr>
      <w:bookmarkStart w:id="104" w:name="bookmark181"/>
    </w:p>
    <w:p w14:paraId="385E5EDF"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Gravidez e aleitamento</w:t>
      </w:r>
      <w:bookmarkEnd w:id="104"/>
    </w:p>
    <w:p w14:paraId="508F9202" w14:textId="77777777" w:rsidR="002F6714" w:rsidRDefault="002F6714" w:rsidP="002F6714">
      <w:pPr>
        <w:pStyle w:val="Endnotentext"/>
        <w:numPr>
          <w:ilvl w:val="1"/>
          <w:numId w:val="23"/>
        </w:numPr>
        <w:ind w:left="567" w:hanging="567"/>
      </w:pPr>
      <w:r>
        <w:t>S</w:t>
      </w:r>
      <w:r w:rsidRPr="00C4648D">
        <w:t>e está grávida, se pensa estar grávida ou planeia engravidar</w:t>
      </w:r>
      <w:r>
        <w:t>, peça aconselhamento ao seu médico antes de tomar este medicamento.</w:t>
      </w:r>
    </w:p>
    <w:p w14:paraId="2EE13F41" w14:textId="7973A814" w:rsidR="002F6714" w:rsidRDefault="002F6714" w:rsidP="002F6714">
      <w:pPr>
        <w:pStyle w:val="Endnotentext"/>
        <w:numPr>
          <w:ilvl w:val="1"/>
          <w:numId w:val="23"/>
        </w:numPr>
        <w:ind w:left="567" w:hanging="567"/>
      </w:pPr>
      <w:r>
        <w:t>Não foi observado um risco aumentado de defeitos à nascença em bebés expostos a</w:t>
      </w:r>
      <w:r w:rsidR="00AB1957">
        <w:t>o</w:t>
      </w:r>
      <w:r>
        <w:t xml:space="preserve"> ustecinumab no útero. No entanto, existe experiência limitada com </w:t>
      </w:r>
      <w:r w:rsidR="00AB1957">
        <w:t xml:space="preserve">ustecinumab </w:t>
      </w:r>
      <w:r>
        <w:t>em mulheres grávidas</w:t>
      </w:r>
      <w:r w:rsidRPr="00F01627">
        <w:t xml:space="preserve">. É, por isso, preferível evitar a utilização de </w:t>
      </w:r>
      <w:r>
        <w:t>Fymskina</w:t>
      </w:r>
      <w:r w:rsidRPr="00F01627">
        <w:t xml:space="preserve"> na gravidez.</w:t>
      </w:r>
    </w:p>
    <w:p w14:paraId="176A5F17" w14:textId="57B2E1A3" w:rsidR="0077031F" w:rsidRPr="00110D6C" w:rsidRDefault="00030085" w:rsidP="00D74B6E">
      <w:pPr>
        <w:pStyle w:val="Listenabsatz"/>
        <w:widowControl/>
        <w:numPr>
          <w:ilvl w:val="0"/>
          <w:numId w:val="6"/>
        </w:numPr>
        <w:ind w:left="567" w:hanging="567"/>
        <w:rPr>
          <w:rFonts w:cs="Times New Roman"/>
          <w:color w:val="auto"/>
          <w:szCs w:val="22"/>
          <w:lang w:val="pt-PT"/>
        </w:rPr>
      </w:pPr>
      <w:r w:rsidRPr="00110D6C">
        <w:rPr>
          <w:rFonts w:cs="Times New Roman"/>
          <w:color w:val="auto"/>
          <w:szCs w:val="22"/>
          <w:lang w:val="pt-PT"/>
        </w:rPr>
        <w:t xml:space="preserve">Se é uma mulher em risco de engravidar, é aconselhada a evitar ficar grávida e deverá utilizar um método contracetivo durante o tratamento com </w:t>
      </w:r>
      <w:r w:rsidR="00D50CFA">
        <w:rPr>
          <w:rFonts w:cs="Times New Roman"/>
          <w:color w:val="auto"/>
          <w:szCs w:val="22"/>
          <w:lang w:val="pt-PT"/>
        </w:rPr>
        <w:t>Fymskina</w:t>
      </w:r>
      <w:r w:rsidRPr="00110D6C">
        <w:rPr>
          <w:rFonts w:cs="Times New Roman"/>
          <w:color w:val="auto"/>
          <w:szCs w:val="22"/>
          <w:lang w:val="pt-PT"/>
        </w:rPr>
        <w:t xml:space="preserve"> e até 1</w:t>
      </w:r>
      <w:r w:rsidR="00B910F9" w:rsidRPr="00110D6C">
        <w:rPr>
          <w:rFonts w:cs="Times New Roman"/>
          <w:color w:val="auto"/>
          <w:szCs w:val="22"/>
          <w:lang w:val="pt-PT"/>
        </w:rPr>
        <w:t>5 </w:t>
      </w:r>
      <w:r w:rsidRPr="00110D6C">
        <w:rPr>
          <w:rFonts w:cs="Times New Roman"/>
          <w:color w:val="auto"/>
          <w:szCs w:val="22"/>
          <w:lang w:val="pt-PT"/>
        </w:rPr>
        <w:t xml:space="preserve">semanas após a última administração de </w:t>
      </w:r>
      <w:r w:rsidR="00D50CFA">
        <w:rPr>
          <w:rFonts w:cs="Times New Roman"/>
          <w:color w:val="auto"/>
          <w:szCs w:val="22"/>
          <w:lang w:val="pt-PT"/>
        </w:rPr>
        <w:t>Fymskina</w:t>
      </w:r>
      <w:r w:rsidRPr="00110D6C">
        <w:rPr>
          <w:rFonts w:cs="Times New Roman"/>
          <w:color w:val="auto"/>
          <w:szCs w:val="22"/>
          <w:lang w:val="pt-PT"/>
        </w:rPr>
        <w:t>.</w:t>
      </w:r>
    </w:p>
    <w:p w14:paraId="22BC7335" w14:textId="581CE603" w:rsidR="0077031F" w:rsidRPr="00110D6C" w:rsidRDefault="00D50CFA" w:rsidP="00D74B6E">
      <w:pPr>
        <w:pStyle w:val="Listenabsatz"/>
        <w:widowControl/>
        <w:numPr>
          <w:ilvl w:val="0"/>
          <w:numId w:val="6"/>
        </w:numPr>
        <w:ind w:left="567" w:hanging="567"/>
        <w:rPr>
          <w:rFonts w:cs="Times New Roman"/>
          <w:color w:val="auto"/>
          <w:szCs w:val="22"/>
          <w:lang w:val="pt-PT"/>
        </w:rPr>
      </w:pPr>
      <w:r>
        <w:rPr>
          <w:rFonts w:cs="Times New Roman"/>
          <w:color w:val="auto"/>
          <w:szCs w:val="22"/>
          <w:lang w:val="pt-PT"/>
        </w:rPr>
        <w:t>O u</w:t>
      </w:r>
      <w:r w:rsidRPr="00110D6C">
        <w:rPr>
          <w:rFonts w:cs="Times New Roman"/>
          <w:color w:val="auto"/>
          <w:szCs w:val="22"/>
          <w:lang w:val="pt-PT"/>
        </w:rPr>
        <w:t>stecinumab</w:t>
      </w:r>
      <w:r w:rsidR="00030085" w:rsidRPr="00110D6C">
        <w:rPr>
          <w:rFonts w:cs="Times New Roman"/>
          <w:color w:val="auto"/>
          <w:szCs w:val="22"/>
          <w:lang w:val="pt-PT"/>
        </w:rPr>
        <w:t xml:space="preserve"> pode passar através da placenta para o feto. Se tiver recebido </w:t>
      </w:r>
      <w:r>
        <w:rPr>
          <w:rFonts w:cs="Times New Roman"/>
          <w:color w:val="auto"/>
          <w:szCs w:val="22"/>
          <w:lang w:val="pt-PT"/>
        </w:rPr>
        <w:t>Fymskina</w:t>
      </w:r>
      <w:r w:rsidR="00030085" w:rsidRPr="00110D6C">
        <w:rPr>
          <w:rFonts w:cs="Times New Roman"/>
          <w:color w:val="auto"/>
          <w:szCs w:val="22"/>
          <w:lang w:val="pt-PT"/>
        </w:rPr>
        <w:t xml:space="preserve"> durante a sua</w:t>
      </w:r>
      <w:r w:rsidR="00A51F4B" w:rsidRPr="00110D6C">
        <w:rPr>
          <w:rFonts w:cs="Times New Roman"/>
          <w:color w:val="auto"/>
          <w:szCs w:val="22"/>
          <w:lang w:val="pt-PT"/>
        </w:rPr>
        <w:t xml:space="preserve"> </w:t>
      </w:r>
      <w:r w:rsidR="00030085" w:rsidRPr="00110D6C">
        <w:rPr>
          <w:rFonts w:cs="Times New Roman"/>
          <w:color w:val="auto"/>
          <w:szCs w:val="22"/>
          <w:lang w:val="pt-PT"/>
        </w:rPr>
        <w:t>gravidez, o seu bebé poderá ter um maior risco de sofrer uma infeção.</w:t>
      </w:r>
    </w:p>
    <w:p w14:paraId="329C7206" w14:textId="4F026891" w:rsidR="0077031F" w:rsidRPr="00110D6C" w:rsidRDefault="00030085" w:rsidP="00D74B6E">
      <w:pPr>
        <w:pStyle w:val="Listenabsatz"/>
        <w:widowControl/>
        <w:numPr>
          <w:ilvl w:val="0"/>
          <w:numId w:val="6"/>
        </w:numPr>
        <w:ind w:left="567" w:hanging="567"/>
        <w:rPr>
          <w:rFonts w:cs="Times New Roman"/>
          <w:color w:val="auto"/>
          <w:szCs w:val="22"/>
          <w:lang w:val="pt-PT"/>
        </w:rPr>
      </w:pPr>
      <w:r w:rsidRPr="00110D6C">
        <w:rPr>
          <w:rFonts w:cs="Times New Roman"/>
          <w:color w:val="auto"/>
          <w:szCs w:val="22"/>
          <w:lang w:val="pt-PT"/>
        </w:rPr>
        <w:t>É importante que diga aos médicos do seu bebé e a outros profissionais de saúde se tiver</w:t>
      </w:r>
      <w:r w:rsidR="00A51F4B" w:rsidRPr="00110D6C">
        <w:rPr>
          <w:rFonts w:cs="Times New Roman"/>
          <w:color w:val="auto"/>
          <w:szCs w:val="22"/>
          <w:lang w:val="pt-PT"/>
        </w:rPr>
        <w:t xml:space="preserve"> </w:t>
      </w:r>
      <w:r w:rsidRPr="00110D6C">
        <w:rPr>
          <w:rFonts w:cs="Times New Roman"/>
          <w:color w:val="auto"/>
          <w:szCs w:val="22"/>
          <w:lang w:val="pt-PT"/>
        </w:rPr>
        <w:t xml:space="preserve">recebido </w:t>
      </w:r>
      <w:r w:rsidR="00D50CFA">
        <w:rPr>
          <w:rFonts w:cs="Times New Roman"/>
          <w:color w:val="auto"/>
          <w:szCs w:val="22"/>
          <w:lang w:val="pt-PT"/>
        </w:rPr>
        <w:t>Fymskina</w:t>
      </w:r>
      <w:r w:rsidRPr="00110D6C">
        <w:rPr>
          <w:rFonts w:cs="Times New Roman"/>
          <w:color w:val="auto"/>
          <w:szCs w:val="22"/>
          <w:lang w:val="pt-PT"/>
        </w:rPr>
        <w:t xml:space="preserve"> durante a sua gravidez antes de o bebé receber qualquer vacina. As vacinas vivas, tais como a vacina BCG (utilizada para prevenir a tuberculose) não são recomendadas para o seu bebé nos primeiros </w:t>
      </w:r>
      <w:r w:rsidR="0053717D">
        <w:rPr>
          <w:rFonts w:cs="Times New Roman"/>
          <w:color w:val="auto"/>
          <w:szCs w:val="22"/>
          <w:lang w:val="pt-PT"/>
        </w:rPr>
        <w:t>doze</w:t>
      </w:r>
      <w:r w:rsidR="0053717D" w:rsidRPr="00110D6C">
        <w:rPr>
          <w:rFonts w:cs="Times New Roman"/>
          <w:color w:val="auto"/>
          <w:szCs w:val="22"/>
          <w:lang w:val="pt-PT"/>
        </w:rPr>
        <w:t xml:space="preserve"> </w:t>
      </w:r>
      <w:r w:rsidRPr="00110D6C">
        <w:rPr>
          <w:rFonts w:cs="Times New Roman"/>
          <w:color w:val="auto"/>
          <w:szCs w:val="22"/>
          <w:lang w:val="pt-PT"/>
        </w:rPr>
        <w:t xml:space="preserve">meses após o nascimento se tiver recebido </w:t>
      </w:r>
      <w:r w:rsidR="00D50CFA">
        <w:rPr>
          <w:rFonts w:cs="Times New Roman"/>
          <w:color w:val="auto"/>
          <w:szCs w:val="22"/>
          <w:lang w:val="pt-PT"/>
        </w:rPr>
        <w:t>Fymskina</w:t>
      </w:r>
      <w:r w:rsidRPr="00110D6C">
        <w:rPr>
          <w:rFonts w:cs="Times New Roman"/>
          <w:color w:val="auto"/>
          <w:szCs w:val="22"/>
          <w:lang w:val="pt-PT"/>
        </w:rPr>
        <w:t xml:space="preserve"> durante a gravidez, exceto se o médico do seu bebé recomendar o contrário.</w:t>
      </w:r>
    </w:p>
    <w:p w14:paraId="36CF2BBE" w14:textId="723836DA" w:rsidR="0077031F" w:rsidRPr="00110D6C" w:rsidRDefault="00030085" w:rsidP="00D74B6E">
      <w:pPr>
        <w:pStyle w:val="Listenabsatz"/>
        <w:widowControl/>
        <w:numPr>
          <w:ilvl w:val="0"/>
          <w:numId w:val="6"/>
        </w:numPr>
        <w:ind w:left="567" w:hanging="567"/>
        <w:rPr>
          <w:rFonts w:cs="Times New Roman"/>
          <w:color w:val="auto"/>
          <w:szCs w:val="22"/>
          <w:lang w:val="pt-PT"/>
        </w:rPr>
      </w:pPr>
      <w:r w:rsidRPr="00110D6C">
        <w:rPr>
          <w:rFonts w:cs="Times New Roman"/>
          <w:color w:val="auto"/>
          <w:szCs w:val="22"/>
          <w:lang w:val="pt-PT"/>
        </w:rPr>
        <w:t>O ustecinumab pode passar para o leite materno em quantidades muito reduzidas. Fale com o</w:t>
      </w:r>
      <w:r w:rsidR="00A51F4B" w:rsidRPr="00110D6C">
        <w:rPr>
          <w:rFonts w:cs="Times New Roman"/>
          <w:color w:val="auto"/>
          <w:szCs w:val="22"/>
          <w:lang w:val="pt-PT"/>
        </w:rPr>
        <w:t xml:space="preserve"> </w:t>
      </w:r>
      <w:r w:rsidRPr="00110D6C">
        <w:rPr>
          <w:rFonts w:cs="Times New Roman"/>
          <w:color w:val="auto"/>
          <w:szCs w:val="22"/>
          <w:lang w:val="pt-PT"/>
        </w:rPr>
        <w:t xml:space="preserve">seu médico se está a amamentar ou se planeia amamentar. Você e o seu médico devem decidir se deve amamentar ou utilizar </w:t>
      </w:r>
      <w:r w:rsidR="00D50CFA">
        <w:rPr>
          <w:rFonts w:cs="Times New Roman"/>
          <w:color w:val="auto"/>
          <w:szCs w:val="22"/>
          <w:lang w:val="pt-PT"/>
        </w:rPr>
        <w:t>Fymskina</w:t>
      </w:r>
      <w:r w:rsidRPr="00110D6C">
        <w:rPr>
          <w:rFonts w:cs="Times New Roman"/>
          <w:color w:val="auto"/>
          <w:szCs w:val="22"/>
          <w:lang w:val="pt-PT"/>
        </w:rPr>
        <w:t xml:space="preserve"> - não faça ambos.</w:t>
      </w:r>
    </w:p>
    <w:p w14:paraId="44CDF084" w14:textId="77777777" w:rsidR="00A51F4B" w:rsidRPr="00110D6C" w:rsidRDefault="00A51F4B" w:rsidP="00A17623">
      <w:pPr>
        <w:widowControl/>
        <w:rPr>
          <w:rFonts w:cs="Times New Roman"/>
          <w:bCs/>
          <w:color w:val="auto"/>
          <w:szCs w:val="22"/>
          <w:lang w:val="pt-PT"/>
        </w:rPr>
      </w:pPr>
      <w:bookmarkStart w:id="105" w:name="bookmark183"/>
    </w:p>
    <w:p w14:paraId="2B90BF49"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Condução de veículos e utilização de máquinas</w:t>
      </w:r>
      <w:bookmarkEnd w:id="105"/>
    </w:p>
    <w:p w14:paraId="6B072A5C" w14:textId="719D2F05"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Os efeitos de </w:t>
      </w:r>
      <w:r w:rsidR="00D50CFA">
        <w:rPr>
          <w:rFonts w:cs="Times New Roman"/>
          <w:color w:val="auto"/>
          <w:szCs w:val="22"/>
          <w:lang w:val="pt-PT"/>
        </w:rPr>
        <w:t>Fymskina</w:t>
      </w:r>
      <w:r w:rsidRPr="00110D6C">
        <w:rPr>
          <w:rFonts w:cs="Times New Roman"/>
          <w:color w:val="auto"/>
          <w:szCs w:val="22"/>
          <w:lang w:val="pt-PT"/>
        </w:rPr>
        <w:t xml:space="preserve"> sobre a capacidade de conduzir ou utilizar máquinas são nulos ou desprezáveis.</w:t>
      </w:r>
    </w:p>
    <w:p w14:paraId="0CF0F945" w14:textId="77777777" w:rsidR="00A51F4B" w:rsidRPr="00110D6C" w:rsidRDefault="00A51F4B" w:rsidP="00A17623">
      <w:pPr>
        <w:widowControl/>
        <w:rPr>
          <w:rFonts w:cs="Times New Roman"/>
          <w:bCs/>
          <w:color w:val="auto"/>
          <w:szCs w:val="22"/>
          <w:lang w:val="pt-PT"/>
        </w:rPr>
      </w:pPr>
      <w:bookmarkStart w:id="106" w:name="bookmark185"/>
    </w:p>
    <w:p w14:paraId="13978AA2" w14:textId="3621CD53" w:rsidR="0077031F" w:rsidRPr="00110D6C" w:rsidRDefault="00D50CFA" w:rsidP="00A17623">
      <w:pPr>
        <w:widowControl/>
        <w:rPr>
          <w:rFonts w:cs="Times New Roman"/>
          <w:color w:val="auto"/>
          <w:szCs w:val="22"/>
          <w:lang w:val="pt-PT"/>
        </w:rPr>
      </w:pPr>
      <w:r>
        <w:rPr>
          <w:rFonts w:cs="Times New Roman"/>
          <w:b/>
          <w:bCs/>
          <w:color w:val="auto"/>
          <w:szCs w:val="22"/>
          <w:lang w:val="pt-PT"/>
        </w:rPr>
        <w:t>Fymskina</w:t>
      </w:r>
      <w:r w:rsidR="00030085" w:rsidRPr="00110D6C">
        <w:rPr>
          <w:rFonts w:cs="Times New Roman"/>
          <w:b/>
          <w:bCs/>
          <w:color w:val="auto"/>
          <w:szCs w:val="22"/>
          <w:lang w:val="pt-PT"/>
        </w:rPr>
        <w:t xml:space="preserve"> contém sódio</w:t>
      </w:r>
      <w:bookmarkEnd w:id="106"/>
    </w:p>
    <w:p w14:paraId="315B87D4" w14:textId="3CC271D1" w:rsidR="0077031F" w:rsidRPr="00110D6C" w:rsidRDefault="00D50CFA" w:rsidP="00A17623">
      <w:pPr>
        <w:widowControl/>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contém menos do que </w:t>
      </w:r>
      <w:r w:rsidR="00B910F9" w:rsidRPr="00110D6C">
        <w:rPr>
          <w:rFonts w:cs="Times New Roman"/>
          <w:color w:val="auto"/>
          <w:szCs w:val="22"/>
          <w:lang w:val="pt-PT"/>
        </w:rPr>
        <w:t>1 </w:t>
      </w:r>
      <w:r w:rsidR="00030085" w:rsidRPr="00110D6C">
        <w:rPr>
          <w:rFonts w:cs="Times New Roman"/>
          <w:color w:val="auto"/>
          <w:szCs w:val="22"/>
          <w:lang w:val="pt-PT"/>
        </w:rPr>
        <w:t>mmol (2</w:t>
      </w:r>
      <w:r w:rsidR="00B910F9" w:rsidRPr="00110D6C">
        <w:rPr>
          <w:rFonts w:cs="Times New Roman"/>
          <w:color w:val="auto"/>
          <w:szCs w:val="22"/>
          <w:lang w:val="pt-PT"/>
        </w:rPr>
        <w:t>3 </w:t>
      </w:r>
      <w:r w:rsidR="00030085" w:rsidRPr="00110D6C">
        <w:rPr>
          <w:rFonts w:cs="Times New Roman"/>
          <w:color w:val="auto"/>
          <w:szCs w:val="22"/>
          <w:lang w:val="pt-PT"/>
        </w:rPr>
        <w:t>mg) de sódio por dose ou seja, é praticamente “isento de sódio”.</w:t>
      </w:r>
      <w:r w:rsidR="003A5D75">
        <w:rPr>
          <w:rFonts w:cs="Times New Roman"/>
          <w:color w:val="auto"/>
          <w:szCs w:val="22"/>
          <w:lang w:val="pt-PT"/>
        </w:rPr>
        <w:t xml:space="preserve"> </w:t>
      </w:r>
      <w:r w:rsidR="00030085" w:rsidRPr="00110D6C">
        <w:rPr>
          <w:rFonts w:cs="Times New Roman"/>
          <w:color w:val="auto"/>
          <w:szCs w:val="22"/>
          <w:lang w:val="pt-PT"/>
        </w:rPr>
        <w:t xml:space="preserve">No entanto, antes de </w:t>
      </w:r>
      <w:r>
        <w:rPr>
          <w:rFonts w:cs="Times New Roman"/>
          <w:color w:val="auto"/>
          <w:szCs w:val="22"/>
          <w:lang w:val="pt-PT"/>
        </w:rPr>
        <w:t>Fymskina</w:t>
      </w:r>
      <w:r w:rsidR="00030085" w:rsidRPr="00110D6C">
        <w:rPr>
          <w:rFonts w:cs="Times New Roman"/>
          <w:color w:val="auto"/>
          <w:szCs w:val="22"/>
          <w:lang w:val="pt-PT"/>
        </w:rPr>
        <w:t xml:space="preserve"> lhe ser administrado, é misturado com uma solução que contém sódio. Fale com o seu médico se estiver a fazer uma dieta com pouco sal.</w:t>
      </w:r>
    </w:p>
    <w:p w14:paraId="1F76AF54" w14:textId="77777777" w:rsidR="00A51F4B" w:rsidRPr="00110D6C" w:rsidRDefault="00A51F4B" w:rsidP="00A17623">
      <w:pPr>
        <w:widowControl/>
        <w:rPr>
          <w:rFonts w:cs="Times New Roman"/>
          <w:color w:val="auto"/>
          <w:szCs w:val="22"/>
          <w:lang w:val="pt-PT"/>
        </w:rPr>
      </w:pPr>
    </w:p>
    <w:p w14:paraId="2730DECB" w14:textId="647DE8E5" w:rsidR="00A51F4B" w:rsidRDefault="0053717D" w:rsidP="00A17623">
      <w:pPr>
        <w:widowControl/>
        <w:rPr>
          <w:rFonts w:cs="Times New Roman"/>
          <w:b/>
          <w:bCs/>
          <w:color w:val="auto"/>
          <w:szCs w:val="22"/>
          <w:lang w:val="pt-PT"/>
        </w:rPr>
      </w:pPr>
      <w:r>
        <w:rPr>
          <w:rFonts w:cs="Times New Roman"/>
          <w:b/>
          <w:bCs/>
          <w:color w:val="auto"/>
          <w:szCs w:val="22"/>
          <w:lang w:val="pt-PT"/>
        </w:rPr>
        <w:t>Fymskina</w:t>
      </w:r>
      <w:r w:rsidRPr="00110D6C">
        <w:rPr>
          <w:rFonts w:cs="Times New Roman"/>
          <w:b/>
          <w:bCs/>
          <w:color w:val="auto"/>
          <w:szCs w:val="22"/>
          <w:lang w:val="pt-PT"/>
        </w:rPr>
        <w:t xml:space="preserve"> contém </w:t>
      </w:r>
      <w:r>
        <w:rPr>
          <w:rFonts w:cs="Times New Roman"/>
          <w:b/>
          <w:bCs/>
          <w:color w:val="auto"/>
          <w:szCs w:val="22"/>
          <w:lang w:val="pt-PT"/>
        </w:rPr>
        <w:t>polissorbatos</w:t>
      </w:r>
    </w:p>
    <w:p w14:paraId="5068C90D" w14:textId="6CE9048C" w:rsidR="0053717D" w:rsidRDefault="0053717D" w:rsidP="00A17623">
      <w:pPr>
        <w:widowControl/>
        <w:rPr>
          <w:rFonts w:cs="Times New Roman"/>
          <w:color w:val="auto"/>
          <w:szCs w:val="22"/>
          <w:lang w:val="pt-PT"/>
        </w:rPr>
      </w:pPr>
      <w:r w:rsidRPr="0053717D">
        <w:rPr>
          <w:rFonts w:cs="Times New Roman"/>
          <w:color w:val="auto"/>
          <w:szCs w:val="22"/>
          <w:lang w:val="pt-PT"/>
        </w:rPr>
        <w:t xml:space="preserve">Este medicamento contém </w:t>
      </w:r>
      <w:r>
        <w:rPr>
          <w:rFonts w:cs="Times New Roman"/>
          <w:color w:val="auto"/>
          <w:szCs w:val="22"/>
          <w:lang w:val="pt-PT"/>
        </w:rPr>
        <w:t>10,4 </w:t>
      </w:r>
      <w:r w:rsidRPr="0053717D">
        <w:rPr>
          <w:rFonts w:cs="Times New Roman"/>
          <w:color w:val="auto"/>
          <w:szCs w:val="22"/>
          <w:lang w:val="pt-PT"/>
        </w:rPr>
        <w:t>mg de polissorbato</w:t>
      </w:r>
      <w:r>
        <w:rPr>
          <w:rFonts w:cs="Times New Roman"/>
          <w:color w:val="auto"/>
          <w:szCs w:val="22"/>
          <w:lang w:val="pt-PT"/>
        </w:rPr>
        <w:t> 80</w:t>
      </w:r>
      <w:r w:rsidRPr="0053717D">
        <w:rPr>
          <w:rFonts w:cs="Times New Roman"/>
          <w:color w:val="auto"/>
          <w:szCs w:val="22"/>
          <w:lang w:val="pt-PT"/>
        </w:rPr>
        <w:t xml:space="preserve"> em cada </w:t>
      </w:r>
      <w:r>
        <w:rPr>
          <w:rFonts w:cs="Times New Roman"/>
          <w:color w:val="auto"/>
          <w:szCs w:val="22"/>
          <w:lang w:val="pt-PT"/>
        </w:rPr>
        <w:t xml:space="preserve">frasco para injetáveis de 26 ml, </w:t>
      </w:r>
      <w:r w:rsidRPr="0053717D">
        <w:rPr>
          <w:rFonts w:cs="Times New Roman"/>
          <w:color w:val="auto"/>
          <w:szCs w:val="22"/>
          <w:lang w:val="pt-PT"/>
        </w:rPr>
        <w:t xml:space="preserve">que é equivalente a </w:t>
      </w:r>
      <w:r>
        <w:rPr>
          <w:rFonts w:cs="Times New Roman"/>
          <w:color w:val="auto"/>
          <w:szCs w:val="22"/>
          <w:lang w:val="pt-PT"/>
        </w:rPr>
        <w:t>0,4 mg/ml</w:t>
      </w:r>
      <w:r w:rsidRPr="0053717D">
        <w:rPr>
          <w:rFonts w:cs="Times New Roman"/>
          <w:color w:val="auto"/>
          <w:szCs w:val="22"/>
          <w:lang w:val="pt-PT"/>
        </w:rPr>
        <w:t>. Os polissorbatos podem causar reações alérgicas. Informe o seu médico se tem alguma alergia</w:t>
      </w:r>
      <w:r>
        <w:rPr>
          <w:rFonts w:cs="Times New Roman"/>
          <w:color w:val="auto"/>
          <w:szCs w:val="22"/>
          <w:lang w:val="pt-PT"/>
        </w:rPr>
        <w:t>.</w:t>
      </w:r>
    </w:p>
    <w:p w14:paraId="7ACAE0B2" w14:textId="77777777" w:rsidR="0053717D" w:rsidRDefault="0053717D" w:rsidP="00A17623">
      <w:pPr>
        <w:widowControl/>
        <w:rPr>
          <w:rFonts w:cs="Times New Roman"/>
          <w:color w:val="auto"/>
          <w:szCs w:val="22"/>
          <w:lang w:val="pt-PT"/>
        </w:rPr>
      </w:pPr>
    </w:p>
    <w:p w14:paraId="1EBBE47E" w14:textId="77777777" w:rsidR="0053717D" w:rsidRPr="00110D6C" w:rsidRDefault="0053717D" w:rsidP="00A17623">
      <w:pPr>
        <w:widowControl/>
        <w:rPr>
          <w:rFonts w:cs="Times New Roman"/>
          <w:color w:val="auto"/>
          <w:szCs w:val="22"/>
          <w:lang w:val="pt-PT"/>
        </w:rPr>
      </w:pPr>
    </w:p>
    <w:p w14:paraId="18DFCAD8" w14:textId="0A9526DC" w:rsidR="0077031F" w:rsidRPr="00110D6C" w:rsidRDefault="00DC3C01" w:rsidP="00A17623">
      <w:pPr>
        <w:widowControl/>
        <w:ind w:left="567" w:hanging="567"/>
        <w:rPr>
          <w:rFonts w:cs="Times New Roman"/>
          <w:color w:val="auto"/>
          <w:szCs w:val="22"/>
          <w:lang w:val="pt-PT"/>
        </w:rPr>
      </w:pPr>
      <w:bookmarkStart w:id="107" w:name="bookmark187"/>
      <w:r w:rsidRPr="00110D6C">
        <w:rPr>
          <w:rFonts w:cs="Times New Roman"/>
          <w:b/>
          <w:bCs/>
          <w:color w:val="auto"/>
          <w:szCs w:val="22"/>
          <w:lang w:val="pt-PT"/>
        </w:rPr>
        <w:t>3.</w:t>
      </w:r>
      <w:r w:rsidRPr="00110D6C">
        <w:rPr>
          <w:rFonts w:cs="Times New Roman"/>
          <w:b/>
          <w:bCs/>
          <w:color w:val="auto"/>
          <w:szCs w:val="22"/>
          <w:lang w:val="pt-PT"/>
        </w:rPr>
        <w:tab/>
      </w:r>
      <w:r w:rsidR="00030085" w:rsidRPr="00110D6C">
        <w:rPr>
          <w:rFonts w:cs="Times New Roman"/>
          <w:b/>
          <w:bCs/>
          <w:color w:val="auto"/>
          <w:szCs w:val="22"/>
          <w:lang w:val="pt-PT"/>
        </w:rPr>
        <w:t xml:space="preserve">Como será administrado </w:t>
      </w:r>
      <w:bookmarkEnd w:id="107"/>
      <w:r w:rsidR="00D50CFA">
        <w:rPr>
          <w:rFonts w:cs="Times New Roman"/>
          <w:b/>
          <w:bCs/>
          <w:color w:val="auto"/>
          <w:szCs w:val="22"/>
          <w:lang w:val="pt-PT"/>
        </w:rPr>
        <w:t>Fymskina</w:t>
      </w:r>
    </w:p>
    <w:p w14:paraId="5C7583AE" w14:textId="77777777" w:rsidR="00A51F4B" w:rsidRPr="00110D6C" w:rsidRDefault="00A51F4B" w:rsidP="00A17623">
      <w:pPr>
        <w:widowControl/>
        <w:rPr>
          <w:rFonts w:cs="Times New Roman"/>
          <w:color w:val="auto"/>
          <w:szCs w:val="22"/>
          <w:lang w:val="pt-PT"/>
        </w:rPr>
      </w:pPr>
    </w:p>
    <w:p w14:paraId="2349816E" w14:textId="2A725852" w:rsidR="0077031F" w:rsidRPr="00110D6C" w:rsidRDefault="00D50CFA" w:rsidP="00A17623">
      <w:pPr>
        <w:widowControl/>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deverá ser utilizado sob a orientação e supervisão de um médico com experiência no diagnóstico e tratamento da doença de Crohn.</w:t>
      </w:r>
    </w:p>
    <w:p w14:paraId="55F71CEB" w14:textId="77777777" w:rsidR="00A51F4B" w:rsidRPr="00110D6C" w:rsidRDefault="00A51F4B" w:rsidP="00A17623">
      <w:pPr>
        <w:widowControl/>
        <w:rPr>
          <w:rFonts w:cs="Times New Roman"/>
          <w:color w:val="auto"/>
          <w:szCs w:val="22"/>
          <w:lang w:val="pt-PT"/>
        </w:rPr>
      </w:pPr>
    </w:p>
    <w:p w14:paraId="041D59E9" w14:textId="37F96E8C" w:rsidR="0077031F" w:rsidRPr="00110D6C" w:rsidRDefault="00D50CFA" w:rsidP="00A17623">
      <w:pPr>
        <w:widowControl/>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13</w:t>
      </w:r>
      <w:r w:rsidR="00B910F9" w:rsidRPr="00110D6C">
        <w:rPr>
          <w:rFonts w:cs="Times New Roman"/>
          <w:color w:val="auto"/>
          <w:szCs w:val="22"/>
          <w:lang w:val="pt-PT"/>
        </w:rPr>
        <w:t>0 </w:t>
      </w:r>
      <w:r w:rsidR="00030085" w:rsidRPr="00110D6C">
        <w:rPr>
          <w:rFonts w:cs="Times New Roman"/>
          <w:color w:val="auto"/>
          <w:szCs w:val="22"/>
          <w:lang w:val="pt-PT"/>
        </w:rPr>
        <w:t>mg concentrado para solução para perfusão será administrado pelo seu médico, através de gota-a-gota numa veia do seu braço (perfusão intravenosa) ao longo de, pelo menos, uma hora. Fale com o seu médico sobre quando irá receber as suas injeções e marcar as consultas de seguimento.</w:t>
      </w:r>
    </w:p>
    <w:p w14:paraId="750F00C1" w14:textId="77777777" w:rsidR="00A51F4B" w:rsidRPr="00110D6C" w:rsidRDefault="00A51F4B" w:rsidP="00A17623">
      <w:pPr>
        <w:widowControl/>
        <w:rPr>
          <w:rFonts w:cs="Times New Roman"/>
          <w:bCs/>
          <w:color w:val="auto"/>
          <w:szCs w:val="22"/>
          <w:lang w:val="pt-PT"/>
        </w:rPr>
      </w:pPr>
      <w:bookmarkStart w:id="108" w:name="bookmark189"/>
    </w:p>
    <w:p w14:paraId="5B9CE665" w14:textId="7712C0BB"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Que quantidade de </w:t>
      </w:r>
      <w:r w:rsidR="00D50CFA">
        <w:rPr>
          <w:rFonts w:cs="Times New Roman"/>
          <w:b/>
          <w:bCs/>
          <w:color w:val="auto"/>
          <w:szCs w:val="22"/>
          <w:lang w:val="pt-PT"/>
        </w:rPr>
        <w:t>Fymskina</w:t>
      </w:r>
      <w:r w:rsidRPr="00110D6C">
        <w:rPr>
          <w:rFonts w:cs="Times New Roman"/>
          <w:b/>
          <w:bCs/>
          <w:color w:val="auto"/>
          <w:szCs w:val="22"/>
          <w:lang w:val="pt-PT"/>
        </w:rPr>
        <w:t xml:space="preserve"> é administrada</w:t>
      </w:r>
      <w:bookmarkEnd w:id="108"/>
    </w:p>
    <w:p w14:paraId="2D3F9B51" w14:textId="7EDFA619"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O seu médico decidirá qual a quantidade de </w:t>
      </w:r>
      <w:r w:rsidR="00D50CFA">
        <w:rPr>
          <w:rFonts w:cs="Times New Roman"/>
          <w:color w:val="auto"/>
          <w:szCs w:val="22"/>
          <w:lang w:val="pt-PT"/>
        </w:rPr>
        <w:t>Fymskina</w:t>
      </w:r>
      <w:r w:rsidRPr="00110D6C">
        <w:rPr>
          <w:rFonts w:cs="Times New Roman"/>
          <w:color w:val="auto"/>
          <w:szCs w:val="22"/>
          <w:lang w:val="pt-PT"/>
        </w:rPr>
        <w:t xml:space="preserve"> que necessita receber e durante quanto tempo.</w:t>
      </w:r>
    </w:p>
    <w:p w14:paraId="7C36381B" w14:textId="77777777" w:rsidR="00A51F4B" w:rsidRPr="00110D6C" w:rsidRDefault="00A51F4B" w:rsidP="00A17623">
      <w:pPr>
        <w:widowControl/>
        <w:rPr>
          <w:rFonts w:cs="Times New Roman"/>
          <w:bCs/>
          <w:color w:val="auto"/>
          <w:szCs w:val="22"/>
          <w:lang w:val="pt-PT"/>
        </w:rPr>
      </w:pPr>
      <w:bookmarkStart w:id="109" w:name="bookmark191"/>
    </w:p>
    <w:p w14:paraId="4713612A"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Adultos com idade igual ou superior a 1</w:t>
      </w:r>
      <w:r w:rsidR="00B910F9" w:rsidRPr="00110D6C">
        <w:rPr>
          <w:rFonts w:cs="Times New Roman"/>
          <w:b/>
          <w:bCs/>
          <w:color w:val="auto"/>
          <w:szCs w:val="22"/>
          <w:lang w:val="pt-PT"/>
        </w:rPr>
        <w:t>8 </w:t>
      </w:r>
      <w:r w:rsidRPr="00110D6C">
        <w:rPr>
          <w:rFonts w:cs="Times New Roman"/>
          <w:b/>
          <w:bCs/>
          <w:color w:val="auto"/>
          <w:szCs w:val="22"/>
          <w:lang w:val="pt-PT"/>
        </w:rPr>
        <w:t>anos</w:t>
      </w:r>
      <w:bookmarkEnd w:id="109"/>
    </w:p>
    <w:p w14:paraId="4D835DC0" w14:textId="77777777" w:rsidR="0077031F" w:rsidRPr="00110D6C" w:rsidRDefault="00030085" w:rsidP="00D74B6E">
      <w:pPr>
        <w:pStyle w:val="Listenabsatz"/>
        <w:widowControl/>
        <w:numPr>
          <w:ilvl w:val="0"/>
          <w:numId w:val="6"/>
        </w:numPr>
        <w:ind w:left="567" w:hanging="567"/>
        <w:rPr>
          <w:rFonts w:cs="Times New Roman"/>
          <w:color w:val="auto"/>
          <w:szCs w:val="22"/>
          <w:lang w:val="pt-PT"/>
        </w:rPr>
      </w:pPr>
      <w:r w:rsidRPr="00110D6C">
        <w:rPr>
          <w:rFonts w:cs="Times New Roman"/>
          <w:color w:val="auto"/>
          <w:szCs w:val="22"/>
          <w:lang w:val="pt-PT"/>
        </w:rPr>
        <w:lastRenderedPageBreak/>
        <w:t>O médico irá determinar a dose de perfusão intravenosa recomendada para si com base no seu</w:t>
      </w:r>
      <w:r w:rsidR="00A51F4B" w:rsidRPr="00110D6C">
        <w:rPr>
          <w:rFonts w:cs="Times New Roman"/>
          <w:color w:val="auto"/>
          <w:szCs w:val="22"/>
          <w:lang w:val="pt-PT"/>
        </w:rPr>
        <w:t xml:space="preserve"> </w:t>
      </w:r>
      <w:r w:rsidRPr="00110D6C">
        <w:rPr>
          <w:rFonts w:cs="Times New Roman"/>
          <w:color w:val="auto"/>
          <w:szCs w:val="22"/>
          <w:lang w:val="pt-PT"/>
        </w:rPr>
        <w:t>peso corporal.</w:t>
      </w:r>
    </w:p>
    <w:p w14:paraId="43B07241" w14:textId="77777777" w:rsidR="00A51F4B" w:rsidRPr="00110D6C" w:rsidRDefault="00A51F4B" w:rsidP="00A51F4B">
      <w:pPr>
        <w:pStyle w:val="Listenabsatz"/>
        <w:widowControl/>
        <w:ind w:left="567"/>
        <w:rPr>
          <w:rFonts w:cs="Times New Roman"/>
          <w:color w:val="auto"/>
          <w:szCs w:val="22"/>
          <w:lang w:val="pt-PT"/>
        </w:rPr>
      </w:pPr>
    </w:p>
    <w:tbl>
      <w:tblPr>
        <w:tblOverlap w:val="never"/>
        <w:tblW w:w="0" w:type="auto"/>
        <w:jc w:val="center"/>
        <w:tblLayout w:type="fixed"/>
        <w:tblLook w:val="04A0" w:firstRow="1" w:lastRow="0" w:firstColumn="1" w:lastColumn="0" w:noHBand="0" w:noVBand="1"/>
      </w:tblPr>
      <w:tblGrid>
        <w:gridCol w:w="3564"/>
        <w:gridCol w:w="1380"/>
      </w:tblGrid>
      <w:tr w:rsidR="0077031F" w:rsidRPr="00110D6C" w14:paraId="6C3EA8B4" w14:textId="77777777" w:rsidTr="00A51F4B">
        <w:trPr>
          <w:jc w:val="center"/>
        </w:trPr>
        <w:tc>
          <w:tcPr>
            <w:tcW w:w="3564" w:type="dxa"/>
            <w:tcBorders>
              <w:top w:val="single" w:sz="4" w:space="0" w:color="auto"/>
              <w:left w:val="single" w:sz="4" w:space="0" w:color="auto"/>
            </w:tcBorders>
            <w:shd w:val="clear" w:color="auto" w:fill="auto"/>
            <w:vAlign w:val="bottom"/>
          </w:tcPr>
          <w:p w14:paraId="631C09D8"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O seu peso corporal</w:t>
            </w:r>
          </w:p>
        </w:tc>
        <w:tc>
          <w:tcPr>
            <w:tcW w:w="1380" w:type="dxa"/>
            <w:tcBorders>
              <w:top w:val="single" w:sz="4" w:space="0" w:color="auto"/>
              <w:right w:val="single" w:sz="4" w:space="0" w:color="auto"/>
            </w:tcBorders>
            <w:shd w:val="clear" w:color="auto" w:fill="auto"/>
            <w:vAlign w:val="bottom"/>
          </w:tcPr>
          <w:p w14:paraId="45B28254" w14:textId="77777777" w:rsidR="0077031F" w:rsidRPr="00110D6C" w:rsidRDefault="00030085" w:rsidP="00A51F4B">
            <w:pPr>
              <w:widowControl/>
              <w:jc w:val="center"/>
              <w:rPr>
                <w:rFonts w:cs="Times New Roman"/>
                <w:color w:val="auto"/>
                <w:szCs w:val="22"/>
                <w:lang w:val="pt-PT"/>
              </w:rPr>
            </w:pPr>
            <w:r w:rsidRPr="00110D6C">
              <w:rPr>
                <w:rFonts w:cs="Times New Roman"/>
                <w:color w:val="auto"/>
                <w:szCs w:val="22"/>
                <w:lang w:val="pt-PT"/>
              </w:rPr>
              <w:t>Dose</w:t>
            </w:r>
          </w:p>
        </w:tc>
      </w:tr>
      <w:tr w:rsidR="0077031F" w:rsidRPr="00110D6C" w14:paraId="4CEFC2EB" w14:textId="77777777" w:rsidTr="00A51F4B">
        <w:trPr>
          <w:jc w:val="center"/>
        </w:trPr>
        <w:tc>
          <w:tcPr>
            <w:tcW w:w="3564" w:type="dxa"/>
            <w:tcBorders>
              <w:top w:val="single" w:sz="4" w:space="0" w:color="auto"/>
              <w:left w:val="single" w:sz="4" w:space="0" w:color="auto"/>
            </w:tcBorders>
            <w:shd w:val="clear" w:color="auto" w:fill="auto"/>
            <w:vAlign w:val="bottom"/>
          </w:tcPr>
          <w:p w14:paraId="3ADAF994" w14:textId="77777777" w:rsidR="0077031F" w:rsidRPr="00110D6C" w:rsidRDefault="00030085" w:rsidP="00F5387C">
            <w:pPr>
              <w:widowControl/>
              <w:rPr>
                <w:rFonts w:cs="Times New Roman"/>
                <w:color w:val="auto"/>
                <w:szCs w:val="22"/>
                <w:lang w:val="pt-PT"/>
              </w:rPr>
            </w:pPr>
            <w:r w:rsidRPr="00110D6C">
              <w:rPr>
                <w:rFonts w:cs="Times New Roman"/>
                <w:color w:val="auto"/>
                <w:szCs w:val="22"/>
                <w:lang w:val="pt-PT"/>
              </w:rPr>
              <w:t>≤</w:t>
            </w:r>
            <w:r w:rsidR="00F5387C" w:rsidRPr="00110D6C">
              <w:rPr>
                <w:rFonts w:cs="Times New Roman"/>
                <w:color w:val="auto"/>
                <w:szCs w:val="22"/>
                <w:lang w:val="pt-PT"/>
              </w:rPr>
              <w:t> </w:t>
            </w:r>
            <w:r w:rsidRPr="00110D6C">
              <w:rPr>
                <w:rFonts w:cs="Times New Roman"/>
                <w:color w:val="auto"/>
                <w:szCs w:val="22"/>
                <w:lang w:val="pt-PT"/>
              </w:rPr>
              <w:t>5</w:t>
            </w:r>
            <w:r w:rsidR="00B910F9" w:rsidRPr="00110D6C">
              <w:rPr>
                <w:rFonts w:cs="Times New Roman"/>
                <w:color w:val="auto"/>
                <w:szCs w:val="22"/>
                <w:lang w:val="pt-PT"/>
              </w:rPr>
              <w:t>5 </w:t>
            </w:r>
            <w:r w:rsidRPr="00110D6C">
              <w:rPr>
                <w:rFonts w:cs="Times New Roman"/>
                <w:color w:val="auto"/>
                <w:szCs w:val="22"/>
                <w:lang w:val="pt-PT"/>
              </w:rPr>
              <w:t>kg</w:t>
            </w:r>
          </w:p>
        </w:tc>
        <w:tc>
          <w:tcPr>
            <w:tcW w:w="1380" w:type="dxa"/>
            <w:tcBorders>
              <w:top w:val="single" w:sz="4" w:space="0" w:color="auto"/>
              <w:right w:val="single" w:sz="4" w:space="0" w:color="auto"/>
            </w:tcBorders>
            <w:shd w:val="clear" w:color="auto" w:fill="auto"/>
            <w:vAlign w:val="bottom"/>
          </w:tcPr>
          <w:p w14:paraId="7DA563BA" w14:textId="77777777" w:rsidR="0077031F" w:rsidRPr="00110D6C" w:rsidRDefault="00030085" w:rsidP="00A51F4B">
            <w:pPr>
              <w:widowControl/>
              <w:jc w:val="center"/>
              <w:rPr>
                <w:rFonts w:cs="Times New Roman"/>
                <w:color w:val="auto"/>
                <w:szCs w:val="22"/>
                <w:lang w:val="pt-PT"/>
              </w:rPr>
            </w:pPr>
            <w:r w:rsidRPr="00110D6C">
              <w:rPr>
                <w:rFonts w:cs="Times New Roman"/>
                <w:color w:val="auto"/>
                <w:szCs w:val="22"/>
                <w:lang w:val="pt-PT"/>
              </w:rPr>
              <w:t>26</w:t>
            </w:r>
            <w:r w:rsidR="00B910F9" w:rsidRPr="00110D6C">
              <w:rPr>
                <w:rFonts w:cs="Times New Roman"/>
                <w:color w:val="auto"/>
                <w:szCs w:val="22"/>
                <w:lang w:val="pt-PT"/>
              </w:rPr>
              <w:t>0 </w:t>
            </w:r>
            <w:r w:rsidRPr="00110D6C">
              <w:rPr>
                <w:rFonts w:cs="Times New Roman"/>
                <w:color w:val="auto"/>
                <w:szCs w:val="22"/>
                <w:lang w:val="pt-PT"/>
              </w:rPr>
              <w:t>mg</w:t>
            </w:r>
          </w:p>
        </w:tc>
      </w:tr>
      <w:tr w:rsidR="0077031F" w:rsidRPr="00110D6C" w14:paraId="7666EB83" w14:textId="77777777" w:rsidTr="00A51F4B">
        <w:trPr>
          <w:jc w:val="center"/>
        </w:trPr>
        <w:tc>
          <w:tcPr>
            <w:tcW w:w="3564" w:type="dxa"/>
            <w:tcBorders>
              <w:left w:val="single" w:sz="4" w:space="0" w:color="auto"/>
            </w:tcBorders>
            <w:shd w:val="clear" w:color="auto" w:fill="auto"/>
            <w:vAlign w:val="bottom"/>
          </w:tcPr>
          <w:p w14:paraId="25157E06" w14:textId="77777777" w:rsidR="0077031F" w:rsidRPr="00110D6C" w:rsidRDefault="00030085" w:rsidP="00F5387C">
            <w:pPr>
              <w:widowControl/>
              <w:rPr>
                <w:rFonts w:cs="Times New Roman"/>
                <w:color w:val="auto"/>
                <w:szCs w:val="22"/>
                <w:lang w:val="pt-PT"/>
              </w:rPr>
            </w:pPr>
            <w:r w:rsidRPr="00110D6C">
              <w:rPr>
                <w:rFonts w:cs="Times New Roman"/>
                <w:color w:val="auto"/>
                <w:szCs w:val="22"/>
                <w:lang w:val="pt-PT"/>
              </w:rPr>
              <w:t>&gt;</w:t>
            </w:r>
            <w:r w:rsidR="00F5387C" w:rsidRPr="00110D6C">
              <w:rPr>
                <w:rFonts w:cs="Times New Roman"/>
                <w:color w:val="auto"/>
                <w:szCs w:val="22"/>
                <w:lang w:val="pt-PT"/>
              </w:rPr>
              <w:t> </w:t>
            </w:r>
            <w:r w:rsidRPr="00110D6C">
              <w:rPr>
                <w:rFonts w:cs="Times New Roman"/>
                <w:color w:val="auto"/>
                <w:szCs w:val="22"/>
                <w:lang w:val="pt-PT"/>
              </w:rPr>
              <w:t>5</w:t>
            </w:r>
            <w:r w:rsidR="00B910F9" w:rsidRPr="00110D6C">
              <w:rPr>
                <w:rFonts w:cs="Times New Roman"/>
                <w:color w:val="auto"/>
                <w:szCs w:val="22"/>
                <w:lang w:val="pt-PT"/>
              </w:rPr>
              <w:t>5 </w:t>
            </w:r>
            <w:r w:rsidRPr="00110D6C">
              <w:rPr>
                <w:rFonts w:cs="Times New Roman"/>
                <w:color w:val="auto"/>
                <w:szCs w:val="22"/>
                <w:lang w:val="pt-PT"/>
              </w:rPr>
              <w:t>kg a ≤</w:t>
            </w:r>
            <w:r w:rsidR="00F5387C" w:rsidRPr="00110D6C">
              <w:rPr>
                <w:rFonts w:cs="Times New Roman"/>
                <w:color w:val="auto"/>
                <w:szCs w:val="22"/>
                <w:lang w:val="pt-PT"/>
              </w:rPr>
              <w:t> </w:t>
            </w:r>
            <w:r w:rsidRPr="00110D6C">
              <w:rPr>
                <w:rFonts w:cs="Times New Roman"/>
                <w:color w:val="auto"/>
                <w:szCs w:val="22"/>
                <w:lang w:val="pt-PT"/>
              </w:rPr>
              <w:t>8</w:t>
            </w:r>
            <w:r w:rsidR="00B910F9" w:rsidRPr="00110D6C">
              <w:rPr>
                <w:rFonts w:cs="Times New Roman"/>
                <w:color w:val="auto"/>
                <w:szCs w:val="22"/>
                <w:lang w:val="pt-PT"/>
              </w:rPr>
              <w:t>5 </w:t>
            </w:r>
            <w:r w:rsidRPr="00110D6C">
              <w:rPr>
                <w:rFonts w:cs="Times New Roman"/>
                <w:color w:val="auto"/>
                <w:szCs w:val="22"/>
                <w:lang w:val="pt-PT"/>
              </w:rPr>
              <w:t>kg</w:t>
            </w:r>
          </w:p>
        </w:tc>
        <w:tc>
          <w:tcPr>
            <w:tcW w:w="1380" w:type="dxa"/>
            <w:tcBorders>
              <w:right w:val="single" w:sz="4" w:space="0" w:color="auto"/>
            </w:tcBorders>
            <w:shd w:val="clear" w:color="auto" w:fill="auto"/>
            <w:vAlign w:val="bottom"/>
          </w:tcPr>
          <w:p w14:paraId="44907F0D" w14:textId="77777777" w:rsidR="0077031F" w:rsidRPr="00110D6C" w:rsidRDefault="00030085" w:rsidP="00A51F4B">
            <w:pPr>
              <w:widowControl/>
              <w:jc w:val="center"/>
              <w:rPr>
                <w:rFonts w:cs="Times New Roman"/>
                <w:color w:val="auto"/>
                <w:szCs w:val="22"/>
                <w:lang w:val="pt-PT"/>
              </w:rPr>
            </w:pPr>
            <w:r w:rsidRPr="00110D6C">
              <w:rPr>
                <w:rFonts w:cs="Times New Roman"/>
                <w:color w:val="auto"/>
                <w:szCs w:val="22"/>
                <w:lang w:val="pt-PT"/>
              </w:rPr>
              <w:t>39</w:t>
            </w:r>
            <w:r w:rsidR="00B910F9" w:rsidRPr="00110D6C">
              <w:rPr>
                <w:rFonts w:cs="Times New Roman"/>
                <w:color w:val="auto"/>
                <w:szCs w:val="22"/>
                <w:lang w:val="pt-PT"/>
              </w:rPr>
              <w:t>0 </w:t>
            </w:r>
            <w:r w:rsidRPr="00110D6C">
              <w:rPr>
                <w:rFonts w:cs="Times New Roman"/>
                <w:color w:val="auto"/>
                <w:szCs w:val="22"/>
                <w:lang w:val="pt-PT"/>
              </w:rPr>
              <w:t>mg</w:t>
            </w:r>
          </w:p>
        </w:tc>
      </w:tr>
      <w:tr w:rsidR="0077031F" w:rsidRPr="00110D6C" w14:paraId="12EF7E77" w14:textId="77777777" w:rsidTr="00A51F4B">
        <w:trPr>
          <w:jc w:val="center"/>
        </w:trPr>
        <w:tc>
          <w:tcPr>
            <w:tcW w:w="3564" w:type="dxa"/>
            <w:tcBorders>
              <w:left w:val="single" w:sz="4" w:space="0" w:color="auto"/>
              <w:bottom w:val="single" w:sz="4" w:space="0" w:color="auto"/>
            </w:tcBorders>
            <w:shd w:val="clear" w:color="auto" w:fill="auto"/>
            <w:vAlign w:val="bottom"/>
          </w:tcPr>
          <w:p w14:paraId="6565FFF7" w14:textId="77777777" w:rsidR="0077031F" w:rsidRPr="00110D6C" w:rsidRDefault="00030085" w:rsidP="00F5387C">
            <w:pPr>
              <w:widowControl/>
              <w:rPr>
                <w:rFonts w:cs="Times New Roman"/>
                <w:color w:val="auto"/>
                <w:szCs w:val="22"/>
                <w:lang w:val="pt-PT"/>
              </w:rPr>
            </w:pPr>
            <w:r w:rsidRPr="00110D6C">
              <w:rPr>
                <w:rFonts w:cs="Times New Roman"/>
                <w:color w:val="auto"/>
                <w:szCs w:val="22"/>
                <w:lang w:val="pt-PT"/>
              </w:rPr>
              <w:t>&gt;</w:t>
            </w:r>
            <w:r w:rsidR="00F5387C" w:rsidRPr="00110D6C">
              <w:rPr>
                <w:rFonts w:cs="Times New Roman"/>
                <w:color w:val="auto"/>
                <w:szCs w:val="22"/>
                <w:lang w:val="pt-PT"/>
              </w:rPr>
              <w:t> </w:t>
            </w:r>
            <w:r w:rsidRPr="00110D6C">
              <w:rPr>
                <w:rFonts w:cs="Times New Roman"/>
                <w:color w:val="auto"/>
                <w:szCs w:val="22"/>
                <w:lang w:val="pt-PT"/>
              </w:rPr>
              <w:t>8</w:t>
            </w:r>
            <w:r w:rsidR="00B910F9" w:rsidRPr="00110D6C">
              <w:rPr>
                <w:rFonts w:cs="Times New Roman"/>
                <w:color w:val="auto"/>
                <w:szCs w:val="22"/>
                <w:lang w:val="pt-PT"/>
              </w:rPr>
              <w:t>5 </w:t>
            </w:r>
            <w:r w:rsidRPr="00110D6C">
              <w:rPr>
                <w:rFonts w:cs="Times New Roman"/>
                <w:color w:val="auto"/>
                <w:szCs w:val="22"/>
                <w:lang w:val="pt-PT"/>
              </w:rPr>
              <w:t>kg</w:t>
            </w:r>
          </w:p>
        </w:tc>
        <w:tc>
          <w:tcPr>
            <w:tcW w:w="1380" w:type="dxa"/>
            <w:tcBorders>
              <w:bottom w:val="single" w:sz="4" w:space="0" w:color="auto"/>
              <w:right w:val="single" w:sz="4" w:space="0" w:color="auto"/>
            </w:tcBorders>
            <w:shd w:val="clear" w:color="auto" w:fill="auto"/>
            <w:vAlign w:val="bottom"/>
          </w:tcPr>
          <w:p w14:paraId="15199ED8" w14:textId="77777777" w:rsidR="0077031F" w:rsidRPr="00110D6C" w:rsidRDefault="00030085" w:rsidP="00A51F4B">
            <w:pPr>
              <w:widowControl/>
              <w:jc w:val="center"/>
              <w:rPr>
                <w:rFonts w:cs="Times New Roman"/>
                <w:color w:val="auto"/>
                <w:szCs w:val="22"/>
                <w:lang w:val="pt-PT"/>
              </w:rPr>
            </w:pPr>
            <w:r w:rsidRPr="00110D6C">
              <w:rPr>
                <w:rFonts w:cs="Times New Roman"/>
                <w:color w:val="auto"/>
                <w:szCs w:val="22"/>
                <w:lang w:val="pt-PT"/>
              </w:rPr>
              <w:t>52</w:t>
            </w:r>
            <w:r w:rsidR="00B910F9" w:rsidRPr="00110D6C">
              <w:rPr>
                <w:rFonts w:cs="Times New Roman"/>
                <w:color w:val="auto"/>
                <w:szCs w:val="22"/>
                <w:lang w:val="pt-PT"/>
              </w:rPr>
              <w:t>0 </w:t>
            </w:r>
            <w:r w:rsidRPr="00110D6C">
              <w:rPr>
                <w:rFonts w:cs="Times New Roman"/>
                <w:color w:val="auto"/>
                <w:szCs w:val="22"/>
                <w:lang w:val="pt-PT"/>
              </w:rPr>
              <w:t>mg</w:t>
            </w:r>
          </w:p>
        </w:tc>
      </w:tr>
    </w:tbl>
    <w:p w14:paraId="08D36557" w14:textId="64F3FA7A" w:rsidR="0077031F" w:rsidRPr="00110D6C" w:rsidRDefault="00030085" w:rsidP="00D74B6E">
      <w:pPr>
        <w:pStyle w:val="Listenabsatz"/>
        <w:widowControl/>
        <w:numPr>
          <w:ilvl w:val="0"/>
          <w:numId w:val="6"/>
        </w:numPr>
        <w:ind w:left="567" w:hanging="567"/>
        <w:rPr>
          <w:rFonts w:cs="Times New Roman"/>
          <w:color w:val="auto"/>
          <w:szCs w:val="22"/>
          <w:lang w:val="pt-PT"/>
        </w:rPr>
      </w:pPr>
      <w:r w:rsidRPr="00110D6C">
        <w:rPr>
          <w:rFonts w:cs="Times New Roman"/>
          <w:color w:val="auto"/>
          <w:szCs w:val="22"/>
          <w:lang w:val="pt-PT"/>
        </w:rPr>
        <w:t>Após a dose intravenosa inicial, irá receber a próxima dose de 9</w:t>
      </w:r>
      <w:r w:rsidR="00B910F9" w:rsidRPr="00110D6C">
        <w:rPr>
          <w:rFonts w:cs="Times New Roman"/>
          <w:color w:val="auto"/>
          <w:szCs w:val="22"/>
          <w:lang w:val="pt-PT"/>
        </w:rPr>
        <w:t>0 </w:t>
      </w:r>
      <w:r w:rsidRPr="00110D6C">
        <w:rPr>
          <w:rFonts w:cs="Times New Roman"/>
          <w:color w:val="auto"/>
          <w:szCs w:val="22"/>
          <w:lang w:val="pt-PT"/>
        </w:rPr>
        <w:t xml:space="preserve">mg de </w:t>
      </w:r>
      <w:r w:rsidR="00D50CFA">
        <w:rPr>
          <w:rFonts w:cs="Times New Roman"/>
          <w:color w:val="auto"/>
          <w:szCs w:val="22"/>
          <w:lang w:val="pt-PT"/>
        </w:rPr>
        <w:t>Fymskina</w:t>
      </w:r>
      <w:r w:rsidRPr="00110D6C">
        <w:rPr>
          <w:rFonts w:cs="Times New Roman"/>
          <w:color w:val="auto"/>
          <w:szCs w:val="22"/>
          <w:lang w:val="pt-PT"/>
        </w:rPr>
        <w:t xml:space="preserve"> na forma de</w:t>
      </w:r>
      <w:r w:rsidR="00A51F4B" w:rsidRPr="00110D6C">
        <w:rPr>
          <w:rFonts w:cs="Times New Roman"/>
          <w:color w:val="auto"/>
          <w:szCs w:val="22"/>
          <w:lang w:val="pt-PT"/>
        </w:rPr>
        <w:t xml:space="preserve"> </w:t>
      </w:r>
      <w:r w:rsidRPr="00110D6C">
        <w:rPr>
          <w:rFonts w:cs="Times New Roman"/>
          <w:color w:val="auto"/>
          <w:szCs w:val="22"/>
          <w:lang w:val="pt-PT"/>
        </w:rPr>
        <w:t xml:space="preserve">injeção sob a pele (injeção subcutânea) </w:t>
      </w:r>
      <w:r w:rsidR="00B910F9" w:rsidRPr="00110D6C">
        <w:rPr>
          <w:rFonts w:cs="Times New Roman"/>
          <w:color w:val="auto"/>
          <w:szCs w:val="22"/>
          <w:lang w:val="pt-PT"/>
        </w:rPr>
        <w:t>8 </w:t>
      </w:r>
      <w:r w:rsidRPr="00110D6C">
        <w:rPr>
          <w:rFonts w:cs="Times New Roman"/>
          <w:color w:val="auto"/>
          <w:szCs w:val="22"/>
          <w:lang w:val="pt-PT"/>
        </w:rPr>
        <w:t>semanas mais tarde, e depois em intervalos de 1</w:t>
      </w:r>
      <w:r w:rsidR="00B910F9" w:rsidRPr="00110D6C">
        <w:rPr>
          <w:rFonts w:cs="Times New Roman"/>
          <w:color w:val="auto"/>
          <w:szCs w:val="22"/>
          <w:lang w:val="pt-PT"/>
        </w:rPr>
        <w:t>2 </w:t>
      </w:r>
      <w:r w:rsidRPr="00110D6C">
        <w:rPr>
          <w:rFonts w:cs="Times New Roman"/>
          <w:color w:val="auto"/>
          <w:szCs w:val="22"/>
          <w:lang w:val="pt-PT"/>
        </w:rPr>
        <w:t>semanas a partir daí.</w:t>
      </w:r>
    </w:p>
    <w:p w14:paraId="30E3605F" w14:textId="77777777" w:rsidR="00277492" w:rsidRPr="00110D6C" w:rsidRDefault="00277492" w:rsidP="00A17623">
      <w:pPr>
        <w:widowControl/>
        <w:rPr>
          <w:rFonts w:cs="Times New Roman"/>
          <w:bCs/>
          <w:color w:val="auto"/>
          <w:szCs w:val="22"/>
          <w:lang w:val="pt-PT"/>
        </w:rPr>
      </w:pPr>
      <w:bookmarkStart w:id="110" w:name="bookmark193"/>
    </w:p>
    <w:p w14:paraId="1DF4E4F8" w14:textId="7EDCFBA6"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Como é administrado </w:t>
      </w:r>
      <w:bookmarkEnd w:id="110"/>
      <w:r w:rsidR="00D50CFA">
        <w:rPr>
          <w:rFonts w:cs="Times New Roman"/>
          <w:b/>
          <w:bCs/>
          <w:color w:val="auto"/>
          <w:szCs w:val="22"/>
          <w:lang w:val="pt-PT"/>
        </w:rPr>
        <w:t>Fymskina</w:t>
      </w:r>
    </w:p>
    <w:p w14:paraId="5700CA5F" w14:textId="7FB30CDD" w:rsidR="0077031F" w:rsidRPr="00110D6C" w:rsidRDefault="00030085" w:rsidP="00D74B6E">
      <w:pPr>
        <w:pStyle w:val="Listenabsatz"/>
        <w:widowControl/>
        <w:numPr>
          <w:ilvl w:val="0"/>
          <w:numId w:val="6"/>
        </w:numPr>
        <w:ind w:left="567" w:hanging="567"/>
        <w:rPr>
          <w:rFonts w:cs="Times New Roman"/>
          <w:color w:val="auto"/>
          <w:szCs w:val="22"/>
          <w:lang w:val="pt-PT"/>
        </w:rPr>
      </w:pPr>
      <w:r w:rsidRPr="00110D6C">
        <w:rPr>
          <w:rFonts w:cs="Times New Roman"/>
          <w:color w:val="auto"/>
          <w:szCs w:val="22"/>
          <w:lang w:val="pt-PT"/>
        </w:rPr>
        <w:t xml:space="preserve">A primeira dose de </w:t>
      </w:r>
      <w:r w:rsidR="00D50CFA">
        <w:rPr>
          <w:rFonts w:cs="Times New Roman"/>
          <w:color w:val="auto"/>
          <w:szCs w:val="22"/>
          <w:lang w:val="pt-PT"/>
        </w:rPr>
        <w:t>Fymskina</w:t>
      </w:r>
      <w:r w:rsidRPr="00110D6C">
        <w:rPr>
          <w:rFonts w:cs="Times New Roman"/>
          <w:color w:val="auto"/>
          <w:szCs w:val="22"/>
          <w:lang w:val="pt-PT"/>
        </w:rPr>
        <w:t xml:space="preserve"> para o tratamento da doença de Crohn é</w:t>
      </w:r>
      <w:r w:rsidR="00277492" w:rsidRPr="00110D6C">
        <w:rPr>
          <w:rFonts w:cs="Times New Roman"/>
          <w:color w:val="auto"/>
          <w:szCs w:val="22"/>
          <w:lang w:val="pt-PT"/>
        </w:rPr>
        <w:t xml:space="preserve"> </w:t>
      </w:r>
      <w:r w:rsidRPr="00110D6C">
        <w:rPr>
          <w:rFonts w:cs="Times New Roman"/>
          <w:color w:val="auto"/>
          <w:szCs w:val="22"/>
          <w:lang w:val="pt-PT"/>
        </w:rPr>
        <w:t>administrada gota-a-gota, por um médico, numa veia do braço (perfusão intravenosa).</w:t>
      </w:r>
    </w:p>
    <w:p w14:paraId="546074E7" w14:textId="3FBE3EB6"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Fale com o seu médico se tiver qualquer dúvida sobre a administração de </w:t>
      </w:r>
      <w:r w:rsidR="00D50CFA">
        <w:rPr>
          <w:rFonts w:cs="Times New Roman"/>
          <w:color w:val="auto"/>
          <w:szCs w:val="22"/>
          <w:lang w:val="pt-PT"/>
        </w:rPr>
        <w:t>Fymskina</w:t>
      </w:r>
      <w:r w:rsidRPr="00110D6C">
        <w:rPr>
          <w:rFonts w:cs="Times New Roman"/>
          <w:color w:val="auto"/>
          <w:szCs w:val="22"/>
          <w:lang w:val="pt-PT"/>
        </w:rPr>
        <w:t>.</w:t>
      </w:r>
    </w:p>
    <w:p w14:paraId="1371AC52" w14:textId="77777777" w:rsidR="00277492" w:rsidRPr="00110D6C" w:rsidRDefault="00277492" w:rsidP="00A17623">
      <w:pPr>
        <w:widowControl/>
        <w:rPr>
          <w:rFonts w:cs="Times New Roman"/>
          <w:bCs/>
          <w:color w:val="auto"/>
          <w:szCs w:val="22"/>
          <w:lang w:val="pt-PT"/>
        </w:rPr>
      </w:pPr>
      <w:bookmarkStart w:id="111" w:name="bookmark195"/>
    </w:p>
    <w:p w14:paraId="0AEC7692" w14:textId="0078A523"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Caso se tenha esquecido de utilizar </w:t>
      </w:r>
      <w:bookmarkEnd w:id="111"/>
      <w:r w:rsidR="00D50CFA">
        <w:rPr>
          <w:rFonts w:cs="Times New Roman"/>
          <w:b/>
          <w:bCs/>
          <w:color w:val="auto"/>
          <w:szCs w:val="22"/>
          <w:lang w:val="pt-PT"/>
        </w:rPr>
        <w:t>Fymskina</w:t>
      </w:r>
    </w:p>
    <w:p w14:paraId="2C8D7C08"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Caso se tenha esquecido ou faltado a uma consulta para receber a dose, contacte o seu médico para fazer uma nova marcação.</w:t>
      </w:r>
    </w:p>
    <w:p w14:paraId="4ADC1333" w14:textId="77777777" w:rsidR="00277492" w:rsidRPr="00110D6C" w:rsidRDefault="00277492" w:rsidP="00A17623">
      <w:pPr>
        <w:widowControl/>
        <w:rPr>
          <w:rFonts w:cs="Times New Roman"/>
          <w:bCs/>
          <w:color w:val="auto"/>
          <w:szCs w:val="22"/>
          <w:lang w:val="pt-PT"/>
        </w:rPr>
      </w:pPr>
      <w:bookmarkStart w:id="112" w:name="bookmark197"/>
    </w:p>
    <w:p w14:paraId="77D972A0" w14:textId="6B47230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Se parar de utilizar </w:t>
      </w:r>
      <w:bookmarkEnd w:id="112"/>
      <w:r w:rsidR="00D50CFA">
        <w:rPr>
          <w:rFonts w:cs="Times New Roman"/>
          <w:b/>
          <w:bCs/>
          <w:color w:val="auto"/>
          <w:szCs w:val="22"/>
          <w:lang w:val="pt-PT"/>
        </w:rPr>
        <w:t>Fymskina</w:t>
      </w:r>
    </w:p>
    <w:p w14:paraId="40DDFA46" w14:textId="669CDF7A"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Não é perigoso deixar de utilizar </w:t>
      </w:r>
      <w:r w:rsidR="00D50CFA">
        <w:rPr>
          <w:rFonts w:cs="Times New Roman"/>
          <w:color w:val="auto"/>
          <w:szCs w:val="22"/>
          <w:lang w:val="pt-PT"/>
        </w:rPr>
        <w:t>Fymskina</w:t>
      </w:r>
      <w:r w:rsidRPr="00110D6C">
        <w:rPr>
          <w:rFonts w:cs="Times New Roman"/>
          <w:color w:val="auto"/>
          <w:szCs w:val="22"/>
          <w:lang w:val="pt-PT"/>
        </w:rPr>
        <w:t>. No entanto, se parar, os seus sintomas podem voltar.</w:t>
      </w:r>
      <w:r w:rsidR="00042A65">
        <w:rPr>
          <w:rFonts w:cs="Times New Roman"/>
          <w:color w:val="auto"/>
          <w:szCs w:val="22"/>
          <w:lang w:val="pt-PT"/>
        </w:rPr>
        <w:t xml:space="preserve"> </w:t>
      </w:r>
      <w:r w:rsidRPr="00110D6C">
        <w:rPr>
          <w:rFonts w:cs="Times New Roman"/>
          <w:color w:val="auto"/>
          <w:szCs w:val="22"/>
          <w:lang w:val="pt-PT"/>
        </w:rPr>
        <w:t>Caso ainda tenha dúvidas sobre a utilização deste medicamento, fale com o seu médico ou farmacêutico.</w:t>
      </w:r>
    </w:p>
    <w:p w14:paraId="1ED71484" w14:textId="77777777" w:rsidR="00277492" w:rsidRPr="00110D6C" w:rsidRDefault="00277492" w:rsidP="00A17623">
      <w:pPr>
        <w:widowControl/>
        <w:ind w:left="567" w:hanging="567"/>
        <w:rPr>
          <w:rFonts w:cs="Times New Roman"/>
          <w:bCs/>
          <w:color w:val="auto"/>
          <w:szCs w:val="22"/>
          <w:lang w:val="pt-PT"/>
        </w:rPr>
      </w:pPr>
      <w:bookmarkStart w:id="113" w:name="bookmark199"/>
    </w:p>
    <w:p w14:paraId="3C3AD190" w14:textId="77777777" w:rsidR="00277492" w:rsidRPr="00110D6C" w:rsidRDefault="00277492" w:rsidP="00A17623">
      <w:pPr>
        <w:widowControl/>
        <w:ind w:left="567" w:hanging="567"/>
        <w:rPr>
          <w:rFonts w:cs="Times New Roman"/>
          <w:bCs/>
          <w:color w:val="auto"/>
          <w:szCs w:val="22"/>
          <w:lang w:val="pt-PT"/>
        </w:rPr>
      </w:pPr>
    </w:p>
    <w:p w14:paraId="37865156"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4.</w:t>
      </w:r>
      <w:r w:rsidRPr="00110D6C">
        <w:rPr>
          <w:rFonts w:cs="Times New Roman"/>
          <w:b/>
          <w:bCs/>
          <w:color w:val="auto"/>
          <w:szCs w:val="22"/>
          <w:lang w:val="pt-PT"/>
        </w:rPr>
        <w:tab/>
      </w:r>
      <w:r w:rsidR="00030085" w:rsidRPr="00110D6C">
        <w:rPr>
          <w:rFonts w:cs="Times New Roman"/>
          <w:b/>
          <w:bCs/>
          <w:color w:val="auto"/>
          <w:szCs w:val="22"/>
          <w:lang w:val="pt-PT"/>
        </w:rPr>
        <w:t>Efeitos indesejáveis possíveis</w:t>
      </w:r>
      <w:bookmarkEnd w:id="113"/>
    </w:p>
    <w:p w14:paraId="36EB29C8" w14:textId="77777777" w:rsidR="00277492" w:rsidRPr="00110D6C" w:rsidRDefault="00277492" w:rsidP="00A17623">
      <w:pPr>
        <w:widowControl/>
        <w:rPr>
          <w:rFonts w:cs="Times New Roman"/>
          <w:color w:val="auto"/>
          <w:szCs w:val="22"/>
          <w:lang w:val="pt-PT"/>
        </w:rPr>
      </w:pPr>
    </w:p>
    <w:p w14:paraId="76AEB9D1"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Como todos os medicamentos, este medicamento pode causar efeitos indesejáveis, embora estes não se manifestem em todas as pessoas.</w:t>
      </w:r>
    </w:p>
    <w:p w14:paraId="281B70CD" w14:textId="77777777" w:rsidR="00277492" w:rsidRPr="00110D6C" w:rsidRDefault="00277492" w:rsidP="00A17623">
      <w:pPr>
        <w:widowControl/>
        <w:rPr>
          <w:rFonts w:cs="Times New Roman"/>
          <w:bCs/>
          <w:color w:val="auto"/>
          <w:szCs w:val="22"/>
          <w:lang w:val="pt-PT"/>
        </w:rPr>
      </w:pPr>
      <w:bookmarkStart w:id="114" w:name="bookmark201"/>
    </w:p>
    <w:p w14:paraId="3FC33546"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Efeitos indesejáveis graves</w:t>
      </w:r>
      <w:bookmarkEnd w:id="114"/>
    </w:p>
    <w:p w14:paraId="3EDF9F3D"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Alguns doentes têm efeitos indesejáveis graves que podem necessitar de tratamento urgente.</w:t>
      </w:r>
    </w:p>
    <w:p w14:paraId="23ECB4B7" w14:textId="77777777" w:rsidR="00277492" w:rsidRPr="00110D6C" w:rsidRDefault="00277492" w:rsidP="00A17623">
      <w:pPr>
        <w:widowControl/>
        <w:rPr>
          <w:rFonts w:cs="Times New Roman"/>
          <w:bCs/>
          <w:color w:val="auto"/>
          <w:szCs w:val="22"/>
          <w:lang w:val="pt-PT"/>
        </w:rPr>
      </w:pPr>
      <w:bookmarkStart w:id="115" w:name="bookmark203"/>
    </w:p>
    <w:p w14:paraId="4ADD83E2"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Reações alérgicas - pode necessitar de tratamento médico urgente. Fale com o seu médico ou tenha ajuda de emergência médica se notar algum dos seguintes sinais.</w:t>
      </w:r>
      <w:bookmarkEnd w:id="115"/>
    </w:p>
    <w:p w14:paraId="2F193FCE" w14:textId="5A80E1EE" w:rsidR="0077031F" w:rsidRPr="00110D6C" w:rsidRDefault="00030085" w:rsidP="00D74B6E">
      <w:pPr>
        <w:pStyle w:val="Listenabsatz"/>
        <w:widowControl/>
        <w:numPr>
          <w:ilvl w:val="0"/>
          <w:numId w:val="6"/>
        </w:numPr>
        <w:ind w:left="567" w:hanging="567"/>
        <w:rPr>
          <w:rFonts w:cs="Times New Roman"/>
          <w:color w:val="auto"/>
          <w:szCs w:val="22"/>
          <w:lang w:val="pt-PT"/>
        </w:rPr>
      </w:pPr>
      <w:r w:rsidRPr="00110D6C">
        <w:rPr>
          <w:rFonts w:cs="Times New Roman"/>
          <w:color w:val="auto"/>
          <w:szCs w:val="22"/>
          <w:lang w:val="pt-PT"/>
        </w:rPr>
        <w:t xml:space="preserve">Reações alérgicas graves (“anafilaxia”) são raras em pessoas que estão a utilizar </w:t>
      </w:r>
      <w:r w:rsidR="00D50CFA">
        <w:rPr>
          <w:rFonts w:cs="Times New Roman"/>
          <w:color w:val="auto"/>
          <w:szCs w:val="22"/>
          <w:lang w:val="pt-PT"/>
        </w:rPr>
        <w:t xml:space="preserve">medicamentos contendo </w:t>
      </w:r>
      <w:r w:rsidR="00D50CFA" w:rsidRPr="00110D6C">
        <w:rPr>
          <w:rFonts w:cs="Times New Roman"/>
          <w:color w:val="auto"/>
          <w:szCs w:val="22"/>
          <w:lang w:val="pt-PT"/>
        </w:rPr>
        <w:t>ustecinumab</w:t>
      </w:r>
      <w:r w:rsidR="00277492" w:rsidRPr="00110D6C">
        <w:rPr>
          <w:rFonts w:cs="Times New Roman"/>
          <w:color w:val="auto"/>
          <w:szCs w:val="22"/>
          <w:lang w:val="pt-PT"/>
        </w:rPr>
        <w:t xml:space="preserve"> </w:t>
      </w:r>
      <w:r w:rsidRPr="00110D6C">
        <w:rPr>
          <w:rFonts w:cs="Times New Roman"/>
          <w:color w:val="auto"/>
          <w:szCs w:val="22"/>
          <w:lang w:val="pt-PT"/>
        </w:rPr>
        <w:t xml:space="preserve">(pode afetar até </w:t>
      </w:r>
      <w:r w:rsidR="00B910F9" w:rsidRPr="00110D6C">
        <w:rPr>
          <w:rFonts w:cs="Times New Roman"/>
          <w:color w:val="auto"/>
          <w:szCs w:val="22"/>
          <w:lang w:val="pt-PT"/>
        </w:rPr>
        <w:t>1 </w:t>
      </w:r>
      <w:r w:rsidRPr="00110D6C">
        <w:rPr>
          <w:rFonts w:cs="Times New Roman"/>
          <w:color w:val="auto"/>
          <w:szCs w:val="22"/>
          <w:lang w:val="pt-PT"/>
        </w:rPr>
        <w:t>em cada 100</w:t>
      </w:r>
      <w:r w:rsidR="00B910F9" w:rsidRPr="00110D6C">
        <w:rPr>
          <w:rFonts w:cs="Times New Roman"/>
          <w:color w:val="auto"/>
          <w:szCs w:val="22"/>
          <w:lang w:val="pt-PT"/>
        </w:rPr>
        <w:t>0 </w:t>
      </w:r>
      <w:r w:rsidRPr="00110D6C">
        <w:rPr>
          <w:rFonts w:cs="Times New Roman"/>
          <w:color w:val="auto"/>
          <w:szCs w:val="22"/>
          <w:lang w:val="pt-PT"/>
        </w:rPr>
        <w:t>pessoas). Estes sinais incluem: o dificuldade em respirar ou engolir</w:t>
      </w:r>
    </w:p>
    <w:p w14:paraId="76B19F58" w14:textId="77777777" w:rsidR="00277492" w:rsidRPr="00110D6C" w:rsidRDefault="00030085" w:rsidP="00D74B6E">
      <w:pPr>
        <w:pStyle w:val="Listenabsatz"/>
        <w:widowControl/>
        <w:numPr>
          <w:ilvl w:val="0"/>
          <w:numId w:val="6"/>
        </w:numPr>
        <w:ind w:left="567" w:hanging="567"/>
        <w:rPr>
          <w:rFonts w:cs="Times New Roman"/>
          <w:color w:val="auto"/>
          <w:szCs w:val="22"/>
          <w:lang w:val="pt-PT"/>
        </w:rPr>
      </w:pPr>
      <w:r w:rsidRPr="00110D6C">
        <w:rPr>
          <w:rFonts w:cs="Times New Roman"/>
          <w:color w:val="auto"/>
          <w:szCs w:val="22"/>
          <w:lang w:val="pt-PT"/>
        </w:rPr>
        <w:t>tensão arterial baixa,</w:t>
      </w:r>
    </w:p>
    <w:p w14:paraId="173AE72F" w14:textId="77777777" w:rsidR="0077031F" w:rsidRPr="00110D6C" w:rsidRDefault="00030085" w:rsidP="00D74B6E">
      <w:pPr>
        <w:pStyle w:val="Listenabsatz"/>
        <w:widowControl/>
        <w:numPr>
          <w:ilvl w:val="0"/>
          <w:numId w:val="6"/>
        </w:numPr>
        <w:ind w:left="567" w:hanging="567"/>
        <w:rPr>
          <w:rFonts w:cs="Times New Roman"/>
          <w:color w:val="auto"/>
          <w:szCs w:val="22"/>
          <w:lang w:val="pt-PT"/>
        </w:rPr>
      </w:pPr>
      <w:r w:rsidRPr="00110D6C">
        <w:rPr>
          <w:rFonts w:cs="Times New Roman"/>
          <w:color w:val="auto"/>
          <w:szCs w:val="22"/>
          <w:lang w:val="pt-PT"/>
        </w:rPr>
        <w:t>que pode causar vertigens ou tonturas</w:t>
      </w:r>
    </w:p>
    <w:p w14:paraId="49C3C56C" w14:textId="77777777" w:rsidR="0077031F" w:rsidRPr="00110D6C" w:rsidRDefault="00030085" w:rsidP="00D74B6E">
      <w:pPr>
        <w:pStyle w:val="Listenabsatz"/>
        <w:widowControl/>
        <w:numPr>
          <w:ilvl w:val="0"/>
          <w:numId w:val="6"/>
        </w:numPr>
        <w:ind w:left="567" w:hanging="567"/>
        <w:rPr>
          <w:rFonts w:cs="Times New Roman"/>
          <w:color w:val="auto"/>
          <w:szCs w:val="22"/>
          <w:lang w:val="pt-PT"/>
        </w:rPr>
      </w:pPr>
      <w:r w:rsidRPr="00110D6C">
        <w:rPr>
          <w:rFonts w:cs="Times New Roman"/>
          <w:color w:val="auto"/>
          <w:szCs w:val="22"/>
          <w:lang w:val="pt-PT"/>
        </w:rPr>
        <w:t>inchaço da face, lábios, boca ou garganta.</w:t>
      </w:r>
    </w:p>
    <w:p w14:paraId="7679A7C8" w14:textId="77777777" w:rsidR="0077031F" w:rsidRPr="00110D6C" w:rsidRDefault="00030085" w:rsidP="00D74B6E">
      <w:pPr>
        <w:pStyle w:val="Listenabsatz"/>
        <w:widowControl/>
        <w:numPr>
          <w:ilvl w:val="0"/>
          <w:numId w:val="6"/>
        </w:numPr>
        <w:ind w:left="567" w:hanging="567"/>
        <w:rPr>
          <w:rFonts w:cs="Times New Roman"/>
          <w:color w:val="auto"/>
          <w:szCs w:val="22"/>
          <w:lang w:val="pt-PT"/>
        </w:rPr>
      </w:pPr>
      <w:r w:rsidRPr="00110D6C">
        <w:rPr>
          <w:rFonts w:cs="Times New Roman"/>
          <w:color w:val="auto"/>
          <w:szCs w:val="22"/>
          <w:lang w:val="pt-PT"/>
        </w:rPr>
        <w:t>Sinais frequentes de uma reação alérgica podem incluir erupção na pele e urticária (pode</w:t>
      </w:r>
      <w:r w:rsidR="00277492" w:rsidRPr="00110D6C">
        <w:rPr>
          <w:rFonts w:cs="Times New Roman"/>
          <w:color w:val="auto"/>
          <w:szCs w:val="22"/>
          <w:lang w:val="pt-PT"/>
        </w:rPr>
        <w:t xml:space="preserve"> </w:t>
      </w:r>
      <w:r w:rsidRPr="00110D6C">
        <w:rPr>
          <w:rFonts w:cs="Times New Roman"/>
          <w:color w:val="auto"/>
          <w:szCs w:val="22"/>
          <w:lang w:val="pt-PT"/>
        </w:rPr>
        <w:t xml:space="preserve">afetar até </w:t>
      </w:r>
      <w:r w:rsidR="00B910F9" w:rsidRPr="00110D6C">
        <w:rPr>
          <w:rFonts w:cs="Times New Roman"/>
          <w:color w:val="auto"/>
          <w:szCs w:val="22"/>
          <w:lang w:val="pt-PT"/>
        </w:rPr>
        <w:t>1 </w:t>
      </w:r>
      <w:r w:rsidRPr="00110D6C">
        <w:rPr>
          <w:rFonts w:cs="Times New Roman"/>
          <w:color w:val="auto"/>
          <w:szCs w:val="22"/>
          <w:lang w:val="pt-PT"/>
        </w:rPr>
        <w:t>em cada 10</w:t>
      </w:r>
      <w:r w:rsidR="00B910F9" w:rsidRPr="00110D6C">
        <w:rPr>
          <w:rFonts w:cs="Times New Roman"/>
          <w:color w:val="auto"/>
          <w:szCs w:val="22"/>
          <w:lang w:val="pt-PT"/>
        </w:rPr>
        <w:t>0 </w:t>
      </w:r>
      <w:r w:rsidRPr="00110D6C">
        <w:rPr>
          <w:rFonts w:cs="Times New Roman"/>
          <w:color w:val="auto"/>
          <w:szCs w:val="22"/>
          <w:lang w:val="pt-PT"/>
        </w:rPr>
        <w:t>pessoas).</w:t>
      </w:r>
    </w:p>
    <w:p w14:paraId="3426A4E9" w14:textId="77777777" w:rsidR="00277492" w:rsidRPr="00110D6C" w:rsidRDefault="00277492" w:rsidP="00A17623">
      <w:pPr>
        <w:widowControl/>
        <w:rPr>
          <w:rFonts w:cs="Times New Roman"/>
          <w:bCs/>
          <w:color w:val="auto"/>
          <w:szCs w:val="22"/>
          <w:lang w:val="pt-PT"/>
        </w:rPr>
      </w:pPr>
    </w:p>
    <w:p w14:paraId="49913EDC" w14:textId="13017AA4"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Reações relacionadas com a perfusão – Se está a ser tratado para a doença de Crohn, a primeira dose de </w:t>
      </w:r>
      <w:r w:rsidR="00D50CFA">
        <w:rPr>
          <w:rFonts w:cs="Times New Roman"/>
          <w:b/>
          <w:bCs/>
          <w:color w:val="auto"/>
          <w:szCs w:val="22"/>
          <w:lang w:val="pt-PT"/>
        </w:rPr>
        <w:t>Fymskina</w:t>
      </w:r>
      <w:r w:rsidRPr="00110D6C">
        <w:rPr>
          <w:rFonts w:cs="Times New Roman"/>
          <w:b/>
          <w:bCs/>
          <w:color w:val="auto"/>
          <w:szCs w:val="22"/>
          <w:lang w:val="pt-PT"/>
        </w:rPr>
        <w:t xml:space="preserve"> deve ser administrada através de gota-a-gota numa veia (perfusão intravenosa). Alguns doentes experienciaram reações alérgicas graves durante a perfusão</w:t>
      </w:r>
      <w:r w:rsidR="00D50CFA">
        <w:rPr>
          <w:rFonts w:cs="Times New Roman"/>
          <w:b/>
          <w:bCs/>
          <w:color w:val="auto"/>
          <w:szCs w:val="22"/>
          <w:lang w:val="pt-PT"/>
        </w:rPr>
        <w:t xml:space="preserve"> de medicamentos contendo </w:t>
      </w:r>
      <w:r w:rsidR="00D50CFA" w:rsidRPr="00492A01">
        <w:rPr>
          <w:rFonts w:cs="Times New Roman"/>
          <w:b/>
          <w:bCs/>
          <w:color w:val="auto"/>
          <w:szCs w:val="22"/>
          <w:lang w:val="pt-PT"/>
        </w:rPr>
        <w:t>ustecinumab</w:t>
      </w:r>
      <w:r w:rsidRPr="00110D6C">
        <w:rPr>
          <w:rFonts w:cs="Times New Roman"/>
          <w:b/>
          <w:bCs/>
          <w:color w:val="auto"/>
          <w:szCs w:val="22"/>
          <w:lang w:val="pt-PT"/>
        </w:rPr>
        <w:t>.</w:t>
      </w:r>
    </w:p>
    <w:p w14:paraId="64254AF2" w14:textId="77777777" w:rsidR="00277492" w:rsidRPr="00110D6C" w:rsidRDefault="00277492" w:rsidP="00A17623">
      <w:pPr>
        <w:widowControl/>
        <w:rPr>
          <w:rFonts w:cs="Times New Roman"/>
          <w:bCs/>
          <w:color w:val="auto"/>
          <w:szCs w:val="22"/>
          <w:lang w:val="pt-PT"/>
        </w:rPr>
      </w:pPr>
    </w:p>
    <w:p w14:paraId="05B91BA1"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Em casos raros, foram reportadas reações alérgicas pulmonares e inflamação pulmonar em doentes que receberam ustecinumab. Informe imediatamente o seu médico se desenvolver sintomas como tosse, falta de ar e febre.</w:t>
      </w:r>
    </w:p>
    <w:p w14:paraId="2965B0AD" w14:textId="77777777" w:rsidR="00277492" w:rsidRPr="00110D6C" w:rsidRDefault="00277492" w:rsidP="00A17623">
      <w:pPr>
        <w:widowControl/>
        <w:rPr>
          <w:rFonts w:cs="Times New Roman"/>
          <w:color w:val="auto"/>
          <w:szCs w:val="22"/>
          <w:lang w:val="pt-PT"/>
        </w:rPr>
      </w:pPr>
    </w:p>
    <w:p w14:paraId="3D37B7BC" w14:textId="47CE2868"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Se tiver uma reação alérgica grave, o seu médico pode decidir que não deve usar </w:t>
      </w:r>
      <w:r w:rsidR="00D50CFA">
        <w:rPr>
          <w:rFonts w:cs="Times New Roman"/>
          <w:color w:val="auto"/>
          <w:szCs w:val="22"/>
          <w:lang w:val="pt-PT"/>
        </w:rPr>
        <w:t>Fymskina</w:t>
      </w:r>
      <w:r w:rsidRPr="00110D6C">
        <w:rPr>
          <w:rFonts w:cs="Times New Roman"/>
          <w:color w:val="auto"/>
          <w:szCs w:val="22"/>
          <w:lang w:val="pt-PT"/>
        </w:rPr>
        <w:t xml:space="preserve"> novamente.</w:t>
      </w:r>
    </w:p>
    <w:p w14:paraId="1D908DCD" w14:textId="77777777" w:rsidR="00277492" w:rsidRPr="00110D6C" w:rsidRDefault="00277492" w:rsidP="00A17623">
      <w:pPr>
        <w:widowControl/>
        <w:rPr>
          <w:rFonts w:cs="Times New Roman"/>
          <w:bCs/>
          <w:color w:val="auto"/>
          <w:szCs w:val="22"/>
          <w:lang w:val="pt-PT"/>
        </w:rPr>
      </w:pPr>
      <w:bookmarkStart w:id="116" w:name="bookmark205"/>
    </w:p>
    <w:p w14:paraId="4D9CB788"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lastRenderedPageBreak/>
        <w:t>Infeções - pode necessitar de tratamento médico urgente. Fale com o seu médico imediatamente se notar algum dos seguintes sinais.</w:t>
      </w:r>
      <w:bookmarkEnd w:id="116"/>
    </w:p>
    <w:p w14:paraId="1039AFE1" w14:textId="77777777" w:rsidR="0077031F" w:rsidRPr="00110D6C" w:rsidRDefault="00030085" w:rsidP="00D74B6E">
      <w:pPr>
        <w:pStyle w:val="Listenabsatz"/>
        <w:widowControl/>
        <w:numPr>
          <w:ilvl w:val="0"/>
          <w:numId w:val="6"/>
        </w:numPr>
        <w:ind w:left="567" w:hanging="567"/>
        <w:rPr>
          <w:rFonts w:cs="Times New Roman"/>
          <w:color w:val="auto"/>
          <w:szCs w:val="22"/>
          <w:lang w:val="pt-PT"/>
        </w:rPr>
      </w:pPr>
      <w:r w:rsidRPr="00110D6C">
        <w:rPr>
          <w:rFonts w:cs="Times New Roman"/>
          <w:color w:val="auto"/>
          <w:szCs w:val="22"/>
          <w:lang w:val="pt-PT"/>
        </w:rPr>
        <w:t>Infeções do nariz e da garganta e constipações comuns são frequentes (podem afetar até 1</w:t>
      </w:r>
      <w:r w:rsidR="00277492" w:rsidRPr="00110D6C">
        <w:rPr>
          <w:rFonts w:cs="Times New Roman"/>
          <w:color w:val="auto"/>
          <w:szCs w:val="22"/>
          <w:lang w:val="pt-PT"/>
        </w:rPr>
        <w:t xml:space="preserve"> </w:t>
      </w:r>
      <w:r w:rsidRPr="00110D6C">
        <w:rPr>
          <w:rFonts w:cs="Times New Roman"/>
          <w:color w:val="auto"/>
          <w:szCs w:val="22"/>
          <w:lang w:val="pt-PT"/>
        </w:rPr>
        <w:t>em cada 1</w:t>
      </w:r>
      <w:r w:rsidR="00B910F9" w:rsidRPr="00110D6C">
        <w:rPr>
          <w:rFonts w:cs="Times New Roman"/>
          <w:color w:val="auto"/>
          <w:szCs w:val="22"/>
          <w:lang w:val="pt-PT"/>
        </w:rPr>
        <w:t>0 </w:t>
      </w:r>
      <w:r w:rsidRPr="00110D6C">
        <w:rPr>
          <w:rFonts w:cs="Times New Roman"/>
          <w:color w:val="auto"/>
          <w:szCs w:val="22"/>
          <w:lang w:val="pt-PT"/>
        </w:rPr>
        <w:t>pessoas)</w:t>
      </w:r>
    </w:p>
    <w:p w14:paraId="101D0B8E" w14:textId="77777777" w:rsidR="0077031F" w:rsidRPr="00110D6C" w:rsidRDefault="00030085" w:rsidP="00D74B6E">
      <w:pPr>
        <w:pStyle w:val="Listenabsatz"/>
        <w:widowControl/>
        <w:numPr>
          <w:ilvl w:val="0"/>
          <w:numId w:val="6"/>
        </w:numPr>
        <w:ind w:left="567" w:hanging="567"/>
        <w:rPr>
          <w:rFonts w:cs="Times New Roman"/>
          <w:color w:val="auto"/>
          <w:szCs w:val="22"/>
          <w:lang w:val="pt-PT"/>
        </w:rPr>
      </w:pPr>
      <w:r w:rsidRPr="00110D6C">
        <w:rPr>
          <w:rFonts w:cs="Times New Roman"/>
          <w:color w:val="auto"/>
          <w:szCs w:val="22"/>
          <w:lang w:val="pt-PT"/>
        </w:rPr>
        <w:t xml:space="preserve">Infeções do tórax são pouco frequentes (podem afetar até </w:t>
      </w:r>
      <w:r w:rsidR="00B910F9" w:rsidRPr="00110D6C">
        <w:rPr>
          <w:rFonts w:cs="Times New Roman"/>
          <w:color w:val="auto"/>
          <w:szCs w:val="22"/>
          <w:lang w:val="pt-PT"/>
        </w:rPr>
        <w:t>1 </w:t>
      </w:r>
      <w:r w:rsidRPr="00110D6C">
        <w:rPr>
          <w:rFonts w:cs="Times New Roman"/>
          <w:color w:val="auto"/>
          <w:szCs w:val="22"/>
          <w:lang w:val="pt-PT"/>
        </w:rPr>
        <w:t>em cada 10</w:t>
      </w:r>
      <w:r w:rsidR="00B910F9" w:rsidRPr="00110D6C">
        <w:rPr>
          <w:rFonts w:cs="Times New Roman"/>
          <w:color w:val="auto"/>
          <w:szCs w:val="22"/>
          <w:lang w:val="pt-PT"/>
        </w:rPr>
        <w:t>0 </w:t>
      </w:r>
      <w:r w:rsidRPr="00110D6C">
        <w:rPr>
          <w:rFonts w:cs="Times New Roman"/>
          <w:color w:val="auto"/>
          <w:szCs w:val="22"/>
          <w:lang w:val="pt-PT"/>
        </w:rPr>
        <w:t>pessoas)</w:t>
      </w:r>
    </w:p>
    <w:p w14:paraId="4550FEA2" w14:textId="77777777" w:rsidR="0077031F" w:rsidRPr="00110D6C" w:rsidRDefault="00030085" w:rsidP="00D74B6E">
      <w:pPr>
        <w:pStyle w:val="Listenabsatz"/>
        <w:widowControl/>
        <w:numPr>
          <w:ilvl w:val="0"/>
          <w:numId w:val="6"/>
        </w:numPr>
        <w:ind w:left="567" w:hanging="567"/>
        <w:rPr>
          <w:rFonts w:cs="Times New Roman"/>
          <w:color w:val="auto"/>
          <w:szCs w:val="22"/>
          <w:lang w:val="pt-PT"/>
        </w:rPr>
      </w:pPr>
      <w:r w:rsidRPr="00110D6C">
        <w:rPr>
          <w:rFonts w:cs="Times New Roman"/>
          <w:color w:val="auto"/>
          <w:szCs w:val="22"/>
          <w:lang w:val="pt-PT"/>
        </w:rPr>
        <w:t>Inflamação dos tecidos por baixo da pele (“celulite”) é pouco frequente (pode afetar até 1</w:t>
      </w:r>
      <w:r w:rsidR="00277492" w:rsidRPr="00110D6C">
        <w:rPr>
          <w:rFonts w:cs="Times New Roman"/>
          <w:color w:val="auto"/>
          <w:szCs w:val="22"/>
          <w:lang w:val="pt-PT"/>
        </w:rPr>
        <w:t xml:space="preserve"> </w:t>
      </w:r>
      <w:r w:rsidRPr="00110D6C">
        <w:rPr>
          <w:rFonts w:cs="Times New Roman"/>
          <w:color w:val="auto"/>
          <w:szCs w:val="22"/>
          <w:lang w:val="pt-PT"/>
        </w:rPr>
        <w:t>em cada 10</w:t>
      </w:r>
      <w:r w:rsidR="00B910F9" w:rsidRPr="00110D6C">
        <w:rPr>
          <w:rFonts w:cs="Times New Roman"/>
          <w:color w:val="auto"/>
          <w:szCs w:val="22"/>
          <w:lang w:val="pt-PT"/>
        </w:rPr>
        <w:t>0 </w:t>
      </w:r>
      <w:r w:rsidRPr="00110D6C">
        <w:rPr>
          <w:rFonts w:cs="Times New Roman"/>
          <w:color w:val="auto"/>
          <w:szCs w:val="22"/>
          <w:lang w:val="pt-PT"/>
        </w:rPr>
        <w:t>pessoas)</w:t>
      </w:r>
    </w:p>
    <w:p w14:paraId="4F456198" w14:textId="77777777" w:rsidR="0077031F" w:rsidRPr="00110D6C" w:rsidRDefault="00030085" w:rsidP="00D74B6E">
      <w:pPr>
        <w:pStyle w:val="Listenabsatz"/>
        <w:widowControl/>
        <w:numPr>
          <w:ilvl w:val="0"/>
          <w:numId w:val="6"/>
        </w:numPr>
        <w:ind w:left="567" w:hanging="567"/>
        <w:rPr>
          <w:rFonts w:cs="Times New Roman"/>
          <w:color w:val="auto"/>
          <w:szCs w:val="22"/>
          <w:lang w:val="pt-PT"/>
        </w:rPr>
      </w:pPr>
      <w:r w:rsidRPr="00110D6C">
        <w:rPr>
          <w:rFonts w:cs="Times New Roman"/>
          <w:color w:val="auto"/>
          <w:szCs w:val="22"/>
          <w:lang w:val="pt-PT"/>
        </w:rPr>
        <w:t>Zona (um tipo de erupção na pele dolorosa com bolhas) é pouco frequente (pode afetar</w:t>
      </w:r>
      <w:r w:rsidR="00277492" w:rsidRPr="00110D6C">
        <w:rPr>
          <w:rFonts w:cs="Times New Roman"/>
          <w:color w:val="auto"/>
          <w:szCs w:val="22"/>
          <w:lang w:val="pt-PT"/>
        </w:rPr>
        <w:t xml:space="preserve"> </w:t>
      </w:r>
      <w:r w:rsidRPr="00110D6C">
        <w:rPr>
          <w:rFonts w:cs="Times New Roman"/>
          <w:color w:val="auto"/>
          <w:szCs w:val="22"/>
          <w:lang w:val="pt-PT"/>
        </w:rPr>
        <w:t xml:space="preserve">até </w:t>
      </w:r>
      <w:r w:rsidR="00B910F9" w:rsidRPr="00110D6C">
        <w:rPr>
          <w:rFonts w:cs="Times New Roman"/>
          <w:color w:val="auto"/>
          <w:szCs w:val="22"/>
          <w:lang w:val="pt-PT"/>
        </w:rPr>
        <w:t>1 </w:t>
      </w:r>
      <w:r w:rsidRPr="00110D6C">
        <w:rPr>
          <w:rFonts w:cs="Times New Roman"/>
          <w:color w:val="auto"/>
          <w:szCs w:val="22"/>
          <w:lang w:val="pt-PT"/>
        </w:rPr>
        <w:t>em cada 10</w:t>
      </w:r>
      <w:r w:rsidR="00B910F9" w:rsidRPr="00110D6C">
        <w:rPr>
          <w:rFonts w:cs="Times New Roman"/>
          <w:color w:val="auto"/>
          <w:szCs w:val="22"/>
          <w:lang w:val="pt-PT"/>
        </w:rPr>
        <w:t>0 </w:t>
      </w:r>
      <w:r w:rsidRPr="00110D6C">
        <w:rPr>
          <w:rFonts w:cs="Times New Roman"/>
          <w:color w:val="auto"/>
          <w:szCs w:val="22"/>
          <w:lang w:val="pt-PT"/>
        </w:rPr>
        <w:t>pessoas).</w:t>
      </w:r>
    </w:p>
    <w:p w14:paraId="33BDEEC5" w14:textId="77777777" w:rsidR="00277492" w:rsidRPr="00110D6C" w:rsidRDefault="00277492" w:rsidP="00A17623">
      <w:pPr>
        <w:widowControl/>
        <w:rPr>
          <w:rFonts w:cs="Times New Roman"/>
          <w:color w:val="auto"/>
          <w:szCs w:val="22"/>
          <w:lang w:val="pt-PT"/>
        </w:rPr>
      </w:pPr>
    </w:p>
    <w:p w14:paraId="187DBA49" w14:textId="4AF0F48C" w:rsidR="0077031F" w:rsidRPr="00110D6C" w:rsidRDefault="00D50CFA" w:rsidP="00A17623">
      <w:pPr>
        <w:widowControl/>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pode torná-lo menos capaz para combater infeções. Algumas infeções podem tornar-se graves, e podem incluir infeções causadas por vírus, fungos, bactérias (incluindo tuberculose) ou parasitas, incluindo infeções que, maioritariamente, ocorrem em pessoas com o sistema imune debilitado (infeções oportunistas). Foram notificadas infeções oportunistas do cérebro (encefalite, meningite), dos pulmões e do olho em doentes que receberam tratamento com ustecinumab.</w:t>
      </w:r>
    </w:p>
    <w:p w14:paraId="2A603745" w14:textId="77777777" w:rsidR="00277492" w:rsidRPr="00110D6C" w:rsidRDefault="00277492" w:rsidP="00A17623">
      <w:pPr>
        <w:widowControl/>
        <w:rPr>
          <w:rFonts w:cs="Times New Roman"/>
          <w:color w:val="auto"/>
          <w:szCs w:val="22"/>
          <w:lang w:val="pt-PT"/>
        </w:rPr>
      </w:pPr>
    </w:p>
    <w:p w14:paraId="4835271C" w14:textId="18E285BD"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Deve estar atento a sinais de infeção enquanto estiver a utilizar </w:t>
      </w:r>
      <w:r w:rsidR="00D50CFA">
        <w:rPr>
          <w:rFonts w:cs="Times New Roman"/>
          <w:color w:val="auto"/>
          <w:szCs w:val="22"/>
          <w:lang w:val="pt-PT"/>
        </w:rPr>
        <w:t>Fymskina</w:t>
      </w:r>
      <w:r w:rsidRPr="00110D6C">
        <w:rPr>
          <w:rFonts w:cs="Times New Roman"/>
          <w:color w:val="auto"/>
          <w:szCs w:val="22"/>
          <w:lang w:val="pt-PT"/>
        </w:rPr>
        <w:t>. Isto inclui:</w:t>
      </w:r>
    </w:p>
    <w:p w14:paraId="3A2A3D3B" w14:textId="77777777" w:rsidR="0077031F" w:rsidRPr="00110D6C" w:rsidRDefault="00030085" w:rsidP="00D74B6E">
      <w:pPr>
        <w:pStyle w:val="Listenabsatz"/>
        <w:widowControl/>
        <w:numPr>
          <w:ilvl w:val="0"/>
          <w:numId w:val="6"/>
        </w:numPr>
        <w:ind w:left="567" w:hanging="567"/>
        <w:rPr>
          <w:rFonts w:cs="Times New Roman"/>
          <w:color w:val="auto"/>
          <w:szCs w:val="22"/>
          <w:lang w:val="pt-PT"/>
        </w:rPr>
      </w:pPr>
      <w:r w:rsidRPr="00110D6C">
        <w:rPr>
          <w:rFonts w:cs="Times New Roman"/>
          <w:color w:val="auto"/>
          <w:szCs w:val="22"/>
          <w:lang w:val="pt-PT"/>
        </w:rPr>
        <w:t>febre, sintomas de tipo gripal, transpiração excessiva durante a noite, perda de peso</w:t>
      </w:r>
    </w:p>
    <w:p w14:paraId="017BD508"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sensação de cansaço ou</w:t>
      </w:r>
      <w:r w:rsidR="00277492" w:rsidRPr="00110D6C">
        <w:rPr>
          <w:rFonts w:cs="Times New Roman"/>
          <w:color w:val="auto"/>
          <w:szCs w:val="22"/>
          <w:lang w:val="pt-PT"/>
        </w:rPr>
        <w:t xml:space="preserve"> </w:t>
      </w:r>
      <w:r w:rsidRPr="00110D6C">
        <w:rPr>
          <w:rFonts w:cs="Times New Roman"/>
          <w:color w:val="auto"/>
          <w:szCs w:val="22"/>
          <w:lang w:val="pt-PT"/>
        </w:rPr>
        <w:t>falta de ar, tosse</w:t>
      </w:r>
      <w:r w:rsidR="00277492" w:rsidRPr="00110D6C">
        <w:rPr>
          <w:rFonts w:cs="Times New Roman"/>
          <w:color w:val="auto"/>
          <w:szCs w:val="22"/>
          <w:lang w:val="pt-PT"/>
        </w:rPr>
        <w:t xml:space="preserve"> </w:t>
      </w:r>
      <w:r w:rsidRPr="00110D6C">
        <w:rPr>
          <w:rFonts w:cs="Times New Roman"/>
          <w:color w:val="auto"/>
          <w:szCs w:val="22"/>
          <w:lang w:val="pt-PT"/>
        </w:rPr>
        <w:t>que não</w:t>
      </w:r>
      <w:r w:rsidR="00277492" w:rsidRPr="00110D6C">
        <w:rPr>
          <w:rFonts w:cs="Times New Roman"/>
          <w:color w:val="auto"/>
          <w:szCs w:val="22"/>
          <w:lang w:val="pt-PT"/>
        </w:rPr>
        <w:t xml:space="preserve"> </w:t>
      </w:r>
      <w:r w:rsidRPr="00110D6C">
        <w:rPr>
          <w:rFonts w:cs="Times New Roman"/>
          <w:color w:val="auto"/>
          <w:szCs w:val="22"/>
          <w:lang w:val="pt-PT"/>
        </w:rPr>
        <w:t>desaparece</w:t>
      </w:r>
    </w:p>
    <w:p w14:paraId="06A84A28"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pele quente, vermelha e</w:t>
      </w:r>
      <w:r w:rsidR="00277492" w:rsidRPr="00110D6C">
        <w:rPr>
          <w:rFonts w:cs="Times New Roman"/>
          <w:color w:val="auto"/>
          <w:szCs w:val="22"/>
          <w:lang w:val="pt-PT"/>
        </w:rPr>
        <w:t xml:space="preserve"> </w:t>
      </w:r>
      <w:r w:rsidRPr="00110D6C">
        <w:rPr>
          <w:rFonts w:cs="Times New Roman"/>
          <w:color w:val="auto"/>
          <w:szCs w:val="22"/>
          <w:lang w:val="pt-PT"/>
        </w:rPr>
        <w:t>dolorosa ou erupção cutânea</w:t>
      </w:r>
      <w:r w:rsidR="00277492" w:rsidRPr="00110D6C">
        <w:rPr>
          <w:rFonts w:cs="Times New Roman"/>
          <w:color w:val="auto"/>
          <w:szCs w:val="22"/>
          <w:lang w:val="pt-PT"/>
        </w:rPr>
        <w:t xml:space="preserve"> </w:t>
      </w:r>
      <w:r w:rsidRPr="00110D6C">
        <w:rPr>
          <w:rFonts w:cs="Times New Roman"/>
          <w:color w:val="auto"/>
          <w:szCs w:val="22"/>
          <w:lang w:val="pt-PT"/>
        </w:rPr>
        <w:t>dolorosa com bolhas</w:t>
      </w:r>
    </w:p>
    <w:p w14:paraId="0131A77E"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ardor ao urinar</w:t>
      </w:r>
    </w:p>
    <w:p w14:paraId="68F34C45"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diarreia</w:t>
      </w:r>
    </w:p>
    <w:p w14:paraId="58C1D62C"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perturbação visual ou perda de visão</w:t>
      </w:r>
    </w:p>
    <w:p w14:paraId="1F42476E"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dores de cabeça, rigidez do pescoço, sensibilidade à luz, náuseas ou confusão.</w:t>
      </w:r>
    </w:p>
    <w:p w14:paraId="4CBAFA96" w14:textId="77777777" w:rsidR="00277492" w:rsidRPr="00110D6C" w:rsidRDefault="00277492" w:rsidP="00A17623">
      <w:pPr>
        <w:widowControl/>
        <w:rPr>
          <w:rFonts w:cs="Times New Roman"/>
          <w:color w:val="auto"/>
          <w:szCs w:val="22"/>
          <w:lang w:val="pt-PT"/>
        </w:rPr>
      </w:pPr>
    </w:p>
    <w:p w14:paraId="3C2C2C1A" w14:textId="45316632"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Fale imediatamente com o seu médico se notar algum destes sinais de infeção. Estes podem ser sinais de infeções, tais como infeções do tórax, infeções da pele, zona ou infeções oportunistas, que podem apresentar complicações graves. Fale com o seu médico se tiver qualquer tipo de infeção que não desaparece ou continua a aparecer. O seu médico pode decidir que não deve utilizar </w:t>
      </w:r>
      <w:r w:rsidR="00D50CFA">
        <w:rPr>
          <w:rFonts w:cs="Times New Roman"/>
          <w:color w:val="auto"/>
          <w:szCs w:val="22"/>
          <w:lang w:val="pt-PT"/>
        </w:rPr>
        <w:t>Fymskina</w:t>
      </w:r>
      <w:r w:rsidRPr="00110D6C">
        <w:rPr>
          <w:rFonts w:cs="Times New Roman"/>
          <w:color w:val="auto"/>
          <w:szCs w:val="22"/>
          <w:lang w:val="pt-PT"/>
        </w:rPr>
        <w:t xml:space="preserve"> até a infeção desaparecer. Contacte também o seu médico se tiver quaisquer cortes ou feridas abertas uma vez que podem infetar.</w:t>
      </w:r>
    </w:p>
    <w:p w14:paraId="05A4B299" w14:textId="77777777" w:rsidR="00277492" w:rsidRPr="00110D6C" w:rsidRDefault="00277492" w:rsidP="00A17623">
      <w:pPr>
        <w:widowControl/>
        <w:rPr>
          <w:rFonts w:cs="Times New Roman"/>
          <w:bCs/>
          <w:color w:val="auto"/>
          <w:szCs w:val="22"/>
          <w:lang w:val="pt-PT"/>
        </w:rPr>
      </w:pPr>
    </w:p>
    <w:p w14:paraId="1A644032" w14:textId="77777777" w:rsidR="0077031F" w:rsidRPr="00110D6C" w:rsidRDefault="00030085" w:rsidP="00A17623">
      <w:pPr>
        <w:widowControl/>
        <w:rPr>
          <w:rFonts w:cs="Times New Roman"/>
          <w:b/>
          <w:bCs/>
          <w:color w:val="auto"/>
          <w:szCs w:val="22"/>
          <w:lang w:val="pt-PT"/>
        </w:rPr>
      </w:pPr>
      <w:r w:rsidRPr="00110D6C">
        <w:rPr>
          <w:rFonts w:cs="Times New Roman"/>
          <w:b/>
          <w:bCs/>
          <w:color w:val="auto"/>
          <w:szCs w:val="22"/>
          <w:lang w:val="pt-PT"/>
        </w:rPr>
        <w:t>Descamação da pele - aumento da vermelhidão e descamação da pele numa maior área do corpo podem ser sintomas de psoríase eritrodérmica ou dermatite exfoliativa, que são doenças de pele graves. Deve falar com o seu médico imediatamente se notar algum destes sinais.</w:t>
      </w:r>
    </w:p>
    <w:p w14:paraId="12FF82E0" w14:textId="77777777" w:rsidR="00277492" w:rsidRPr="00110D6C" w:rsidRDefault="00277492" w:rsidP="00A17623">
      <w:pPr>
        <w:widowControl/>
        <w:rPr>
          <w:rFonts w:cs="Times New Roman"/>
          <w:color w:val="auto"/>
          <w:szCs w:val="22"/>
          <w:lang w:val="pt-PT"/>
        </w:rPr>
      </w:pPr>
    </w:p>
    <w:p w14:paraId="6F4C9481" w14:textId="77777777" w:rsidR="0077031F" w:rsidRPr="00110D6C" w:rsidRDefault="00030085" w:rsidP="00A17623">
      <w:pPr>
        <w:widowControl/>
        <w:rPr>
          <w:rFonts w:cs="Times New Roman"/>
          <w:b/>
          <w:bCs/>
          <w:color w:val="auto"/>
          <w:szCs w:val="22"/>
          <w:lang w:val="pt-PT"/>
        </w:rPr>
      </w:pPr>
      <w:bookmarkStart w:id="117" w:name="bookmark207"/>
      <w:r w:rsidRPr="00110D6C">
        <w:rPr>
          <w:rFonts w:cs="Times New Roman"/>
          <w:b/>
          <w:bCs/>
          <w:color w:val="auto"/>
          <w:szCs w:val="22"/>
          <w:lang w:val="pt-PT"/>
        </w:rPr>
        <w:t>Outros efeitos indesejáveis</w:t>
      </w:r>
      <w:bookmarkEnd w:id="117"/>
    </w:p>
    <w:p w14:paraId="67E9FD7D" w14:textId="77777777" w:rsidR="00277492" w:rsidRPr="00110D6C" w:rsidRDefault="00277492" w:rsidP="00A17623">
      <w:pPr>
        <w:widowControl/>
        <w:rPr>
          <w:rFonts w:cs="Times New Roman"/>
          <w:color w:val="auto"/>
          <w:szCs w:val="22"/>
          <w:lang w:val="pt-PT"/>
        </w:rPr>
      </w:pPr>
    </w:p>
    <w:p w14:paraId="16AEA284"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Efeitos indesejáveis frequentes </w:t>
      </w:r>
      <w:r w:rsidRPr="00110D6C">
        <w:rPr>
          <w:rFonts w:cs="Times New Roman"/>
          <w:color w:val="auto"/>
          <w:szCs w:val="22"/>
          <w:lang w:val="pt-PT"/>
        </w:rPr>
        <w:t xml:space="preserve">(podem afetar até </w:t>
      </w:r>
      <w:r w:rsidR="00B910F9" w:rsidRPr="00110D6C">
        <w:rPr>
          <w:rFonts w:cs="Times New Roman"/>
          <w:color w:val="auto"/>
          <w:szCs w:val="22"/>
          <w:lang w:val="pt-PT"/>
        </w:rPr>
        <w:t>1 </w:t>
      </w:r>
      <w:r w:rsidRPr="00110D6C">
        <w:rPr>
          <w:rFonts w:cs="Times New Roman"/>
          <w:color w:val="auto"/>
          <w:szCs w:val="22"/>
          <w:lang w:val="pt-PT"/>
        </w:rPr>
        <w:t>em cada 1</w:t>
      </w:r>
      <w:r w:rsidR="00B910F9" w:rsidRPr="00110D6C">
        <w:rPr>
          <w:rFonts w:cs="Times New Roman"/>
          <w:color w:val="auto"/>
          <w:szCs w:val="22"/>
          <w:lang w:val="pt-PT"/>
        </w:rPr>
        <w:t>0 </w:t>
      </w:r>
      <w:r w:rsidRPr="00110D6C">
        <w:rPr>
          <w:rFonts w:cs="Times New Roman"/>
          <w:color w:val="auto"/>
          <w:szCs w:val="22"/>
          <w:lang w:val="pt-PT"/>
        </w:rPr>
        <w:t>pessoas):</w:t>
      </w:r>
    </w:p>
    <w:p w14:paraId="449D7054"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Diarreia</w:t>
      </w:r>
    </w:p>
    <w:p w14:paraId="66EB2034"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Náuseas</w:t>
      </w:r>
    </w:p>
    <w:p w14:paraId="653F54FD"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Vómito</w:t>
      </w:r>
    </w:p>
    <w:p w14:paraId="49AC4F8B"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Sensação de cansaço</w:t>
      </w:r>
    </w:p>
    <w:p w14:paraId="727454F8"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Sensação de tontura</w:t>
      </w:r>
    </w:p>
    <w:p w14:paraId="73ECA740"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Dor de cabeça</w:t>
      </w:r>
    </w:p>
    <w:p w14:paraId="58D93783"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Comichão (“prurido”)</w:t>
      </w:r>
    </w:p>
    <w:p w14:paraId="203380C5"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Dor nos músculos, nas articulações ou nas costas</w:t>
      </w:r>
    </w:p>
    <w:p w14:paraId="72DFD9C8"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Dor de garganta</w:t>
      </w:r>
    </w:p>
    <w:p w14:paraId="10B2D428"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Vermelhidão e dor no local de injeção</w:t>
      </w:r>
    </w:p>
    <w:p w14:paraId="3781B7CE"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Infeções dos seios perinasais</w:t>
      </w:r>
    </w:p>
    <w:p w14:paraId="0675394C" w14:textId="77777777" w:rsidR="00277492" w:rsidRPr="00110D6C" w:rsidRDefault="00277492" w:rsidP="00A17623">
      <w:pPr>
        <w:widowControl/>
        <w:rPr>
          <w:rFonts w:cs="Times New Roman"/>
          <w:bCs/>
          <w:color w:val="auto"/>
          <w:szCs w:val="22"/>
          <w:lang w:val="pt-PT"/>
        </w:rPr>
      </w:pPr>
    </w:p>
    <w:p w14:paraId="5A23DBD2"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Efeitos indesejáveis pouco frequentes </w:t>
      </w:r>
      <w:r w:rsidRPr="00110D6C">
        <w:rPr>
          <w:rFonts w:cs="Times New Roman"/>
          <w:color w:val="auto"/>
          <w:szCs w:val="22"/>
          <w:lang w:val="pt-PT"/>
        </w:rPr>
        <w:t xml:space="preserve">(podem afetar até </w:t>
      </w:r>
      <w:r w:rsidR="00B910F9" w:rsidRPr="00110D6C">
        <w:rPr>
          <w:rFonts w:cs="Times New Roman"/>
          <w:color w:val="auto"/>
          <w:szCs w:val="22"/>
          <w:lang w:val="pt-PT"/>
        </w:rPr>
        <w:t>1 </w:t>
      </w:r>
      <w:r w:rsidRPr="00110D6C">
        <w:rPr>
          <w:rFonts w:cs="Times New Roman"/>
          <w:color w:val="auto"/>
          <w:szCs w:val="22"/>
          <w:lang w:val="pt-PT"/>
        </w:rPr>
        <w:t>em cada 10</w:t>
      </w:r>
      <w:r w:rsidR="00B910F9" w:rsidRPr="00110D6C">
        <w:rPr>
          <w:rFonts w:cs="Times New Roman"/>
          <w:color w:val="auto"/>
          <w:szCs w:val="22"/>
          <w:lang w:val="pt-PT"/>
        </w:rPr>
        <w:t>0 </w:t>
      </w:r>
      <w:r w:rsidRPr="00110D6C">
        <w:rPr>
          <w:rFonts w:cs="Times New Roman"/>
          <w:color w:val="auto"/>
          <w:szCs w:val="22"/>
          <w:lang w:val="pt-PT"/>
        </w:rPr>
        <w:t>pessoas):</w:t>
      </w:r>
    </w:p>
    <w:p w14:paraId="2CB4DE82"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Infeções nos dentes</w:t>
      </w:r>
    </w:p>
    <w:p w14:paraId="31C8E530"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Infeção fúngica vaginal</w:t>
      </w:r>
    </w:p>
    <w:p w14:paraId="030D329D"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Depressão</w:t>
      </w:r>
    </w:p>
    <w:p w14:paraId="2C5B7226"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lastRenderedPageBreak/>
        <w:t>Nariz entupido</w:t>
      </w:r>
    </w:p>
    <w:p w14:paraId="4B36EFBA"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Hemorragia, nódoas negras, endurecimento, inchaço e comichão no local da injeção</w:t>
      </w:r>
    </w:p>
    <w:p w14:paraId="15978DD6"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Sensação de fraqueza</w:t>
      </w:r>
    </w:p>
    <w:p w14:paraId="7229075B"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Queda da pálpebra e flacidez dos músculos de um lado da cara (“paralisia facial” ou</w:t>
      </w:r>
      <w:r w:rsidR="00277492" w:rsidRPr="00110D6C">
        <w:rPr>
          <w:rFonts w:cs="Times New Roman"/>
          <w:color w:val="auto"/>
          <w:szCs w:val="22"/>
          <w:lang w:val="pt-PT"/>
        </w:rPr>
        <w:t xml:space="preserve"> </w:t>
      </w:r>
      <w:r w:rsidRPr="00110D6C">
        <w:rPr>
          <w:rFonts w:cs="Times New Roman"/>
          <w:color w:val="auto"/>
          <w:szCs w:val="22"/>
          <w:lang w:val="pt-PT"/>
        </w:rPr>
        <w:t>“paralisia de Bell”), que é, habitualmente, temporário</w:t>
      </w:r>
    </w:p>
    <w:p w14:paraId="2B0C2C3D"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Uma alteração na psoríase, com vermelhidão e novas e pequenas bolhas amarelas ou</w:t>
      </w:r>
      <w:r w:rsidR="00277492" w:rsidRPr="00110D6C">
        <w:rPr>
          <w:rFonts w:cs="Times New Roman"/>
          <w:color w:val="auto"/>
          <w:szCs w:val="22"/>
          <w:lang w:val="pt-PT"/>
        </w:rPr>
        <w:t xml:space="preserve"> </w:t>
      </w:r>
      <w:r w:rsidRPr="00110D6C">
        <w:rPr>
          <w:rFonts w:cs="Times New Roman"/>
          <w:color w:val="auto"/>
          <w:szCs w:val="22"/>
          <w:lang w:val="pt-PT"/>
        </w:rPr>
        <w:t>brancas, por vezes acompanhada de febre (psoríase pustular)</w:t>
      </w:r>
    </w:p>
    <w:p w14:paraId="0D09F582"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Descamação da pele (exfoliação da pele)</w:t>
      </w:r>
    </w:p>
    <w:p w14:paraId="521C2B6E"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Acne</w:t>
      </w:r>
    </w:p>
    <w:p w14:paraId="1DBB0570" w14:textId="77777777" w:rsidR="00277492" w:rsidRPr="00110D6C" w:rsidRDefault="00277492" w:rsidP="00A17623">
      <w:pPr>
        <w:widowControl/>
        <w:rPr>
          <w:rFonts w:cs="Times New Roman"/>
          <w:bCs/>
          <w:color w:val="auto"/>
          <w:szCs w:val="22"/>
          <w:lang w:val="pt-PT"/>
        </w:rPr>
      </w:pPr>
    </w:p>
    <w:p w14:paraId="2ACC5170"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Efeitos indesejáveis raros </w:t>
      </w:r>
      <w:r w:rsidRPr="00110D6C">
        <w:rPr>
          <w:rFonts w:cs="Times New Roman"/>
          <w:color w:val="auto"/>
          <w:szCs w:val="22"/>
          <w:lang w:val="pt-PT"/>
        </w:rPr>
        <w:t xml:space="preserve">(podem afetar até </w:t>
      </w:r>
      <w:r w:rsidR="00B910F9" w:rsidRPr="00110D6C">
        <w:rPr>
          <w:rFonts w:cs="Times New Roman"/>
          <w:color w:val="auto"/>
          <w:szCs w:val="22"/>
          <w:lang w:val="pt-PT"/>
        </w:rPr>
        <w:t>1 </w:t>
      </w:r>
      <w:r w:rsidRPr="00110D6C">
        <w:rPr>
          <w:rFonts w:cs="Times New Roman"/>
          <w:color w:val="auto"/>
          <w:szCs w:val="22"/>
          <w:lang w:val="pt-PT"/>
        </w:rPr>
        <w:t>em cada 100</w:t>
      </w:r>
      <w:r w:rsidR="00B910F9" w:rsidRPr="00110D6C">
        <w:rPr>
          <w:rFonts w:cs="Times New Roman"/>
          <w:color w:val="auto"/>
          <w:szCs w:val="22"/>
          <w:lang w:val="pt-PT"/>
        </w:rPr>
        <w:t>0 </w:t>
      </w:r>
      <w:r w:rsidRPr="00110D6C">
        <w:rPr>
          <w:rFonts w:cs="Times New Roman"/>
          <w:color w:val="auto"/>
          <w:szCs w:val="22"/>
          <w:lang w:val="pt-PT"/>
        </w:rPr>
        <w:t>pessoas):</w:t>
      </w:r>
    </w:p>
    <w:p w14:paraId="7B5CEE8E"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Aumento da vermelhidão e descamação da pele numa maior área do corpo, que pode</w:t>
      </w:r>
      <w:r w:rsidR="00277492" w:rsidRPr="00110D6C">
        <w:rPr>
          <w:rFonts w:cs="Times New Roman"/>
          <w:color w:val="auto"/>
          <w:szCs w:val="22"/>
          <w:lang w:val="pt-PT"/>
        </w:rPr>
        <w:t xml:space="preserve"> </w:t>
      </w:r>
      <w:r w:rsidRPr="00110D6C">
        <w:rPr>
          <w:rFonts w:cs="Times New Roman"/>
          <w:color w:val="auto"/>
          <w:szCs w:val="22"/>
          <w:lang w:val="pt-PT"/>
        </w:rPr>
        <w:t>provocar comichão ou dor (dermatite exfoliativa). Por vezes, podem desenvolver-se sintomas semelhantes como alterações naturais no tipo de sintomas da psoríase (psoríase eritrodérmica)</w:t>
      </w:r>
    </w:p>
    <w:p w14:paraId="3738B89E"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Inflamação de pequenos vasos sanguíneos, que pode conduzir a uma erupção na pele com</w:t>
      </w:r>
      <w:r w:rsidR="00277492" w:rsidRPr="00110D6C">
        <w:rPr>
          <w:rFonts w:cs="Times New Roman"/>
          <w:color w:val="auto"/>
          <w:szCs w:val="22"/>
          <w:lang w:val="pt-PT"/>
        </w:rPr>
        <w:t xml:space="preserve"> </w:t>
      </w:r>
      <w:r w:rsidRPr="00110D6C">
        <w:rPr>
          <w:rFonts w:cs="Times New Roman"/>
          <w:color w:val="auto"/>
          <w:szCs w:val="22"/>
          <w:lang w:val="pt-PT"/>
        </w:rPr>
        <w:t>pequenas borbulhas vermelhas ou roxas, febre ou dores nas articulações (vasculite)</w:t>
      </w:r>
    </w:p>
    <w:p w14:paraId="09D66910" w14:textId="77777777" w:rsidR="00D50CFA" w:rsidRDefault="00D50CFA" w:rsidP="00A17623">
      <w:pPr>
        <w:widowControl/>
        <w:rPr>
          <w:rFonts w:cs="Times New Roman"/>
          <w:b/>
          <w:bCs/>
          <w:color w:val="auto"/>
          <w:szCs w:val="22"/>
          <w:lang w:val="pt-PT"/>
        </w:rPr>
      </w:pPr>
    </w:p>
    <w:p w14:paraId="160F6922" w14:textId="5E94B451"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Efeitos indesejáveis muito raros </w:t>
      </w:r>
      <w:r w:rsidRPr="00110D6C">
        <w:rPr>
          <w:rFonts w:cs="Times New Roman"/>
          <w:color w:val="auto"/>
          <w:szCs w:val="22"/>
          <w:lang w:val="pt-PT"/>
        </w:rPr>
        <w:t xml:space="preserve">(podem afetar </w:t>
      </w:r>
      <w:r w:rsidR="00B910F9" w:rsidRPr="00110D6C">
        <w:rPr>
          <w:rFonts w:cs="Times New Roman"/>
          <w:color w:val="auto"/>
          <w:szCs w:val="22"/>
          <w:lang w:val="pt-PT"/>
        </w:rPr>
        <w:t>1 </w:t>
      </w:r>
      <w:r w:rsidRPr="00110D6C">
        <w:rPr>
          <w:rFonts w:cs="Times New Roman"/>
          <w:color w:val="auto"/>
          <w:szCs w:val="22"/>
          <w:lang w:val="pt-PT"/>
        </w:rPr>
        <w:t>em cada 1</w:t>
      </w:r>
      <w:r w:rsidR="00B910F9" w:rsidRPr="00110D6C">
        <w:rPr>
          <w:rFonts w:cs="Times New Roman"/>
          <w:color w:val="auto"/>
          <w:szCs w:val="22"/>
          <w:lang w:val="pt-PT"/>
        </w:rPr>
        <w:t>0 </w:t>
      </w:r>
      <w:r w:rsidRPr="00110D6C">
        <w:rPr>
          <w:rFonts w:cs="Times New Roman"/>
          <w:color w:val="auto"/>
          <w:szCs w:val="22"/>
          <w:lang w:val="pt-PT"/>
        </w:rPr>
        <w:t>00</w:t>
      </w:r>
      <w:r w:rsidR="00B910F9" w:rsidRPr="00110D6C">
        <w:rPr>
          <w:rFonts w:cs="Times New Roman"/>
          <w:color w:val="auto"/>
          <w:szCs w:val="22"/>
          <w:lang w:val="pt-PT"/>
        </w:rPr>
        <w:t>0 </w:t>
      </w:r>
      <w:r w:rsidRPr="00110D6C">
        <w:rPr>
          <w:rFonts w:cs="Times New Roman"/>
          <w:color w:val="auto"/>
          <w:szCs w:val="22"/>
          <w:lang w:val="pt-PT"/>
        </w:rPr>
        <w:t>pessoas):</w:t>
      </w:r>
    </w:p>
    <w:p w14:paraId="6840E7C2"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Bolhas na pele que podem provocar vermelhidão, comichão e dor (penfigóide bolhoso).</w:t>
      </w:r>
    </w:p>
    <w:p w14:paraId="1D07F657"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Lúpus cutâneo ou síndrome do tipo lúpus (erupção cutânea avermelhada, saliente e</w:t>
      </w:r>
      <w:r w:rsidR="00277492" w:rsidRPr="00110D6C">
        <w:rPr>
          <w:rFonts w:cs="Times New Roman"/>
          <w:color w:val="auto"/>
          <w:szCs w:val="22"/>
          <w:lang w:val="pt-PT"/>
        </w:rPr>
        <w:t xml:space="preserve"> </w:t>
      </w:r>
      <w:r w:rsidRPr="00110D6C">
        <w:rPr>
          <w:rFonts w:cs="Times New Roman"/>
          <w:color w:val="auto"/>
          <w:szCs w:val="22"/>
          <w:lang w:val="pt-PT"/>
        </w:rPr>
        <w:t>descamativa em áreas da pele expostas ao sol, possivelmente com dores articulares).</w:t>
      </w:r>
    </w:p>
    <w:p w14:paraId="55821A8E" w14:textId="77777777" w:rsidR="00277492" w:rsidRPr="00110D6C" w:rsidRDefault="00277492" w:rsidP="00A17623">
      <w:pPr>
        <w:widowControl/>
        <w:rPr>
          <w:rFonts w:cs="Times New Roman"/>
          <w:bCs/>
          <w:color w:val="auto"/>
          <w:szCs w:val="22"/>
          <w:lang w:val="pt-PT"/>
        </w:rPr>
      </w:pPr>
      <w:bookmarkStart w:id="118" w:name="bookmark209"/>
    </w:p>
    <w:p w14:paraId="7B41A734"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Comunicação de efeitos indesejáveis</w:t>
      </w:r>
      <w:bookmarkEnd w:id="118"/>
    </w:p>
    <w:p w14:paraId="20B86C21" w14:textId="1084BACB"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Se tiver quaisquer efeitos indesejáveis, incluindo possíveis efeitos indesejáveis não indicados neste folheto, fale com o seu médico ou farmacêutico. Também poderá comunicar efeitos indesejáveis diretamente através </w:t>
      </w:r>
      <w:r w:rsidRPr="00110D6C">
        <w:rPr>
          <w:rFonts w:cs="Times New Roman"/>
          <w:color w:val="auto"/>
          <w:szCs w:val="22"/>
          <w:highlight w:val="lightGray"/>
          <w:lang w:val="pt-PT"/>
        </w:rPr>
        <w:t xml:space="preserve">do sistema nacional de notificação mencionado no </w:t>
      </w:r>
      <w:hyperlink r:id="rId16" w:history="1">
        <w:r w:rsidRPr="00D50CFA">
          <w:rPr>
            <w:rStyle w:val="Hyperlink"/>
            <w:rFonts w:cs="Times New Roman"/>
            <w:szCs w:val="22"/>
            <w:highlight w:val="lightGray"/>
            <w:lang w:val="pt-PT"/>
          </w:rPr>
          <w:t>Apêndice V</w:t>
        </w:r>
      </w:hyperlink>
      <w:r w:rsidRPr="00110D6C">
        <w:rPr>
          <w:rFonts w:cs="Times New Roman"/>
          <w:color w:val="auto"/>
          <w:szCs w:val="22"/>
          <w:u w:val="single"/>
          <w:lang w:val="pt-PT"/>
        </w:rPr>
        <w:t>.</w:t>
      </w:r>
      <w:r w:rsidR="008752C4" w:rsidRPr="00110D6C">
        <w:rPr>
          <w:rFonts w:cs="Times New Roman"/>
          <w:color w:val="auto"/>
          <w:szCs w:val="22"/>
          <w:lang w:val="pt-PT"/>
        </w:rPr>
        <w:t xml:space="preserve"> </w:t>
      </w:r>
      <w:r w:rsidRPr="00110D6C">
        <w:rPr>
          <w:rFonts w:cs="Times New Roman"/>
          <w:color w:val="auto"/>
          <w:szCs w:val="22"/>
          <w:lang w:val="pt-PT"/>
        </w:rPr>
        <w:t>Ao comunicar efeitos indesejáveis, estará a ajudar a fornecer mais informações sobre a segurança deste medicamento.</w:t>
      </w:r>
    </w:p>
    <w:p w14:paraId="5E18F9BD" w14:textId="77777777" w:rsidR="00277492" w:rsidRPr="00110D6C" w:rsidRDefault="00277492" w:rsidP="002057DA">
      <w:pPr>
        <w:widowControl/>
        <w:rPr>
          <w:rFonts w:cs="Times New Roman"/>
          <w:bCs/>
          <w:color w:val="auto"/>
          <w:szCs w:val="22"/>
          <w:lang w:val="pt-PT"/>
        </w:rPr>
      </w:pPr>
      <w:bookmarkStart w:id="119" w:name="bookmark211"/>
    </w:p>
    <w:p w14:paraId="7F31B9FF" w14:textId="77777777" w:rsidR="00277492" w:rsidRPr="00110D6C" w:rsidRDefault="00277492" w:rsidP="002057DA">
      <w:pPr>
        <w:widowControl/>
        <w:rPr>
          <w:rFonts w:cs="Times New Roman"/>
          <w:bCs/>
          <w:color w:val="auto"/>
          <w:szCs w:val="22"/>
          <w:lang w:val="pt-PT"/>
        </w:rPr>
      </w:pPr>
    </w:p>
    <w:p w14:paraId="31B972E2" w14:textId="132A7165"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5.</w:t>
      </w:r>
      <w:r w:rsidRPr="00110D6C">
        <w:rPr>
          <w:rFonts w:cs="Times New Roman"/>
          <w:b/>
          <w:bCs/>
          <w:color w:val="auto"/>
          <w:szCs w:val="22"/>
          <w:lang w:val="pt-PT"/>
        </w:rPr>
        <w:tab/>
      </w:r>
      <w:r w:rsidR="00030085" w:rsidRPr="00110D6C">
        <w:rPr>
          <w:rFonts w:cs="Times New Roman"/>
          <w:b/>
          <w:bCs/>
          <w:color w:val="auto"/>
          <w:szCs w:val="22"/>
          <w:lang w:val="pt-PT"/>
        </w:rPr>
        <w:t xml:space="preserve">Como conservar </w:t>
      </w:r>
      <w:bookmarkEnd w:id="119"/>
      <w:r w:rsidR="00D50CFA">
        <w:rPr>
          <w:rFonts w:cs="Times New Roman"/>
          <w:b/>
          <w:bCs/>
          <w:color w:val="auto"/>
          <w:szCs w:val="22"/>
          <w:lang w:val="pt-PT"/>
        </w:rPr>
        <w:t>Fymskina</w:t>
      </w:r>
    </w:p>
    <w:p w14:paraId="32791CB2" w14:textId="50EAD9B5" w:rsidR="0077031F" w:rsidRPr="00110D6C" w:rsidRDefault="00D50CFA" w:rsidP="00D74B6E">
      <w:pPr>
        <w:pStyle w:val="Listenabsatz"/>
        <w:widowControl/>
        <w:numPr>
          <w:ilvl w:val="0"/>
          <w:numId w:val="7"/>
        </w:numPr>
        <w:ind w:left="567" w:hanging="567"/>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13</w:t>
      </w:r>
      <w:r w:rsidR="00B910F9" w:rsidRPr="00110D6C">
        <w:rPr>
          <w:rFonts w:cs="Times New Roman"/>
          <w:color w:val="auto"/>
          <w:szCs w:val="22"/>
          <w:lang w:val="pt-PT"/>
        </w:rPr>
        <w:t>0 </w:t>
      </w:r>
      <w:r w:rsidR="00030085" w:rsidRPr="00110D6C">
        <w:rPr>
          <w:rFonts w:cs="Times New Roman"/>
          <w:color w:val="auto"/>
          <w:szCs w:val="22"/>
          <w:lang w:val="pt-PT"/>
        </w:rPr>
        <w:t>mg concentrado para solução para perfusão é administrado num hospital ou clínica e</w:t>
      </w:r>
      <w:r w:rsidR="00277492" w:rsidRPr="00110D6C">
        <w:rPr>
          <w:rFonts w:cs="Times New Roman"/>
          <w:color w:val="auto"/>
          <w:szCs w:val="22"/>
          <w:lang w:val="pt-PT"/>
        </w:rPr>
        <w:t xml:space="preserve"> </w:t>
      </w:r>
      <w:r w:rsidR="00030085" w:rsidRPr="00110D6C">
        <w:rPr>
          <w:rFonts w:cs="Times New Roman"/>
          <w:color w:val="auto"/>
          <w:szCs w:val="22"/>
          <w:lang w:val="pt-PT"/>
        </w:rPr>
        <w:t>os doentes não devem precisar de o conservar ou manusear.</w:t>
      </w:r>
    </w:p>
    <w:p w14:paraId="6B4EB546"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Manter este medicamento fora da vista e do alcance das crianças.</w:t>
      </w:r>
    </w:p>
    <w:p w14:paraId="458D2BC0" w14:textId="69A2E28A"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Conservar no frigorífico (2</w:t>
      </w:r>
      <w:r w:rsidR="00D50CFA">
        <w:rPr>
          <w:rFonts w:cs="Times New Roman"/>
          <w:color w:val="auto"/>
          <w:szCs w:val="22"/>
          <w:lang w:val="pt-PT"/>
        </w:rPr>
        <w:t> </w:t>
      </w:r>
      <w:r w:rsidRPr="00110D6C">
        <w:rPr>
          <w:rFonts w:cs="Times New Roman"/>
          <w:color w:val="auto"/>
          <w:szCs w:val="22"/>
          <w:lang w:val="pt-PT"/>
        </w:rPr>
        <w:t>°C–8</w:t>
      </w:r>
      <w:r w:rsidR="00D50CFA">
        <w:rPr>
          <w:rFonts w:cs="Times New Roman"/>
          <w:color w:val="auto"/>
          <w:szCs w:val="22"/>
          <w:lang w:val="pt-PT"/>
        </w:rPr>
        <w:t> </w:t>
      </w:r>
      <w:r w:rsidRPr="00110D6C">
        <w:rPr>
          <w:rFonts w:cs="Times New Roman"/>
          <w:color w:val="auto"/>
          <w:szCs w:val="22"/>
          <w:lang w:val="pt-PT"/>
        </w:rPr>
        <w:t>°C). Não congelar.</w:t>
      </w:r>
    </w:p>
    <w:p w14:paraId="53D43F30"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Manter o frasco para injetáveis dentro da embalagem exterior para proteger da luz.</w:t>
      </w:r>
    </w:p>
    <w:p w14:paraId="1088F77F" w14:textId="5CAEE5D2"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 xml:space="preserve">Não agite os frascos para injetáveis de </w:t>
      </w:r>
      <w:r w:rsidR="00D50CFA">
        <w:rPr>
          <w:rFonts w:cs="Times New Roman"/>
          <w:color w:val="auto"/>
          <w:szCs w:val="22"/>
          <w:lang w:val="pt-PT"/>
        </w:rPr>
        <w:t>Fymskina</w:t>
      </w:r>
      <w:r w:rsidRPr="00110D6C">
        <w:rPr>
          <w:rFonts w:cs="Times New Roman"/>
          <w:color w:val="auto"/>
          <w:szCs w:val="22"/>
          <w:lang w:val="pt-PT"/>
        </w:rPr>
        <w:t>. Uma agitação vigorosa prolongada pode danificar o medicamento.</w:t>
      </w:r>
    </w:p>
    <w:p w14:paraId="718B7B8E" w14:textId="77777777" w:rsidR="00277492" w:rsidRPr="00110D6C" w:rsidRDefault="00277492" w:rsidP="00A17623">
      <w:pPr>
        <w:widowControl/>
        <w:rPr>
          <w:rFonts w:cs="Times New Roman"/>
          <w:bCs/>
          <w:color w:val="auto"/>
          <w:szCs w:val="22"/>
          <w:lang w:val="pt-PT"/>
        </w:rPr>
      </w:pPr>
      <w:bookmarkStart w:id="120" w:name="bookmark213"/>
    </w:p>
    <w:p w14:paraId="0F0FEE2D"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Não utilize este medicamento:</w:t>
      </w:r>
      <w:bookmarkEnd w:id="120"/>
    </w:p>
    <w:p w14:paraId="7130E3ED"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Após o prazo de validade impresso no rótulo e na embalagem exterior, após “VAL”. O prazo de</w:t>
      </w:r>
      <w:r w:rsidR="00277492" w:rsidRPr="00110D6C">
        <w:rPr>
          <w:rFonts w:cs="Times New Roman"/>
          <w:color w:val="auto"/>
          <w:szCs w:val="22"/>
          <w:lang w:val="pt-PT"/>
        </w:rPr>
        <w:t xml:space="preserve"> </w:t>
      </w:r>
      <w:r w:rsidRPr="00110D6C">
        <w:rPr>
          <w:rFonts w:cs="Times New Roman"/>
          <w:color w:val="auto"/>
          <w:szCs w:val="22"/>
          <w:lang w:val="pt-PT"/>
        </w:rPr>
        <w:t>validade corresponde ao último dia do mês indicado.</w:t>
      </w:r>
    </w:p>
    <w:p w14:paraId="7BA4E20C" w14:textId="3CB386CD"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Se o líquido estiver descolorado, turvo ou se observar outras partículas estranhas em suspensão</w:t>
      </w:r>
      <w:r w:rsidR="00277492" w:rsidRPr="00110D6C">
        <w:rPr>
          <w:rFonts w:cs="Times New Roman"/>
          <w:color w:val="auto"/>
          <w:szCs w:val="22"/>
          <w:lang w:val="pt-PT"/>
        </w:rPr>
        <w:t xml:space="preserve"> </w:t>
      </w:r>
      <w:r w:rsidRPr="00110D6C">
        <w:rPr>
          <w:rFonts w:cs="Times New Roman"/>
          <w:color w:val="auto"/>
          <w:szCs w:val="22"/>
          <w:lang w:val="pt-PT"/>
        </w:rPr>
        <w:t xml:space="preserve">(ver a secção </w:t>
      </w:r>
      <w:r w:rsidR="00B910F9" w:rsidRPr="00110D6C">
        <w:rPr>
          <w:rFonts w:cs="Times New Roman"/>
          <w:color w:val="auto"/>
          <w:szCs w:val="22"/>
          <w:lang w:val="pt-PT"/>
        </w:rPr>
        <w:t>6 </w:t>
      </w:r>
      <w:r w:rsidRPr="00110D6C">
        <w:rPr>
          <w:rFonts w:cs="Times New Roman"/>
          <w:color w:val="auto"/>
          <w:szCs w:val="22"/>
          <w:lang w:val="pt-PT"/>
        </w:rPr>
        <w:t xml:space="preserve">“Qual o aspeto de </w:t>
      </w:r>
      <w:r w:rsidR="00D50CFA">
        <w:rPr>
          <w:rFonts w:cs="Times New Roman"/>
          <w:color w:val="auto"/>
          <w:szCs w:val="22"/>
          <w:lang w:val="pt-PT"/>
        </w:rPr>
        <w:t>Fymskina</w:t>
      </w:r>
      <w:r w:rsidRPr="00110D6C">
        <w:rPr>
          <w:rFonts w:cs="Times New Roman"/>
          <w:color w:val="auto"/>
          <w:szCs w:val="22"/>
          <w:lang w:val="pt-PT"/>
        </w:rPr>
        <w:t xml:space="preserve"> e conteúdo da embalagem”).</w:t>
      </w:r>
    </w:p>
    <w:p w14:paraId="7F80D660"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Se sabe ou pensa que o medicamento tenha sido exposto a temperaturas extremas (tal como</w:t>
      </w:r>
      <w:r w:rsidR="00277492" w:rsidRPr="00110D6C">
        <w:rPr>
          <w:rFonts w:cs="Times New Roman"/>
          <w:color w:val="auto"/>
          <w:szCs w:val="22"/>
          <w:lang w:val="pt-PT"/>
        </w:rPr>
        <w:t xml:space="preserve"> </w:t>
      </w:r>
      <w:r w:rsidRPr="00110D6C">
        <w:rPr>
          <w:rFonts w:cs="Times New Roman"/>
          <w:color w:val="auto"/>
          <w:szCs w:val="22"/>
          <w:lang w:val="pt-PT"/>
        </w:rPr>
        <w:t>acidentalmente congelado ou aquecido).</w:t>
      </w:r>
    </w:p>
    <w:p w14:paraId="0CAD0FFF"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Se o medicamento foi vigorosamente agitado.</w:t>
      </w:r>
    </w:p>
    <w:p w14:paraId="664B6B7F"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Se o selo estiver danificado.</w:t>
      </w:r>
    </w:p>
    <w:p w14:paraId="7667DA60" w14:textId="77777777" w:rsidR="00277492" w:rsidRPr="00110D6C" w:rsidRDefault="00277492" w:rsidP="00A17623">
      <w:pPr>
        <w:widowControl/>
        <w:rPr>
          <w:rFonts w:cs="Times New Roman"/>
          <w:color w:val="auto"/>
          <w:szCs w:val="22"/>
          <w:lang w:val="pt-PT"/>
        </w:rPr>
      </w:pPr>
    </w:p>
    <w:p w14:paraId="09317CA8" w14:textId="4E473453" w:rsidR="0077031F" w:rsidRPr="00110D6C" w:rsidRDefault="00D50CFA" w:rsidP="00A17623">
      <w:pPr>
        <w:widowControl/>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destina-se apenas para administração única. Qualquer solução para perfusão diluída ou produto não utilizado que fique no frasco para injetáveis e na seringa deve ser deitado fora de acordo com os requisitos locais.</w:t>
      </w:r>
    </w:p>
    <w:p w14:paraId="4A87DC2C" w14:textId="77777777" w:rsidR="00277492" w:rsidRPr="00110D6C" w:rsidRDefault="00277492" w:rsidP="002057DA">
      <w:pPr>
        <w:widowControl/>
        <w:rPr>
          <w:rFonts w:cs="Times New Roman"/>
          <w:bCs/>
          <w:color w:val="auto"/>
          <w:szCs w:val="22"/>
          <w:lang w:val="pt-PT"/>
        </w:rPr>
      </w:pPr>
      <w:bookmarkStart w:id="121" w:name="bookmark215"/>
    </w:p>
    <w:p w14:paraId="59166517" w14:textId="77777777" w:rsidR="00277492" w:rsidRPr="00110D6C" w:rsidRDefault="00277492" w:rsidP="002057DA">
      <w:pPr>
        <w:widowControl/>
        <w:rPr>
          <w:rFonts w:cs="Times New Roman"/>
          <w:bCs/>
          <w:color w:val="auto"/>
          <w:szCs w:val="22"/>
          <w:lang w:val="pt-PT"/>
        </w:rPr>
      </w:pPr>
    </w:p>
    <w:p w14:paraId="4B310CC7"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6.</w:t>
      </w:r>
      <w:r w:rsidRPr="00110D6C">
        <w:rPr>
          <w:rFonts w:cs="Times New Roman"/>
          <w:b/>
          <w:bCs/>
          <w:color w:val="auto"/>
          <w:szCs w:val="22"/>
          <w:lang w:val="pt-PT"/>
        </w:rPr>
        <w:tab/>
      </w:r>
      <w:r w:rsidR="00030085" w:rsidRPr="00110D6C">
        <w:rPr>
          <w:rFonts w:cs="Times New Roman"/>
          <w:b/>
          <w:bCs/>
          <w:color w:val="auto"/>
          <w:szCs w:val="22"/>
          <w:lang w:val="pt-PT"/>
        </w:rPr>
        <w:t>Conteúdo da embalagem e outras informações</w:t>
      </w:r>
      <w:bookmarkEnd w:id="121"/>
    </w:p>
    <w:p w14:paraId="33C41DF0" w14:textId="77777777" w:rsidR="00277492" w:rsidRPr="00110D6C" w:rsidRDefault="00277492" w:rsidP="00A17623">
      <w:pPr>
        <w:widowControl/>
        <w:rPr>
          <w:rFonts w:cs="Times New Roman"/>
          <w:bCs/>
          <w:color w:val="auto"/>
          <w:szCs w:val="22"/>
          <w:lang w:val="pt-PT"/>
        </w:rPr>
      </w:pPr>
    </w:p>
    <w:p w14:paraId="05BD4C65" w14:textId="1CAF236E" w:rsidR="0077031F" w:rsidRDefault="00030085" w:rsidP="00A17623">
      <w:pPr>
        <w:widowControl/>
        <w:rPr>
          <w:rFonts w:cs="Times New Roman"/>
          <w:b/>
          <w:bCs/>
          <w:color w:val="auto"/>
          <w:szCs w:val="22"/>
          <w:lang w:val="pt-PT"/>
        </w:rPr>
      </w:pPr>
      <w:r w:rsidRPr="00110D6C">
        <w:rPr>
          <w:rFonts w:cs="Times New Roman"/>
          <w:b/>
          <w:bCs/>
          <w:color w:val="auto"/>
          <w:szCs w:val="22"/>
          <w:lang w:val="pt-PT"/>
        </w:rPr>
        <w:t xml:space="preserve">Qual a composição de </w:t>
      </w:r>
      <w:r w:rsidR="00D50CFA">
        <w:rPr>
          <w:rFonts w:cs="Times New Roman"/>
          <w:b/>
          <w:bCs/>
          <w:color w:val="auto"/>
          <w:szCs w:val="22"/>
          <w:lang w:val="pt-PT"/>
        </w:rPr>
        <w:t>Fymskina</w:t>
      </w:r>
    </w:p>
    <w:p w14:paraId="1DACB8B7" w14:textId="77777777" w:rsidR="003A5D75" w:rsidRPr="00110D6C" w:rsidRDefault="003A5D75" w:rsidP="00A17623">
      <w:pPr>
        <w:widowControl/>
        <w:rPr>
          <w:rFonts w:cs="Times New Roman"/>
          <w:color w:val="auto"/>
          <w:szCs w:val="22"/>
          <w:lang w:val="pt-PT"/>
        </w:rPr>
      </w:pPr>
    </w:p>
    <w:p w14:paraId="4A2867C0"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A substância ativa é o ustecinumab. Cada frasco para injetáveis contém 13</w:t>
      </w:r>
      <w:r w:rsidR="00B910F9" w:rsidRPr="00110D6C">
        <w:rPr>
          <w:rFonts w:cs="Times New Roman"/>
          <w:color w:val="auto"/>
          <w:szCs w:val="22"/>
          <w:lang w:val="pt-PT"/>
        </w:rPr>
        <w:t>0 </w:t>
      </w:r>
      <w:r w:rsidRPr="00110D6C">
        <w:rPr>
          <w:rFonts w:cs="Times New Roman"/>
          <w:color w:val="auto"/>
          <w:szCs w:val="22"/>
          <w:lang w:val="pt-PT"/>
        </w:rPr>
        <w:t>mg de ustecinumab</w:t>
      </w:r>
      <w:r w:rsidR="00277492" w:rsidRPr="00110D6C">
        <w:rPr>
          <w:rFonts w:cs="Times New Roman"/>
          <w:color w:val="auto"/>
          <w:szCs w:val="22"/>
          <w:lang w:val="pt-PT"/>
        </w:rPr>
        <w:t xml:space="preserve"> </w:t>
      </w:r>
      <w:r w:rsidRPr="00110D6C">
        <w:rPr>
          <w:rFonts w:cs="Times New Roman"/>
          <w:color w:val="auto"/>
          <w:szCs w:val="22"/>
          <w:lang w:val="pt-PT"/>
        </w:rPr>
        <w:t>em 2</w:t>
      </w:r>
      <w:r w:rsidR="00B910F9" w:rsidRPr="00110D6C">
        <w:rPr>
          <w:rFonts w:cs="Times New Roman"/>
          <w:color w:val="auto"/>
          <w:szCs w:val="22"/>
          <w:lang w:val="pt-PT"/>
        </w:rPr>
        <w:t>6 </w:t>
      </w:r>
      <w:r w:rsidRPr="00110D6C">
        <w:rPr>
          <w:rFonts w:cs="Times New Roman"/>
          <w:color w:val="auto"/>
          <w:szCs w:val="22"/>
          <w:lang w:val="pt-PT"/>
        </w:rPr>
        <w:t>ml.</w:t>
      </w:r>
    </w:p>
    <w:p w14:paraId="0B211F46" w14:textId="4B855D31"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Os outros componentes são EDTA sal dissódico di-hidratado, L-histidina, monocloridrato de L-histidina mono-hidratado, L-metionina, polissorbato 80</w:t>
      </w:r>
      <w:r w:rsidR="002F6714">
        <w:rPr>
          <w:rFonts w:cs="Times New Roman"/>
          <w:color w:val="auto"/>
          <w:szCs w:val="22"/>
          <w:lang w:val="pt-PT"/>
        </w:rPr>
        <w:t xml:space="preserve"> (E433)</w:t>
      </w:r>
      <w:r w:rsidRPr="00110D6C">
        <w:rPr>
          <w:rFonts w:cs="Times New Roman"/>
          <w:color w:val="auto"/>
          <w:szCs w:val="22"/>
          <w:lang w:val="pt-PT"/>
        </w:rPr>
        <w:t>, sacarose e água para preparações injetáveis.</w:t>
      </w:r>
    </w:p>
    <w:p w14:paraId="10B970D6" w14:textId="77777777" w:rsidR="00277492" w:rsidRPr="00110D6C" w:rsidRDefault="00277492" w:rsidP="00A17623">
      <w:pPr>
        <w:widowControl/>
        <w:rPr>
          <w:rFonts w:cs="Times New Roman"/>
          <w:bCs/>
          <w:color w:val="auto"/>
          <w:szCs w:val="22"/>
          <w:lang w:val="pt-PT"/>
        </w:rPr>
      </w:pPr>
      <w:bookmarkStart w:id="122" w:name="bookmark218"/>
    </w:p>
    <w:p w14:paraId="352A8242" w14:textId="05EEED2F" w:rsidR="0077031F" w:rsidRPr="00110D6C" w:rsidRDefault="00030085" w:rsidP="00277492">
      <w:pPr>
        <w:keepNext/>
        <w:keepLines/>
        <w:widowControl/>
        <w:rPr>
          <w:rFonts w:cs="Times New Roman"/>
          <w:color w:val="auto"/>
          <w:szCs w:val="22"/>
          <w:lang w:val="pt-PT"/>
        </w:rPr>
      </w:pPr>
      <w:r w:rsidRPr="00110D6C">
        <w:rPr>
          <w:rFonts w:cs="Times New Roman"/>
          <w:b/>
          <w:bCs/>
          <w:color w:val="auto"/>
          <w:szCs w:val="22"/>
          <w:lang w:val="pt-PT"/>
        </w:rPr>
        <w:t xml:space="preserve">Qual o aspeto de </w:t>
      </w:r>
      <w:r w:rsidR="00D50CFA">
        <w:rPr>
          <w:rFonts w:cs="Times New Roman"/>
          <w:b/>
          <w:bCs/>
          <w:color w:val="auto"/>
          <w:szCs w:val="22"/>
          <w:lang w:val="pt-PT"/>
        </w:rPr>
        <w:t>Fymskina</w:t>
      </w:r>
      <w:r w:rsidRPr="00110D6C">
        <w:rPr>
          <w:rFonts w:cs="Times New Roman"/>
          <w:b/>
          <w:bCs/>
          <w:color w:val="auto"/>
          <w:szCs w:val="22"/>
          <w:lang w:val="pt-PT"/>
        </w:rPr>
        <w:t xml:space="preserve"> e conteúdo da embalagem</w:t>
      </w:r>
      <w:bookmarkEnd w:id="122"/>
    </w:p>
    <w:p w14:paraId="3AD3E083" w14:textId="50D51059" w:rsidR="0077031F" w:rsidRPr="00110D6C" w:rsidRDefault="00D50CFA" w:rsidP="00A17623">
      <w:pPr>
        <w:widowControl/>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é um concentrado para solução para perfusão transparente, incolor a </w:t>
      </w:r>
      <w:r w:rsidR="00BB3454">
        <w:rPr>
          <w:rFonts w:cs="Times New Roman"/>
          <w:color w:val="auto"/>
          <w:szCs w:val="22"/>
          <w:lang w:val="pt-PT"/>
        </w:rPr>
        <w:t xml:space="preserve">ligeiramente </w:t>
      </w:r>
      <w:r w:rsidR="00030085" w:rsidRPr="00110D6C">
        <w:rPr>
          <w:rFonts w:cs="Times New Roman"/>
          <w:color w:val="auto"/>
          <w:szCs w:val="22"/>
          <w:lang w:val="pt-PT"/>
        </w:rPr>
        <w:t>amarelo</w:t>
      </w:r>
      <w:r w:rsidR="00BB3454">
        <w:rPr>
          <w:rFonts w:cs="Times New Roman"/>
          <w:color w:val="auto"/>
          <w:szCs w:val="22"/>
          <w:lang w:val="pt-PT"/>
        </w:rPr>
        <w:t>-acastanhada</w:t>
      </w:r>
      <w:r w:rsidR="00030085" w:rsidRPr="00110D6C">
        <w:rPr>
          <w:rFonts w:cs="Times New Roman"/>
          <w:color w:val="auto"/>
          <w:szCs w:val="22"/>
          <w:lang w:val="pt-PT"/>
        </w:rPr>
        <w:t xml:space="preserve">. Apresenta-se numa embalagem de cartão contendo </w:t>
      </w:r>
      <w:r w:rsidR="00B910F9" w:rsidRPr="00110D6C">
        <w:rPr>
          <w:rFonts w:cs="Times New Roman"/>
          <w:color w:val="auto"/>
          <w:szCs w:val="22"/>
          <w:lang w:val="pt-PT"/>
        </w:rPr>
        <w:t>1 </w:t>
      </w:r>
      <w:r w:rsidR="00030085" w:rsidRPr="00110D6C">
        <w:rPr>
          <w:rFonts w:cs="Times New Roman"/>
          <w:color w:val="auto"/>
          <w:szCs w:val="22"/>
          <w:lang w:val="pt-PT"/>
        </w:rPr>
        <w:t>frasco para injetáveis de dose única, de vidro, de 3</w:t>
      </w:r>
      <w:r w:rsidR="00B910F9" w:rsidRPr="00110D6C">
        <w:rPr>
          <w:rFonts w:cs="Times New Roman"/>
          <w:color w:val="auto"/>
          <w:szCs w:val="22"/>
          <w:lang w:val="pt-PT"/>
        </w:rPr>
        <w:t>0 </w:t>
      </w:r>
      <w:r w:rsidR="00030085" w:rsidRPr="00110D6C">
        <w:rPr>
          <w:rFonts w:cs="Times New Roman"/>
          <w:color w:val="auto"/>
          <w:szCs w:val="22"/>
          <w:lang w:val="pt-PT"/>
        </w:rPr>
        <w:t>ml. Cada frasco para injetáveis contém 13</w:t>
      </w:r>
      <w:r w:rsidR="00B910F9" w:rsidRPr="00110D6C">
        <w:rPr>
          <w:rFonts w:cs="Times New Roman"/>
          <w:color w:val="auto"/>
          <w:szCs w:val="22"/>
          <w:lang w:val="pt-PT"/>
        </w:rPr>
        <w:t>0 </w:t>
      </w:r>
      <w:r w:rsidR="00030085" w:rsidRPr="00110D6C">
        <w:rPr>
          <w:rFonts w:cs="Times New Roman"/>
          <w:color w:val="auto"/>
          <w:szCs w:val="22"/>
          <w:lang w:val="pt-PT"/>
        </w:rPr>
        <w:t>mg de ustecinumab em 2</w:t>
      </w:r>
      <w:r w:rsidR="00B910F9" w:rsidRPr="00110D6C">
        <w:rPr>
          <w:rFonts w:cs="Times New Roman"/>
          <w:color w:val="auto"/>
          <w:szCs w:val="22"/>
          <w:lang w:val="pt-PT"/>
        </w:rPr>
        <w:t>6 </w:t>
      </w:r>
      <w:r w:rsidR="00030085" w:rsidRPr="00110D6C">
        <w:rPr>
          <w:rFonts w:cs="Times New Roman"/>
          <w:color w:val="auto"/>
          <w:szCs w:val="22"/>
          <w:lang w:val="pt-PT"/>
        </w:rPr>
        <w:t>ml de concentrado para solução para perfusão.</w:t>
      </w:r>
    </w:p>
    <w:p w14:paraId="6D58E6D1" w14:textId="77777777" w:rsidR="00277492" w:rsidRPr="00110D6C" w:rsidRDefault="00277492" w:rsidP="00A17623">
      <w:pPr>
        <w:widowControl/>
        <w:rPr>
          <w:rFonts w:cs="Times New Roman"/>
          <w:bCs/>
          <w:color w:val="auto"/>
          <w:szCs w:val="22"/>
          <w:lang w:val="pt-PT"/>
        </w:rPr>
      </w:pPr>
      <w:bookmarkStart w:id="123" w:name="bookmark220"/>
    </w:p>
    <w:p w14:paraId="069BC8FB" w14:textId="711276F0"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Titular da Autorização de Introdução no Mercado</w:t>
      </w:r>
      <w:bookmarkEnd w:id="123"/>
      <w:ins w:id="124" w:author="translator" w:date="2025-06-25T11:21:00Z">
        <w:r w:rsidR="00EA3686">
          <w:rPr>
            <w:rFonts w:cs="Times New Roman"/>
            <w:b/>
            <w:bCs/>
            <w:color w:val="auto"/>
            <w:szCs w:val="22"/>
            <w:lang w:val="pt-PT"/>
          </w:rPr>
          <w:t xml:space="preserve"> e Fabricant</w:t>
        </w:r>
      </w:ins>
      <w:ins w:id="125" w:author="translator" w:date="2025-06-25T11:22:00Z">
        <w:r w:rsidR="00EA3686">
          <w:rPr>
            <w:rFonts w:cs="Times New Roman"/>
            <w:b/>
            <w:bCs/>
            <w:color w:val="auto"/>
            <w:szCs w:val="22"/>
            <w:lang w:val="pt-PT"/>
          </w:rPr>
          <w:t>e</w:t>
        </w:r>
      </w:ins>
    </w:p>
    <w:p w14:paraId="6958C4E9" w14:textId="77777777" w:rsidR="00BB3454" w:rsidRPr="00492A01" w:rsidRDefault="00BB3454" w:rsidP="00BB3454">
      <w:pPr>
        <w:pStyle w:val="Textkrper"/>
        <w:rPr>
          <w:lang w:val="pt-PT"/>
        </w:rPr>
      </w:pPr>
      <w:r w:rsidRPr="00492A01">
        <w:rPr>
          <w:lang w:val="pt-PT"/>
        </w:rPr>
        <w:t>Formycon AG</w:t>
      </w:r>
    </w:p>
    <w:p w14:paraId="0D871662" w14:textId="77777777" w:rsidR="00BB3454" w:rsidRPr="00492A01" w:rsidRDefault="00BB3454" w:rsidP="00BB3454">
      <w:pPr>
        <w:pStyle w:val="Textkrper"/>
        <w:rPr>
          <w:lang w:val="pt-PT"/>
        </w:rPr>
      </w:pPr>
      <w:r w:rsidRPr="00492A01">
        <w:rPr>
          <w:lang w:val="pt-PT"/>
        </w:rPr>
        <w:t>Fraunhoferstraße 15</w:t>
      </w:r>
    </w:p>
    <w:p w14:paraId="12726B1F" w14:textId="77777777" w:rsidR="00BB3454" w:rsidRPr="00492A01" w:rsidRDefault="00BB3454" w:rsidP="00BB3454">
      <w:pPr>
        <w:pStyle w:val="Textkrper"/>
        <w:rPr>
          <w:lang w:val="pt-PT"/>
        </w:rPr>
      </w:pPr>
      <w:r w:rsidRPr="00492A01">
        <w:rPr>
          <w:lang w:val="pt-PT"/>
        </w:rPr>
        <w:t>82152 Martinsried/Planegg</w:t>
      </w:r>
    </w:p>
    <w:p w14:paraId="20CC5D24" w14:textId="77777777" w:rsidR="00BB3454" w:rsidRDefault="00BB3454" w:rsidP="00A17623">
      <w:pPr>
        <w:widowControl/>
        <w:rPr>
          <w:rFonts w:cs="Times New Roman"/>
          <w:color w:val="auto"/>
          <w:szCs w:val="22"/>
          <w:lang w:val="pt-PT"/>
        </w:rPr>
      </w:pPr>
      <w:r>
        <w:rPr>
          <w:rFonts w:cs="Times New Roman"/>
          <w:color w:val="auto"/>
          <w:szCs w:val="22"/>
          <w:lang w:val="pt-PT"/>
        </w:rPr>
        <w:t>Alemanha</w:t>
      </w:r>
    </w:p>
    <w:p w14:paraId="55839C34" w14:textId="4DA358A6" w:rsidR="00277492" w:rsidRPr="00110D6C" w:rsidDel="00EA3686" w:rsidRDefault="00277492" w:rsidP="00A17623">
      <w:pPr>
        <w:widowControl/>
        <w:rPr>
          <w:del w:id="126" w:author="translator" w:date="2025-06-25T11:22:00Z"/>
          <w:rFonts w:cs="Times New Roman"/>
          <w:bCs/>
          <w:color w:val="auto"/>
          <w:szCs w:val="22"/>
          <w:lang w:val="pt-PT"/>
        </w:rPr>
      </w:pPr>
      <w:bookmarkStart w:id="127" w:name="bookmark222"/>
    </w:p>
    <w:p w14:paraId="350C51A1" w14:textId="49446D09" w:rsidR="0077031F" w:rsidRPr="00110D6C" w:rsidDel="00EA3686" w:rsidRDefault="00030085" w:rsidP="00A17623">
      <w:pPr>
        <w:widowControl/>
        <w:rPr>
          <w:del w:id="128" w:author="translator" w:date="2025-06-25T11:22:00Z"/>
          <w:rFonts w:cs="Times New Roman"/>
          <w:color w:val="auto"/>
          <w:szCs w:val="22"/>
          <w:lang w:val="pt-PT"/>
        </w:rPr>
      </w:pPr>
      <w:del w:id="129" w:author="translator" w:date="2025-06-25T11:22:00Z">
        <w:r w:rsidRPr="00110D6C" w:rsidDel="00EA3686">
          <w:rPr>
            <w:rFonts w:cs="Times New Roman"/>
            <w:b/>
            <w:bCs/>
            <w:color w:val="auto"/>
            <w:szCs w:val="22"/>
            <w:lang w:val="pt-PT"/>
          </w:rPr>
          <w:delText>Fabricante</w:delText>
        </w:r>
        <w:bookmarkEnd w:id="127"/>
      </w:del>
    </w:p>
    <w:p w14:paraId="07457C41" w14:textId="69BBD74E" w:rsidR="00BB3454" w:rsidRPr="00492A01" w:rsidDel="00EA3686" w:rsidRDefault="00BB3454" w:rsidP="00BB3454">
      <w:pPr>
        <w:rPr>
          <w:del w:id="130" w:author="translator" w:date="2025-06-25T11:22:00Z"/>
          <w:lang w:val="it-IT"/>
        </w:rPr>
      </w:pPr>
      <w:del w:id="131" w:author="translator" w:date="2025-06-25T11:22:00Z">
        <w:r w:rsidRPr="00492A01" w:rsidDel="00EA3686">
          <w:rPr>
            <w:lang w:val="it-IT"/>
          </w:rPr>
          <w:delText>Fresenius Kabi Austria GmbH</w:delText>
        </w:r>
      </w:del>
    </w:p>
    <w:p w14:paraId="0FBC71A1" w14:textId="37DAC588" w:rsidR="00BB3454" w:rsidRPr="00492A01" w:rsidDel="00EA3686" w:rsidRDefault="00BB3454" w:rsidP="00BB3454">
      <w:pPr>
        <w:rPr>
          <w:del w:id="132" w:author="translator" w:date="2025-06-25T11:22:00Z"/>
          <w:lang w:val="it-IT"/>
        </w:rPr>
      </w:pPr>
      <w:del w:id="133" w:author="translator" w:date="2025-06-25T11:22:00Z">
        <w:r w:rsidRPr="00492A01" w:rsidDel="00EA3686">
          <w:rPr>
            <w:lang w:val="it-IT"/>
          </w:rPr>
          <w:delText>Hafnerstraße 36</w:delText>
        </w:r>
      </w:del>
    </w:p>
    <w:p w14:paraId="4B5FE0D0" w14:textId="3BADBAC1" w:rsidR="00BB3454" w:rsidRPr="00A9610F" w:rsidDel="00EA3686" w:rsidRDefault="00BB3454" w:rsidP="00BB3454">
      <w:pPr>
        <w:rPr>
          <w:del w:id="134" w:author="translator" w:date="2025-06-25T11:22:00Z"/>
        </w:rPr>
      </w:pPr>
      <w:del w:id="135" w:author="translator" w:date="2025-06-25T11:22:00Z">
        <w:r w:rsidRPr="00A9610F" w:rsidDel="00EA3686">
          <w:delText>8055 Graz</w:delText>
        </w:r>
      </w:del>
    </w:p>
    <w:p w14:paraId="384075A9" w14:textId="33E900B1" w:rsidR="00BB3454" w:rsidRPr="00A9610F" w:rsidDel="00EA3686" w:rsidRDefault="00BB3454" w:rsidP="00BB3454">
      <w:pPr>
        <w:rPr>
          <w:del w:id="136" w:author="translator" w:date="2025-06-25T11:22:00Z"/>
        </w:rPr>
      </w:pPr>
      <w:del w:id="137" w:author="translator" w:date="2025-06-25T11:22:00Z">
        <w:r w:rsidDel="00EA3686">
          <w:delText>Á</w:delText>
        </w:r>
        <w:r w:rsidRPr="00A9610F" w:rsidDel="00EA3686">
          <w:delText>ustria</w:delText>
        </w:r>
      </w:del>
    </w:p>
    <w:p w14:paraId="3C977EC1" w14:textId="77777777" w:rsidR="00277492" w:rsidRDefault="00277492" w:rsidP="00A17623">
      <w:pPr>
        <w:widowControl/>
        <w:rPr>
          <w:rFonts w:cs="Times New Roman"/>
          <w:bCs/>
          <w:color w:val="auto"/>
          <w:szCs w:val="22"/>
          <w:lang w:val="pt-PT"/>
        </w:rPr>
      </w:pPr>
      <w:bookmarkStart w:id="138" w:name="bookmark224"/>
    </w:p>
    <w:p w14:paraId="3C491021" w14:textId="77777777" w:rsidR="00690DA1" w:rsidRPr="00E124FE" w:rsidRDefault="00690DA1" w:rsidP="00690DA1">
      <w:pPr>
        <w:numPr>
          <w:ilvl w:val="12"/>
          <w:numId w:val="0"/>
        </w:numPr>
        <w:rPr>
          <w:szCs w:val="22"/>
        </w:rPr>
      </w:pPr>
      <w:r w:rsidRPr="00E124FE">
        <w:rPr>
          <w:szCs w:val="22"/>
        </w:rPr>
        <w:t xml:space="preserve">Para quaisquer informações sobre este medicamento, queira </w:t>
      </w:r>
      <w:r w:rsidRPr="00043C2E">
        <w:rPr>
          <w:szCs w:val="22"/>
          <w:lang w:val="pt-PT"/>
        </w:rPr>
        <w:t>contactar</w:t>
      </w:r>
      <w:r w:rsidRPr="00E124FE">
        <w:rPr>
          <w:szCs w:val="22"/>
        </w:rPr>
        <w:t xml:space="preserve"> o representante local do Titular da Autorização de Introdução no Mercado:</w:t>
      </w:r>
    </w:p>
    <w:p w14:paraId="624A88EA" w14:textId="77777777" w:rsidR="00690DA1" w:rsidRPr="00043C2E" w:rsidRDefault="00690DA1" w:rsidP="00690DA1">
      <w:pPr>
        <w:pStyle w:val="Textkrper"/>
        <w:rPr>
          <w:rFonts w:asciiTheme="majorBidi" w:hAnsiTheme="majorBidi" w:cstheme="majorBidi"/>
          <w:lang w:val="pt-PT"/>
        </w:rPr>
      </w:pPr>
    </w:p>
    <w:p w14:paraId="6073728A" w14:textId="77777777" w:rsidR="00690DA1" w:rsidRPr="0097727A" w:rsidRDefault="00690DA1" w:rsidP="00690DA1">
      <w:pPr>
        <w:pStyle w:val="Textkrper"/>
        <w:rPr>
          <w:rFonts w:asciiTheme="majorBidi" w:hAnsiTheme="majorBidi" w:cstheme="majorBidi"/>
          <w:b/>
          <w:bCs/>
          <w:lang w:val="pt-PT"/>
        </w:rPr>
      </w:pPr>
      <w:r w:rsidRPr="0097727A">
        <w:rPr>
          <w:rFonts w:asciiTheme="majorBidi" w:hAnsiTheme="majorBidi" w:cstheme="majorBidi"/>
          <w:b/>
          <w:bCs/>
          <w:lang w:val="pt-PT"/>
        </w:rPr>
        <w:t>BE / BG / CZ / DK / EE / IE / IS / EL / ES / FR / HR / IT / CY / LV / LT / LU / HU / MT / NL / NO / AT / PL / PT / RO / SI / SK / FI / SE</w:t>
      </w:r>
    </w:p>
    <w:p w14:paraId="47FE09CD" w14:textId="77777777" w:rsidR="00690DA1" w:rsidRPr="0097727A" w:rsidRDefault="00690DA1" w:rsidP="00690DA1">
      <w:pPr>
        <w:pStyle w:val="Textkrper"/>
        <w:rPr>
          <w:rFonts w:asciiTheme="majorBidi" w:hAnsiTheme="majorBidi" w:cstheme="majorBidi"/>
          <w:lang w:val="pt-PT"/>
        </w:rPr>
      </w:pPr>
      <w:r w:rsidRPr="0097727A">
        <w:rPr>
          <w:rFonts w:asciiTheme="majorBidi" w:hAnsiTheme="majorBidi" w:cstheme="majorBidi"/>
          <w:lang w:val="pt-PT"/>
        </w:rPr>
        <w:t>Formycon AG</w:t>
      </w:r>
    </w:p>
    <w:p w14:paraId="77CAC600" w14:textId="33DA5ED7" w:rsidR="00690DA1" w:rsidRPr="0097727A" w:rsidRDefault="00690DA1" w:rsidP="00E02645">
      <w:pPr>
        <w:pStyle w:val="Textkrper"/>
        <w:rPr>
          <w:rFonts w:asciiTheme="majorBidi" w:hAnsiTheme="majorBidi" w:cstheme="majorBidi"/>
          <w:lang w:val="pt-PT"/>
        </w:rPr>
      </w:pPr>
      <w:r w:rsidRPr="0097727A">
        <w:rPr>
          <w:rFonts w:asciiTheme="majorBidi" w:hAnsiTheme="majorBidi" w:cstheme="majorBidi"/>
          <w:lang w:val="pt-PT"/>
        </w:rPr>
        <w:t>Tel</w:t>
      </w:r>
      <w:r w:rsidR="00E02645" w:rsidRPr="0097727A">
        <w:rPr>
          <w:rFonts w:asciiTheme="majorBidi" w:hAnsiTheme="majorBidi" w:cstheme="majorBidi"/>
          <w:lang w:val="pt-PT"/>
        </w:rPr>
        <w:t>/Tél/Te</w:t>
      </w:r>
      <w:r w:rsidR="00E02645" w:rsidRPr="00E02645">
        <w:rPr>
          <w:rFonts w:asciiTheme="majorBidi" w:hAnsiTheme="majorBidi" w:cstheme="majorBidi"/>
          <w:lang w:val="de-DE" w:bidi="pt-BR"/>
        </w:rPr>
        <w:t>л</w:t>
      </w:r>
      <w:r w:rsidR="00E02645" w:rsidRPr="0097727A">
        <w:rPr>
          <w:rFonts w:asciiTheme="majorBidi" w:hAnsiTheme="majorBidi" w:cstheme="majorBidi"/>
          <w:lang w:val="pt-PT"/>
        </w:rPr>
        <w:t>./Tlf/</w:t>
      </w:r>
      <w:r w:rsidR="00E02645" w:rsidRPr="00E02645">
        <w:rPr>
          <w:rFonts w:asciiTheme="majorBidi" w:hAnsiTheme="majorBidi" w:cstheme="majorBidi"/>
          <w:lang w:val="de-DE" w:bidi="pt-BR"/>
        </w:rPr>
        <w:t>Τηλ</w:t>
      </w:r>
      <w:r w:rsidR="00E02645" w:rsidRPr="0097727A">
        <w:rPr>
          <w:rFonts w:asciiTheme="majorBidi" w:hAnsiTheme="majorBidi" w:cstheme="majorBidi"/>
          <w:lang w:val="pt-PT"/>
        </w:rPr>
        <w:t>/Sími/Puh</w:t>
      </w:r>
      <w:r w:rsidRPr="0097727A">
        <w:rPr>
          <w:rFonts w:asciiTheme="majorBidi" w:hAnsiTheme="majorBidi" w:cstheme="majorBidi"/>
          <w:lang w:val="pt-PT"/>
        </w:rPr>
        <w:t>: + 49 89 864 667 100</w:t>
      </w:r>
    </w:p>
    <w:p w14:paraId="391AE79C" w14:textId="77777777" w:rsidR="00690DA1" w:rsidRPr="0097727A" w:rsidRDefault="00690DA1" w:rsidP="00690DA1">
      <w:pPr>
        <w:pStyle w:val="Textkrper"/>
        <w:rPr>
          <w:rFonts w:asciiTheme="majorBidi" w:hAnsiTheme="majorBidi" w:cstheme="majorBidi"/>
          <w:lang w:val="pt-PT"/>
        </w:rPr>
      </w:pPr>
    </w:p>
    <w:p w14:paraId="58341E04" w14:textId="6D139A16" w:rsidR="00690DA1" w:rsidRPr="0097727A" w:rsidRDefault="00F708A1" w:rsidP="00F708A1">
      <w:pPr>
        <w:rPr>
          <w:lang w:val="pt-PT" w:bidi="de-DE"/>
        </w:rPr>
      </w:pPr>
      <w:r w:rsidRPr="0097727A">
        <w:rPr>
          <w:b/>
          <w:lang w:val="pt-PT" w:bidi="de-DE"/>
        </w:rPr>
        <w:t>Alemanha</w:t>
      </w:r>
    </w:p>
    <w:p w14:paraId="62707131" w14:textId="77777777" w:rsidR="00690DA1" w:rsidRPr="0097727A" w:rsidRDefault="00690DA1" w:rsidP="00690DA1">
      <w:pPr>
        <w:rPr>
          <w:lang w:val="pt-PT" w:bidi="de-DE"/>
        </w:rPr>
      </w:pPr>
      <w:r w:rsidRPr="0097727A">
        <w:rPr>
          <w:lang w:val="pt-PT" w:bidi="de-DE"/>
        </w:rPr>
        <w:t xml:space="preserve">ratiopharm GmbH </w:t>
      </w:r>
    </w:p>
    <w:p w14:paraId="0EB35AAB" w14:textId="77777777" w:rsidR="00690DA1" w:rsidRPr="00043C2E" w:rsidRDefault="00690DA1" w:rsidP="00690DA1">
      <w:pPr>
        <w:pStyle w:val="Textkrper"/>
        <w:rPr>
          <w:lang w:val="pt-PT" w:bidi="de-DE"/>
        </w:rPr>
      </w:pPr>
      <w:r w:rsidRPr="00043C2E">
        <w:rPr>
          <w:lang w:val="pt-PT" w:bidi="de-DE"/>
        </w:rPr>
        <w:t>Tel: +49 731 402 02</w:t>
      </w:r>
    </w:p>
    <w:p w14:paraId="013F042F" w14:textId="77777777" w:rsidR="006F7F0F" w:rsidRPr="00043C2E" w:rsidRDefault="006F7F0F" w:rsidP="00690DA1">
      <w:pPr>
        <w:pStyle w:val="Textkrper"/>
        <w:rPr>
          <w:lang w:val="pt-PT" w:bidi="de-DE"/>
        </w:rPr>
      </w:pPr>
    </w:p>
    <w:p w14:paraId="31586475" w14:textId="77777777" w:rsidR="00847D13" w:rsidRPr="00F708A1" w:rsidRDefault="00847D13" w:rsidP="00A17623">
      <w:pPr>
        <w:widowControl/>
        <w:rPr>
          <w:rFonts w:cs="Times New Roman"/>
          <w:bCs/>
          <w:color w:val="auto"/>
          <w:szCs w:val="22"/>
          <w:lang w:val="pt-PT"/>
        </w:rPr>
      </w:pPr>
    </w:p>
    <w:p w14:paraId="1AE6891C"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Este folheto foi revisto pela última vez em</w:t>
      </w:r>
      <w:bookmarkEnd w:id="138"/>
    </w:p>
    <w:p w14:paraId="1926A63B" w14:textId="77777777" w:rsidR="00277492" w:rsidRPr="00110D6C" w:rsidRDefault="00277492" w:rsidP="00A17623">
      <w:pPr>
        <w:widowControl/>
        <w:rPr>
          <w:rFonts w:cs="Times New Roman"/>
          <w:color w:val="auto"/>
          <w:szCs w:val="22"/>
          <w:lang w:val="pt-PT"/>
        </w:rPr>
      </w:pPr>
    </w:p>
    <w:p w14:paraId="7AC3DB9A" w14:textId="3901E5DE"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Está disponível informação pormenorizada sobre este medicamento no sítio da internet da Agência Europeia de Medicamentos: </w:t>
      </w:r>
      <w:hyperlink r:id="rId17" w:history="1">
        <w:r w:rsidR="00BB3454" w:rsidRPr="00244D49">
          <w:rPr>
            <w:rStyle w:val="Hyperlink"/>
            <w:rFonts w:cs="Times New Roman"/>
            <w:szCs w:val="22"/>
            <w:lang w:val="pt-PT"/>
          </w:rPr>
          <w:t>https://www.ema.europa.eu</w:t>
        </w:r>
      </w:hyperlink>
      <w:r w:rsidRPr="00110D6C">
        <w:rPr>
          <w:rFonts w:cs="Times New Roman"/>
          <w:color w:val="auto"/>
          <w:szCs w:val="22"/>
          <w:lang w:val="pt-PT"/>
        </w:rPr>
        <w:t>.</w:t>
      </w:r>
    </w:p>
    <w:p w14:paraId="46CCAFA9" w14:textId="77777777" w:rsidR="00053F8C" w:rsidRPr="00110D6C" w:rsidRDefault="00053F8C" w:rsidP="00A17623">
      <w:pPr>
        <w:widowControl/>
        <w:rPr>
          <w:rFonts w:cs="Times New Roman"/>
          <w:color w:val="auto"/>
          <w:szCs w:val="22"/>
          <w:lang w:val="pt-PT"/>
        </w:rPr>
      </w:pPr>
    </w:p>
    <w:p w14:paraId="357BC508" w14:textId="77777777" w:rsidR="00277492" w:rsidRPr="00110D6C" w:rsidRDefault="008F68FE" w:rsidP="00277492">
      <w:pPr>
        <w:widowControl/>
        <w:jc w:val="center"/>
        <w:rPr>
          <w:rFonts w:cs="Times New Roman"/>
          <w:color w:val="auto"/>
          <w:szCs w:val="22"/>
          <w:lang w:val="pt-PT"/>
        </w:rPr>
      </w:pPr>
      <w:r w:rsidRPr="00110D6C">
        <w:rPr>
          <w:rFonts w:cs="Times New Roman"/>
          <w:color w:val="auto"/>
          <w:szCs w:val="22"/>
          <w:lang w:val="pt-PT"/>
        </w:rPr>
        <w:t>---------------------------------------------------------------------------------------------------------------------------</w:t>
      </w:r>
    </w:p>
    <w:p w14:paraId="68428731" w14:textId="77777777" w:rsidR="008F68FE" w:rsidRPr="00110D6C" w:rsidRDefault="008F68FE" w:rsidP="00277492">
      <w:pPr>
        <w:widowControl/>
        <w:jc w:val="center"/>
        <w:rPr>
          <w:rFonts w:cs="Times New Roman"/>
          <w:color w:val="auto"/>
          <w:szCs w:val="22"/>
          <w:lang w:val="pt-PT"/>
        </w:rPr>
      </w:pPr>
    </w:p>
    <w:p w14:paraId="5B4940FC" w14:textId="77777777" w:rsidR="0077031F" w:rsidRPr="00110D6C" w:rsidRDefault="00030085" w:rsidP="00277492">
      <w:pPr>
        <w:widowControl/>
        <w:jc w:val="center"/>
        <w:rPr>
          <w:rFonts w:cs="Times New Roman"/>
          <w:color w:val="auto"/>
          <w:szCs w:val="22"/>
          <w:lang w:val="pt-PT"/>
        </w:rPr>
      </w:pPr>
      <w:r w:rsidRPr="00110D6C">
        <w:rPr>
          <w:rFonts w:cs="Times New Roman"/>
          <w:color w:val="auto"/>
          <w:szCs w:val="22"/>
          <w:lang w:val="pt-PT"/>
        </w:rPr>
        <w:t>A informação seguinte destina-se apenas aos profissionais de saúde:</w:t>
      </w:r>
    </w:p>
    <w:p w14:paraId="244EE9C0" w14:textId="77777777" w:rsidR="008F68FE" w:rsidRPr="00110D6C" w:rsidRDefault="008F68FE" w:rsidP="00A17623">
      <w:pPr>
        <w:widowControl/>
        <w:rPr>
          <w:rFonts w:cs="Times New Roman"/>
          <w:color w:val="auto"/>
          <w:szCs w:val="22"/>
          <w:lang w:val="pt-PT"/>
        </w:rPr>
      </w:pPr>
    </w:p>
    <w:p w14:paraId="026A3B4D" w14:textId="77777777" w:rsidR="0077031F" w:rsidRPr="00110D6C" w:rsidRDefault="00030085" w:rsidP="00A17623">
      <w:pPr>
        <w:widowControl/>
        <w:rPr>
          <w:rFonts w:cs="Times New Roman"/>
          <w:color w:val="auto"/>
          <w:szCs w:val="22"/>
          <w:u w:val="single"/>
          <w:lang w:val="pt-PT"/>
        </w:rPr>
      </w:pPr>
      <w:r w:rsidRPr="00110D6C">
        <w:rPr>
          <w:rFonts w:cs="Times New Roman"/>
          <w:color w:val="auto"/>
          <w:szCs w:val="22"/>
          <w:u w:val="single"/>
          <w:lang w:val="pt-PT"/>
        </w:rPr>
        <w:t>Rastreabilidade:</w:t>
      </w:r>
    </w:p>
    <w:p w14:paraId="4071B690" w14:textId="77777777" w:rsidR="008F68FE" w:rsidRPr="00110D6C" w:rsidRDefault="008F68FE" w:rsidP="00A17623">
      <w:pPr>
        <w:widowControl/>
        <w:rPr>
          <w:rFonts w:cs="Times New Roman"/>
          <w:color w:val="auto"/>
          <w:szCs w:val="22"/>
          <w:lang w:val="pt-PT"/>
        </w:rPr>
      </w:pPr>
    </w:p>
    <w:p w14:paraId="657597FE"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De forma a melhorar a rastreabilidade dos medicamentos biológicos, o nome comercial e o número de lote do medicamento administrado devem ser claramente registados.</w:t>
      </w:r>
    </w:p>
    <w:p w14:paraId="6B54C868" w14:textId="77777777" w:rsidR="008F68FE" w:rsidRPr="00110D6C" w:rsidRDefault="008F68FE" w:rsidP="00A17623">
      <w:pPr>
        <w:widowControl/>
        <w:rPr>
          <w:rFonts w:cs="Times New Roman"/>
          <w:color w:val="auto"/>
          <w:szCs w:val="22"/>
          <w:lang w:val="pt-PT"/>
        </w:rPr>
      </w:pPr>
    </w:p>
    <w:p w14:paraId="2E993585" w14:textId="77777777" w:rsidR="0077031F" w:rsidRPr="00110D6C" w:rsidRDefault="00030085" w:rsidP="00053F8C">
      <w:pPr>
        <w:keepNext/>
        <w:widowControl/>
        <w:rPr>
          <w:rFonts w:cs="Times New Roman"/>
          <w:color w:val="auto"/>
          <w:szCs w:val="22"/>
          <w:u w:val="single"/>
          <w:lang w:val="pt-PT"/>
        </w:rPr>
      </w:pPr>
      <w:r w:rsidRPr="00110D6C">
        <w:rPr>
          <w:rFonts w:cs="Times New Roman"/>
          <w:color w:val="auto"/>
          <w:szCs w:val="22"/>
          <w:u w:val="single"/>
          <w:lang w:val="pt-PT"/>
        </w:rPr>
        <w:t>Instruções para diluição:</w:t>
      </w:r>
    </w:p>
    <w:p w14:paraId="46A6ECFB" w14:textId="77777777" w:rsidR="008F68FE" w:rsidRPr="00110D6C" w:rsidRDefault="008F68FE" w:rsidP="00053F8C">
      <w:pPr>
        <w:keepNext/>
        <w:widowControl/>
        <w:rPr>
          <w:rFonts w:cs="Times New Roman"/>
          <w:color w:val="auto"/>
          <w:szCs w:val="22"/>
          <w:lang w:val="pt-PT"/>
        </w:rPr>
      </w:pPr>
    </w:p>
    <w:p w14:paraId="0CDE45D5" w14:textId="571E40EE" w:rsidR="0077031F" w:rsidRPr="00110D6C" w:rsidRDefault="00D05FE6" w:rsidP="00053F8C">
      <w:pPr>
        <w:keepNext/>
        <w:widowControl/>
        <w:rPr>
          <w:rFonts w:cs="Times New Roman"/>
          <w:color w:val="auto"/>
          <w:szCs w:val="22"/>
          <w:lang w:val="pt-PT"/>
        </w:rPr>
      </w:pPr>
      <w:r w:rsidRPr="00110D6C">
        <w:rPr>
          <w:rFonts w:cs="Times New Roman"/>
          <w:color w:val="auto"/>
          <w:szCs w:val="22"/>
          <w:lang w:val="pt-PT"/>
        </w:rPr>
        <w:t>F</w:t>
      </w:r>
      <w:r w:rsidR="00BB3454" w:rsidRPr="00110D6C">
        <w:rPr>
          <w:rFonts w:cs="Times New Roman"/>
          <w:color w:val="auto"/>
          <w:szCs w:val="22"/>
          <w:lang w:val="pt-PT"/>
        </w:rPr>
        <w:t>ymskina</w:t>
      </w:r>
      <w:r w:rsidR="00030085" w:rsidRPr="00110D6C">
        <w:rPr>
          <w:rFonts w:cs="Times New Roman"/>
          <w:color w:val="auto"/>
          <w:szCs w:val="22"/>
          <w:lang w:val="pt-PT"/>
        </w:rPr>
        <w:t xml:space="preserve"> concentrado para solução para perfusão deve ser diluído, preparado e administrado por perfusão por um profissional de saúde, utilizando técnica assética.</w:t>
      </w:r>
    </w:p>
    <w:p w14:paraId="4629BE64" w14:textId="77777777" w:rsidR="008F68FE" w:rsidRPr="00110D6C" w:rsidRDefault="008F68FE" w:rsidP="00A17623">
      <w:pPr>
        <w:widowControl/>
        <w:rPr>
          <w:rFonts w:cs="Times New Roman"/>
          <w:color w:val="auto"/>
          <w:szCs w:val="22"/>
          <w:lang w:val="pt-PT"/>
        </w:rPr>
      </w:pPr>
    </w:p>
    <w:p w14:paraId="4A79DD24" w14:textId="2B36B0CF" w:rsidR="0077031F" w:rsidRPr="00110D6C" w:rsidRDefault="00DC3C01" w:rsidP="00A17623">
      <w:pPr>
        <w:widowControl/>
        <w:ind w:left="567" w:hanging="567"/>
        <w:rPr>
          <w:rFonts w:cs="Times New Roman"/>
          <w:color w:val="auto"/>
          <w:szCs w:val="22"/>
          <w:lang w:val="pt-PT"/>
        </w:rPr>
      </w:pPr>
      <w:r w:rsidRPr="00110D6C">
        <w:rPr>
          <w:rFonts w:cs="Times New Roman"/>
          <w:color w:val="auto"/>
          <w:szCs w:val="22"/>
          <w:lang w:val="pt-PT"/>
        </w:rPr>
        <w:t>1.</w:t>
      </w:r>
      <w:r w:rsidRPr="00110D6C">
        <w:rPr>
          <w:rFonts w:cs="Times New Roman"/>
          <w:color w:val="auto"/>
          <w:szCs w:val="22"/>
          <w:lang w:val="pt-PT"/>
        </w:rPr>
        <w:tab/>
      </w:r>
      <w:r w:rsidR="00030085" w:rsidRPr="00110D6C">
        <w:rPr>
          <w:rFonts w:cs="Times New Roman"/>
          <w:color w:val="auto"/>
          <w:szCs w:val="22"/>
          <w:lang w:val="pt-PT"/>
        </w:rPr>
        <w:t xml:space="preserve">Calcular a dose e o número de frascos para injetáveis de </w:t>
      </w:r>
      <w:r w:rsidR="00D05FE6" w:rsidRPr="00110D6C">
        <w:rPr>
          <w:rFonts w:cs="Times New Roman"/>
          <w:color w:val="auto"/>
          <w:szCs w:val="22"/>
          <w:lang w:val="pt-PT"/>
        </w:rPr>
        <w:t>F</w:t>
      </w:r>
      <w:r w:rsidR="00BB3454" w:rsidRPr="00110D6C">
        <w:rPr>
          <w:rFonts w:cs="Times New Roman"/>
          <w:color w:val="auto"/>
          <w:szCs w:val="22"/>
          <w:lang w:val="pt-PT"/>
        </w:rPr>
        <w:t xml:space="preserve">ymskina </w:t>
      </w:r>
      <w:r w:rsidR="00030085" w:rsidRPr="00110D6C">
        <w:rPr>
          <w:rFonts w:cs="Times New Roman"/>
          <w:color w:val="auto"/>
          <w:szCs w:val="22"/>
          <w:lang w:val="pt-PT"/>
        </w:rPr>
        <w:t>necessários com base no peso do doente (ver</w:t>
      </w:r>
      <w:r w:rsidR="006A79E5" w:rsidRPr="00110D6C">
        <w:rPr>
          <w:rFonts w:cs="Times New Roman"/>
          <w:color w:val="auto"/>
          <w:szCs w:val="22"/>
          <w:lang w:val="pt-PT"/>
        </w:rPr>
        <w:t> </w:t>
      </w:r>
      <w:r w:rsidR="00030085" w:rsidRPr="00110D6C">
        <w:rPr>
          <w:rFonts w:cs="Times New Roman"/>
          <w:color w:val="auto"/>
          <w:szCs w:val="22"/>
          <w:lang w:val="pt-PT"/>
        </w:rPr>
        <w:t>secção</w:t>
      </w:r>
      <w:r w:rsidR="006A79E5" w:rsidRPr="00110D6C">
        <w:rPr>
          <w:rFonts w:cs="Times New Roman"/>
          <w:color w:val="auto"/>
          <w:szCs w:val="22"/>
          <w:lang w:val="pt-PT"/>
        </w:rPr>
        <w:t> </w:t>
      </w:r>
      <w:r w:rsidR="00030085" w:rsidRPr="00110D6C">
        <w:rPr>
          <w:rFonts w:cs="Times New Roman"/>
          <w:color w:val="auto"/>
          <w:szCs w:val="22"/>
          <w:lang w:val="pt-PT"/>
        </w:rPr>
        <w:t>3, Tabela</w:t>
      </w:r>
      <w:r w:rsidR="006A79E5" w:rsidRPr="00110D6C">
        <w:rPr>
          <w:rFonts w:cs="Times New Roman"/>
          <w:color w:val="auto"/>
          <w:szCs w:val="22"/>
          <w:lang w:val="pt-PT"/>
        </w:rPr>
        <w:t> </w:t>
      </w:r>
      <w:r w:rsidR="00030085" w:rsidRPr="00110D6C">
        <w:rPr>
          <w:rFonts w:cs="Times New Roman"/>
          <w:color w:val="auto"/>
          <w:szCs w:val="22"/>
          <w:lang w:val="pt-PT"/>
        </w:rPr>
        <w:t>1). Cada frasco para injetáveis de 2</w:t>
      </w:r>
      <w:r w:rsidR="00B910F9" w:rsidRPr="00110D6C">
        <w:rPr>
          <w:rFonts w:cs="Times New Roman"/>
          <w:color w:val="auto"/>
          <w:szCs w:val="22"/>
          <w:lang w:val="pt-PT"/>
        </w:rPr>
        <w:t>6 </w:t>
      </w:r>
      <w:r w:rsidR="00030085" w:rsidRPr="00110D6C">
        <w:rPr>
          <w:rFonts w:cs="Times New Roman"/>
          <w:color w:val="auto"/>
          <w:szCs w:val="22"/>
          <w:lang w:val="pt-PT"/>
        </w:rPr>
        <w:t xml:space="preserve">ml de </w:t>
      </w:r>
      <w:r w:rsidR="00BB3454">
        <w:rPr>
          <w:rFonts w:cs="Times New Roman"/>
          <w:color w:val="auto"/>
          <w:szCs w:val="22"/>
          <w:lang w:val="pt-PT"/>
        </w:rPr>
        <w:t>Fymskina</w:t>
      </w:r>
      <w:r w:rsidR="00030085" w:rsidRPr="00110D6C">
        <w:rPr>
          <w:rFonts w:cs="Times New Roman"/>
          <w:color w:val="auto"/>
          <w:szCs w:val="22"/>
          <w:lang w:val="pt-PT"/>
        </w:rPr>
        <w:t xml:space="preserve"> contém 13</w:t>
      </w:r>
      <w:r w:rsidR="00B910F9" w:rsidRPr="00110D6C">
        <w:rPr>
          <w:rFonts w:cs="Times New Roman"/>
          <w:color w:val="auto"/>
          <w:szCs w:val="22"/>
          <w:lang w:val="pt-PT"/>
        </w:rPr>
        <w:t>0 </w:t>
      </w:r>
      <w:r w:rsidR="00030085" w:rsidRPr="00110D6C">
        <w:rPr>
          <w:rFonts w:cs="Times New Roman"/>
          <w:color w:val="auto"/>
          <w:szCs w:val="22"/>
          <w:lang w:val="pt-PT"/>
        </w:rPr>
        <w:t>mg de ustecinumab.</w:t>
      </w:r>
    </w:p>
    <w:p w14:paraId="40258D9D" w14:textId="1AB66748" w:rsidR="0077031F" w:rsidRPr="00110D6C" w:rsidRDefault="00DC3C01" w:rsidP="00A17623">
      <w:pPr>
        <w:widowControl/>
        <w:ind w:left="567" w:hanging="567"/>
        <w:rPr>
          <w:rFonts w:cs="Times New Roman"/>
          <w:color w:val="auto"/>
          <w:szCs w:val="22"/>
          <w:lang w:val="pt-PT"/>
        </w:rPr>
      </w:pPr>
      <w:r w:rsidRPr="00110D6C">
        <w:rPr>
          <w:rFonts w:cs="Times New Roman"/>
          <w:color w:val="auto"/>
          <w:szCs w:val="22"/>
          <w:lang w:val="pt-PT"/>
        </w:rPr>
        <w:t>2.</w:t>
      </w:r>
      <w:r w:rsidRPr="00110D6C">
        <w:rPr>
          <w:rFonts w:cs="Times New Roman"/>
          <w:color w:val="auto"/>
          <w:szCs w:val="22"/>
          <w:lang w:val="pt-PT"/>
        </w:rPr>
        <w:tab/>
      </w:r>
      <w:r w:rsidR="00030085" w:rsidRPr="00110D6C">
        <w:rPr>
          <w:rFonts w:cs="Times New Roman"/>
          <w:color w:val="auto"/>
          <w:szCs w:val="22"/>
          <w:lang w:val="pt-PT"/>
        </w:rPr>
        <w:t xml:space="preserve">Retirar e descartar um volume da solução de cloreto de sódio a </w:t>
      </w:r>
      <w:r w:rsidR="00B910F9" w:rsidRPr="00110D6C">
        <w:rPr>
          <w:rFonts w:cs="Times New Roman"/>
          <w:color w:val="auto"/>
          <w:szCs w:val="22"/>
          <w:lang w:val="pt-PT"/>
        </w:rPr>
        <w:t>9 </w:t>
      </w:r>
      <w:r w:rsidR="00030085" w:rsidRPr="00110D6C">
        <w:rPr>
          <w:rFonts w:cs="Times New Roman"/>
          <w:color w:val="auto"/>
          <w:szCs w:val="22"/>
          <w:lang w:val="pt-PT"/>
        </w:rPr>
        <w:t>mg/ml (0,9%) a partir do saco de perfusão de 25</w:t>
      </w:r>
      <w:r w:rsidR="00B910F9" w:rsidRPr="00110D6C">
        <w:rPr>
          <w:rFonts w:cs="Times New Roman"/>
          <w:color w:val="auto"/>
          <w:szCs w:val="22"/>
          <w:lang w:val="pt-PT"/>
        </w:rPr>
        <w:t>0 </w:t>
      </w:r>
      <w:r w:rsidR="00030085" w:rsidRPr="00110D6C">
        <w:rPr>
          <w:rFonts w:cs="Times New Roman"/>
          <w:color w:val="auto"/>
          <w:szCs w:val="22"/>
          <w:lang w:val="pt-PT"/>
        </w:rPr>
        <w:t xml:space="preserve">ml, igual ao volume de </w:t>
      </w:r>
      <w:r w:rsidR="00BB3454">
        <w:rPr>
          <w:rFonts w:cs="Times New Roman"/>
          <w:color w:val="auto"/>
          <w:szCs w:val="22"/>
          <w:lang w:val="pt-PT"/>
        </w:rPr>
        <w:t>Fymskina</w:t>
      </w:r>
      <w:r w:rsidR="00030085" w:rsidRPr="00110D6C">
        <w:rPr>
          <w:rFonts w:cs="Times New Roman"/>
          <w:color w:val="auto"/>
          <w:szCs w:val="22"/>
          <w:lang w:val="pt-PT"/>
        </w:rPr>
        <w:t xml:space="preserve"> a ser adicionado (rejeite 2</w:t>
      </w:r>
      <w:r w:rsidR="00B910F9" w:rsidRPr="00110D6C">
        <w:rPr>
          <w:rFonts w:cs="Times New Roman"/>
          <w:color w:val="auto"/>
          <w:szCs w:val="22"/>
          <w:lang w:val="pt-PT"/>
        </w:rPr>
        <w:t>6 </w:t>
      </w:r>
      <w:r w:rsidR="00030085" w:rsidRPr="00110D6C">
        <w:rPr>
          <w:rFonts w:cs="Times New Roman"/>
          <w:color w:val="auto"/>
          <w:szCs w:val="22"/>
          <w:lang w:val="pt-PT"/>
        </w:rPr>
        <w:t xml:space="preserve">ml de cloreto de sódio por cada frasco para injetáveis de </w:t>
      </w:r>
      <w:r w:rsidR="00BB3454">
        <w:rPr>
          <w:rFonts w:cs="Times New Roman"/>
          <w:color w:val="auto"/>
          <w:szCs w:val="22"/>
          <w:lang w:val="pt-PT"/>
        </w:rPr>
        <w:t>Fymskina</w:t>
      </w:r>
      <w:r w:rsidR="00030085" w:rsidRPr="00110D6C">
        <w:rPr>
          <w:rFonts w:cs="Times New Roman"/>
          <w:color w:val="auto"/>
          <w:szCs w:val="22"/>
          <w:lang w:val="pt-PT"/>
        </w:rPr>
        <w:t xml:space="preserve"> necessário, para </w:t>
      </w:r>
      <w:r w:rsidR="00B910F9" w:rsidRPr="00110D6C">
        <w:rPr>
          <w:rFonts w:cs="Times New Roman"/>
          <w:color w:val="auto"/>
          <w:szCs w:val="22"/>
          <w:lang w:val="pt-PT"/>
        </w:rPr>
        <w:t>2 </w:t>
      </w:r>
      <w:r w:rsidR="00030085" w:rsidRPr="00110D6C">
        <w:rPr>
          <w:rFonts w:cs="Times New Roman"/>
          <w:color w:val="auto"/>
          <w:szCs w:val="22"/>
          <w:lang w:val="pt-PT"/>
        </w:rPr>
        <w:t xml:space="preserve">frascos para injetáveis </w:t>
      </w:r>
      <w:r w:rsidR="00030085" w:rsidRPr="00110D6C">
        <w:rPr>
          <w:rFonts w:cs="Times New Roman"/>
          <w:color w:val="auto"/>
          <w:szCs w:val="22"/>
          <w:lang w:val="pt-PT"/>
        </w:rPr>
        <w:lastRenderedPageBreak/>
        <w:t>rejeite 5</w:t>
      </w:r>
      <w:r w:rsidR="00B910F9" w:rsidRPr="00110D6C">
        <w:rPr>
          <w:rFonts w:cs="Times New Roman"/>
          <w:color w:val="auto"/>
          <w:szCs w:val="22"/>
          <w:lang w:val="pt-PT"/>
        </w:rPr>
        <w:t>2 </w:t>
      </w:r>
      <w:r w:rsidR="00030085" w:rsidRPr="00110D6C">
        <w:rPr>
          <w:rFonts w:cs="Times New Roman"/>
          <w:color w:val="auto"/>
          <w:szCs w:val="22"/>
          <w:lang w:val="pt-PT"/>
        </w:rPr>
        <w:t xml:space="preserve">ml, para </w:t>
      </w:r>
      <w:r w:rsidR="00B910F9" w:rsidRPr="00110D6C">
        <w:rPr>
          <w:rFonts w:cs="Times New Roman"/>
          <w:color w:val="auto"/>
          <w:szCs w:val="22"/>
          <w:lang w:val="pt-PT"/>
        </w:rPr>
        <w:t>3 </w:t>
      </w:r>
      <w:r w:rsidR="00030085" w:rsidRPr="00110D6C">
        <w:rPr>
          <w:rFonts w:cs="Times New Roman"/>
          <w:color w:val="auto"/>
          <w:szCs w:val="22"/>
          <w:lang w:val="pt-PT"/>
        </w:rPr>
        <w:t>frascos para injetáveis rejeite 7</w:t>
      </w:r>
      <w:r w:rsidR="00B910F9" w:rsidRPr="00110D6C">
        <w:rPr>
          <w:rFonts w:cs="Times New Roman"/>
          <w:color w:val="auto"/>
          <w:szCs w:val="22"/>
          <w:lang w:val="pt-PT"/>
        </w:rPr>
        <w:t>8 </w:t>
      </w:r>
      <w:r w:rsidR="00030085" w:rsidRPr="00110D6C">
        <w:rPr>
          <w:rFonts w:cs="Times New Roman"/>
          <w:color w:val="auto"/>
          <w:szCs w:val="22"/>
          <w:lang w:val="pt-PT"/>
        </w:rPr>
        <w:t xml:space="preserve">ml, para </w:t>
      </w:r>
      <w:r w:rsidR="00B910F9" w:rsidRPr="00110D6C">
        <w:rPr>
          <w:rFonts w:cs="Times New Roman"/>
          <w:color w:val="auto"/>
          <w:szCs w:val="22"/>
          <w:lang w:val="pt-PT"/>
        </w:rPr>
        <w:t>4 </w:t>
      </w:r>
      <w:r w:rsidR="00030085" w:rsidRPr="00110D6C">
        <w:rPr>
          <w:rFonts w:cs="Times New Roman"/>
          <w:color w:val="auto"/>
          <w:szCs w:val="22"/>
          <w:lang w:val="pt-PT"/>
        </w:rPr>
        <w:t>frascos para injetáveis rejeite 10</w:t>
      </w:r>
      <w:r w:rsidR="00B910F9" w:rsidRPr="00110D6C">
        <w:rPr>
          <w:rFonts w:cs="Times New Roman"/>
          <w:color w:val="auto"/>
          <w:szCs w:val="22"/>
          <w:lang w:val="pt-PT"/>
        </w:rPr>
        <w:t>4 </w:t>
      </w:r>
      <w:r w:rsidR="00030085" w:rsidRPr="00110D6C">
        <w:rPr>
          <w:rFonts w:cs="Times New Roman"/>
          <w:color w:val="auto"/>
          <w:szCs w:val="22"/>
          <w:lang w:val="pt-PT"/>
        </w:rPr>
        <w:t>ml).</w:t>
      </w:r>
    </w:p>
    <w:p w14:paraId="7BB68A36" w14:textId="62A4FA50" w:rsidR="0077031F" w:rsidRPr="00110D6C" w:rsidRDefault="00DC3C01" w:rsidP="008F68FE">
      <w:pPr>
        <w:widowControl/>
        <w:ind w:left="567" w:hanging="567"/>
        <w:rPr>
          <w:rFonts w:cs="Times New Roman"/>
          <w:color w:val="auto"/>
          <w:szCs w:val="22"/>
          <w:lang w:val="pt-PT"/>
        </w:rPr>
      </w:pPr>
      <w:r w:rsidRPr="00110D6C">
        <w:rPr>
          <w:rFonts w:cs="Times New Roman"/>
          <w:color w:val="auto"/>
          <w:szCs w:val="22"/>
          <w:lang w:val="pt-PT"/>
        </w:rPr>
        <w:t>3.</w:t>
      </w:r>
      <w:r w:rsidRPr="00110D6C">
        <w:rPr>
          <w:rFonts w:cs="Times New Roman"/>
          <w:color w:val="auto"/>
          <w:szCs w:val="22"/>
          <w:lang w:val="pt-PT"/>
        </w:rPr>
        <w:tab/>
      </w:r>
      <w:r w:rsidR="00030085" w:rsidRPr="00110D6C">
        <w:rPr>
          <w:rFonts w:cs="Times New Roman"/>
          <w:color w:val="auto"/>
          <w:szCs w:val="22"/>
          <w:lang w:val="pt-PT"/>
        </w:rPr>
        <w:t>Retirar 2</w:t>
      </w:r>
      <w:r w:rsidR="00B910F9" w:rsidRPr="00110D6C">
        <w:rPr>
          <w:rFonts w:cs="Times New Roman"/>
          <w:color w:val="auto"/>
          <w:szCs w:val="22"/>
          <w:lang w:val="pt-PT"/>
        </w:rPr>
        <w:t>6 </w:t>
      </w:r>
      <w:r w:rsidR="00030085" w:rsidRPr="00110D6C">
        <w:rPr>
          <w:rFonts w:cs="Times New Roman"/>
          <w:color w:val="auto"/>
          <w:szCs w:val="22"/>
          <w:lang w:val="pt-PT"/>
        </w:rPr>
        <w:t xml:space="preserve">ml de </w:t>
      </w:r>
      <w:r w:rsidR="00BB3454">
        <w:rPr>
          <w:rFonts w:cs="Times New Roman"/>
          <w:color w:val="auto"/>
          <w:szCs w:val="22"/>
          <w:lang w:val="pt-PT"/>
        </w:rPr>
        <w:t>Fymskina</w:t>
      </w:r>
      <w:r w:rsidR="00030085" w:rsidRPr="00110D6C">
        <w:rPr>
          <w:rFonts w:cs="Times New Roman"/>
          <w:color w:val="auto"/>
          <w:szCs w:val="22"/>
          <w:lang w:val="pt-PT"/>
        </w:rPr>
        <w:t xml:space="preserve"> de cada frasco para injetáveis necessário e adicione-o ao saco de</w:t>
      </w:r>
      <w:r w:rsidR="008F68FE" w:rsidRPr="00110D6C">
        <w:rPr>
          <w:rFonts w:cs="Times New Roman"/>
          <w:color w:val="auto"/>
          <w:szCs w:val="22"/>
          <w:lang w:val="pt-PT"/>
        </w:rPr>
        <w:t xml:space="preserve"> </w:t>
      </w:r>
      <w:r w:rsidR="00030085" w:rsidRPr="00110D6C">
        <w:rPr>
          <w:rFonts w:cs="Times New Roman"/>
          <w:color w:val="auto"/>
          <w:szCs w:val="22"/>
          <w:lang w:val="pt-PT"/>
        </w:rPr>
        <w:t>perfusão de 25</w:t>
      </w:r>
      <w:r w:rsidR="00B910F9" w:rsidRPr="00110D6C">
        <w:rPr>
          <w:rFonts w:cs="Times New Roman"/>
          <w:color w:val="auto"/>
          <w:szCs w:val="22"/>
          <w:lang w:val="pt-PT"/>
        </w:rPr>
        <w:t>0 </w:t>
      </w:r>
      <w:r w:rsidR="00030085" w:rsidRPr="00110D6C">
        <w:rPr>
          <w:rFonts w:cs="Times New Roman"/>
          <w:color w:val="auto"/>
          <w:szCs w:val="22"/>
          <w:lang w:val="pt-PT"/>
        </w:rPr>
        <w:t>ml. O volume final no saco de perfusão deve ser de 25</w:t>
      </w:r>
      <w:r w:rsidR="00B910F9" w:rsidRPr="00110D6C">
        <w:rPr>
          <w:rFonts w:cs="Times New Roman"/>
          <w:color w:val="auto"/>
          <w:szCs w:val="22"/>
          <w:lang w:val="pt-PT"/>
        </w:rPr>
        <w:t>0 </w:t>
      </w:r>
      <w:r w:rsidR="00030085" w:rsidRPr="00110D6C">
        <w:rPr>
          <w:rFonts w:cs="Times New Roman"/>
          <w:color w:val="auto"/>
          <w:szCs w:val="22"/>
          <w:lang w:val="pt-PT"/>
        </w:rPr>
        <w:t>ml. Misturar suavemente.</w:t>
      </w:r>
    </w:p>
    <w:p w14:paraId="24E13314" w14:textId="77777777" w:rsidR="0077031F" w:rsidRPr="00110D6C" w:rsidRDefault="00DC3C01" w:rsidP="00A17623">
      <w:pPr>
        <w:widowControl/>
        <w:ind w:left="567" w:hanging="567"/>
        <w:rPr>
          <w:rFonts w:cs="Times New Roman"/>
          <w:color w:val="auto"/>
          <w:szCs w:val="22"/>
          <w:lang w:val="pt-PT"/>
        </w:rPr>
      </w:pPr>
      <w:r w:rsidRPr="00110D6C">
        <w:rPr>
          <w:rFonts w:cs="Times New Roman"/>
          <w:color w:val="auto"/>
          <w:szCs w:val="22"/>
          <w:lang w:val="pt-PT"/>
        </w:rPr>
        <w:t>4.</w:t>
      </w:r>
      <w:r w:rsidRPr="00110D6C">
        <w:rPr>
          <w:rFonts w:cs="Times New Roman"/>
          <w:color w:val="auto"/>
          <w:szCs w:val="22"/>
          <w:lang w:val="pt-PT"/>
        </w:rPr>
        <w:tab/>
      </w:r>
      <w:r w:rsidR="00030085" w:rsidRPr="00110D6C">
        <w:rPr>
          <w:rFonts w:cs="Times New Roman"/>
          <w:color w:val="auto"/>
          <w:szCs w:val="22"/>
          <w:lang w:val="pt-PT"/>
        </w:rPr>
        <w:t>Inspecionar visualmente a solução diluída antes da administração por perfusão. Não utilizar se observar partículas visivelmente opacas, descoloração ou partículas estranhas.</w:t>
      </w:r>
    </w:p>
    <w:p w14:paraId="6E714AAC" w14:textId="6E23C200" w:rsidR="0077031F" w:rsidRPr="00110D6C" w:rsidRDefault="00DC3C01" w:rsidP="00A17623">
      <w:pPr>
        <w:widowControl/>
        <w:ind w:left="567" w:hanging="567"/>
        <w:rPr>
          <w:rFonts w:cs="Times New Roman"/>
          <w:color w:val="auto"/>
          <w:szCs w:val="22"/>
          <w:lang w:val="pt-PT"/>
        </w:rPr>
      </w:pPr>
      <w:r w:rsidRPr="00110D6C">
        <w:rPr>
          <w:rFonts w:cs="Times New Roman"/>
          <w:color w:val="auto"/>
          <w:szCs w:val="22"/>
          <w:lang w:val="pt-PT"/>
        </w:rPr>
        <w:t>5.</w:t>
      </w:r>
      <w:r w:rsidRPr="00110D6C">
        <w:rPr>
          <w:rFonts w:cs="Times New Roman"/>
          <w:color w:val="auto"/>
          <w:szCs w:val="22"/>
          <w:lang w:val="pt-PT"/>
        </w:rPr>
        <w:tab/>
      </w:r>
      <w:r w:rsidR="00030085" w:rsidRPr="00110D6C">
        <w:rPr>
          <w:rFonts w:cs="Times New Roman"/>
          <w:color w:val="auto"/>
          <w:szCs w:val="22"/>
          <w:lang w:val="pt-PT"/>
        </w:rPr>
        <w:t xml:space="preserve">Administrar a solução diluída por perfusão ao longo de um período de, pelo menos, uma hora. Uma vez diluída, a perfusão deve ser completada dentro de </w:t>
      </w:r>
      <w:r w:rsidR="00BB3454">
        <w:rPr>
          <w:rFonts w:cs="Times New Roman"/>
          <w:color w:val="auto"/>
          <w:szCs w:val="22"/>
          <w:lang w:val="pt-PT"/>
        </w:rPr>
        <w:t>24</w:t>
      </w:r>
      <w:r w:rsidR="00B910F9" w:rsidRPr="00110D6C">
        <w:rPr>
          <w:rFonts w:cs="Times New Roman"/>
          <w:color w:val="auto"/>
          <w:szCs w:val="22"/>
          <w:lang w:val="pt-PT"/>
        </w:rPr>
        <w:t> </w:t>
      </w:r>
      <w:r w:rsidR="00030085" w:rsidRPr="00110D6C">
        <w:rPr>
          <w:rFonts w:cs="Times New Roman"/>
          <w:color w:val="auto"/>
          <w:szCs w:val="22"/>
          <w:lang w:val="pt-PT"/>
        </w:rPr>
        <w:t>horas após a diluição no saco de perfusão.</w:t>
      </w:r>
    </w:p>
    <w:p w14:paraId="0B4AA279" w14:textId="77777777" w:rsidR="0077031F" w:rsidRPr="00110D6C" w:rsidRDefault="00DC3C01" w:rsidP="00A17623">
      <w:pPr>
        <w:widowControl/>
        <w:ind w:left="567" w:hanging="567"/>
        <w:rPr>
          <w:rFonts w:cs="Times New Roman"/>
          <w:color w:val="auto"/>
          <w:szCs w:val="22"/>
          <w:lang w:val="pt-PT"/>
        </w:rPr>
      </w:pPr>
      <w:r w:rsidRPr="00110D6C">
        <w:rPr>
          <w:rFonts w:cs="Times New Roman"/>
          <w:color w:val="auto"/>
          <w:szCs w:val="22"/>
          <w:lang w:val="pt-PT"/>
        </w:rPr>
        <w:t>6.</w:t>
      </w:r>
      <w:r w:rsidRPr="00110D6C">
        <w:rPr>
          <w:rFonts w:cs="Times New Roman"/>
          <w:color w:val="auto"/>
          <w:szCs w:val="22"/>
          <w:lang w:val="pt-PT"/>
        </w:rPr>
        <w:tab/>
      </w:r>
      <w:r w:rsidR="00030085" w:rsidRPr="00110D6C">
        <w:rPr>
          <w:rFonts w:cs="Times New Roman"/>
          <w:color w:val="auto"/>
          <w:szCs w:val="22"/>
          <w:lang w:val="pt-PT"/>
        </w:rPr>
        <w:t>Utilizar apenas um sistema de perfusão com um filtro em linha, apirogénico, com baixa ligação às proteínas e estéril (tamanho dos poros de 0,</w:t>
      </w:r>
      <w:r w:rsidR="00B910F9" w:rsidRPr="00110D6C">
        <w:rPr>
          <w:rFonts w:cs="Times New Roman"/>
          <w:color w:val="auto"/>
          <w:szCs w:val="22"/>
          <w:lang w:val="pt-PT"/>
        </w:rPr>
        <w:t>2 </w:t>
      </w:r>
      <w:r w:rsidR="00030085" w:rsidRPr="00110D6C">
        <w:rPr>
          <w:rFonts w:cs="Times New Roman"/>
          <w:color w:val="auto"/>
          <w:szCs w:val="22"/>
          <w:lang w:val="pt-PT"/>
        </w:rPr>
        <w:t>micrómetros).</w:t>
      </w:r>
    </w:p>
    <w:p w14:paraId="4947A458" w14:textId="77777777" w:rsidR="0077031F" w:rsidRPr="00110D6C" w:rsidRDefault="00DC3C01" w:rsidP="00A17623">
      <w:pPr>
        <w:widowControl/>
        <w:ind w:left="567" w:hanging="567"/>
        <w:rPr>
          <w:rFonts w:cs="Times New Roman"/>
          <w:color w:val="auto"/>
          <w:szCs w:val="22"/>
          <w:lang w:val="pt-PT"/>
        </w:rPr>
      </w:pPr>
      <w:r w:rsidRPr="00110D6C">
        <w:rPr>
          <w:rFonts w:cs="Times New Roman"/>
          <w:color w:val="auto"/>
          <w:szCs w:val="22"/>
          <w:lang w:val="pt-PT"/>
        </w:rPr>
        <w:t>7.</w:t>
      </w:r>
      <w:r w:rsidRPr="00110D6C">
        <w:rPr>
          <w:rFonts w:cs="Times New Roman"/>
          <w:color w:val="auto"/>
          <w:szCs w:val="22"/>
          <w:lang w:val="pt-PT"/>
        </w:rPr>
        <w:tab/>
      </w:r>
      <w:r w:rsidR="00030085" w:rsidRPr="00110D6C">
        <w:rPr>
          <w:rFonts w:cs="Times New Roman"/>
          <w:color w:val="auto"/>
          <w:szCs w:val="22"/>
          <w:lang w:val="pt-PT"/>
        </w:rPr>
        <w:t>Cada frasco para injetáveis destina-se a uma única utilização e qualquer medicamento não utilizado deve ser eliminado de acordo com as exigências locais.</w:t>
      </w:r>
    </w:p>
    <w:p w14:paraId="5C789A23" w14:textId="77777777" w:rsidR="008F68FE" w:rsidRPr="00110D6C" w:rsidRDefault="008F68FE" w:rsidP="00A17623">
      <w:pPr>
        <w:widowControl/>
        <w:rPr>
          <w:rFonts w:cs="Times New Roman"/>
          <w:color w:val="auto"/>
          <w:szCs w:val="22"/>
          <w:lang w:val="pt-PT"/>
        </w:rPr>
      </w:pPr>
    </w:p>
    <w:p w14:paraId="19BE0636" w14:textId="77777777" w:rsidR="0077031F" w:rsidRPr="00110D6C" w:rsidRDefault="00030085" w:rsidP="00A17623">
      <w:pPr>
        <w:widowControl/>
        <w:rPr>
          <w:rFonts w:cs="Times New Roman"/>
          <w:color w:val="auto"/>
          <w:szCs w:val="22"/>
          <w:lang w:val="pt-PT"/>
        </w:rPr>
      </w:pPr>
      <w:r w:rsidRPr="00110D6C">
        <w:rPr>
          <w:rFonts w:cs="Times New Roman"/>
          <w:color w:val="auto"/>
          <w:szCs w:val="22"/>
          <w:u w:val="single"/>
          <w:lang w:val="pt-PT"/>
        </w:rPr>
        <w:t>Conservação</w:t>
      </w:r>
    </w:p>
    <w:p w14:paraId="2A0102C3" w14:textId="790446B0"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Se necessário, a solução para perfusão diluída </w:t>
      </w:r>
      <w:r w:rsidR="00BB3454">
        <w:rPr>
          <w:rFonts w:cs="Times New Roman"/>
          <w:color w:val="auto"/>
          <w:szCs w:val="22"/>
          <w:lang w:val="pt-PT"/>
        </w:rPr>
        <w:t>deve</w:t>
      </w:r>
      <w:r w:rsidR="00BB3454" w:rsidRPr="00110D6C">
        <w:rPr>
          <w:rFonts w:cs="Times New Roman"/>
          <w:color w:val="auto"/>
          <w:szCs w:val="22"/>
          <w:lang w:val="pt-PT"/>
        </w:rPr>
        <w:t xml:space="preserve"> </w:t>
      </w:r>
      <w:r w:rsidRPr="00110D6C">
        <w:rPr>
          <w:rFonts w:cs="Times New Roman"/>
          <w:color w:val="auto"/>
          <w:szCs w:val="22"/>
          <w:lang w:val="pt-PT"/>
        </w:rPr>
        <w:t xml:space="preserve">ser conservada à temperatura ambiente. A perfusão deve ser completada dentro de </w:t>
      </w:r>
      <w:r w:rsidR="00BB3454">
        <w:rPr>
          <w:rFonts w:cs="Times New Roman"/>
          <w:color w:val="auto"/>
          <w:szCs w:val="22"/>
          <w:lang w:val="pt-PT"/>
        </w:rPr>
        <w:t>24</w:t>
      </w:r>
      <w:r w:rsidR="00B910F9" w:rsidRPr="00110D6C">
        <w:rPr>
          <w:rFonts w:cs="Times New Roman"/>
          <w:color w:val="auto"/>
          <w:szCs w:val="22"/>
          <w:lang w:val="pt-PT"/>
        </w:rPr>
        <w:t> </w:t>
      </w:r>
      <w:r w:rsidRPr="00110D6C">
        <w:rPr>
          <w:rFonts w:cs="Times New Roman"/>
          <w:color w:val="auto"/>
          <w:szCs w:val="22"/>
          <w:lang w:val="pt-PT"/>
        </w:rPr>
        <w:t>horas após a diluição no saco de perfusão. Não congelar.</w:t>
      </w:r>
    </w:p>
    <w:p w14:paraId="03D3AEB6" w14:textId="77777777" w:rsidR="008F68FE" w:rsidRPr="00110D6C" w:rsidRDefault="008F68FE" w:rsidP="00A17623">
      <w:pPr>
        <w:widowControl/>
        <w:rPr>
          <w:rFonts w:cs="Times New Roman"/>
          <w:bCs/>
          <w:color w:val="auto"/>
          <w:szCs w:val="22"/>
          <w:lang w:val="pt-PT"/>
        </w:rPr>
      </w:pPr>
    </w:p>
    <w:p w14:paraId="6AE2349C" w14:textId="77777777" w:rsidR="008F68FE" w:rsidRPr="00110D6C" w:rsidRDefault="008F68FE">
      <w:pPr>
        <w:rPr>
          <w:rFonts w:cs="Times New Roman"/>
          <w:bCs/>
          <w:color w:val="auto"/>
          <w:szCs w:val="22"/>
          <w:lang w:val="pt-PT"/>
        </w:rPr>
      </w:pPr>
      <w:r w:rsidRPr="00110D6C">
        <w:rPr>
          <w:rFonts w:cs="Times New Roman"/>
          <w:b/>
          <w:bCs/>
          <w:color w:val="auto"/>
          <w:szCs w:val="22"/>
          <w:lang w:val="pt-PT"/>
        </w:rPr>
        <w:br w:type="page"/>
      </w:r>
    </w:p>
    <w:p w14:paraId="0309433B" w14:textId="77777777" w:rsidR="0077031F" w:rsidRPr="00110D6C" w:rsidRDefault="00030085" w:rsidP="008F68FE">
      <w:pPr>
        <w:widowControl/>
        <w:jc w:val="center"/>
        <w:rPr>
          <w:rFonts w:cs="Times New Roman"/>
          <w:color w:val="auto"/>
          <w:szCs w:val="22"/>
          <w:lang w:val="pt-PT"/>
        </w:rPr>
      </w:pPr>
      <w:r w:rsidRPr="00110D6C">
        <w:rPr>
          <w:rFonts w:cs="Times New Roman"/>
          <w:b/>
          <w:bCs/>
          <w:color w:val="auto"/>
          <w:szCs w:val="22"/>
          <w:lang w:val="pt-PT"/>
        </w:rPr>
        <w:lastRenderedPageBreak/>
        <w:t>Folheto Informativo: Informação para o utilizador</w:t>
      </w:r>
    </w:p>
    <w:p w14:paraId="1564D9F8" w14:textId="77777777" w:rsidR="008F68FE" w:rsidRPr="00110D6C" w:rsidRDefault="008F68FE" w:rsidP="008F68FE">
      <w:pPr>
        <w:widowControl/>
        <w:jc w:val="center"/>
        <w:rPr>
          <w:rFonts w:cs="Times New Roman"/>
          <w:bCs/>
          <w:color w:val="auto"/>
          <w:szCs w:val="22"/>
          <w:lang w:val="pt-PT"/>
        </w:rPr>
      </w:pPr>
    </w:p>
    <w:p w14:paraId="590AC707" w14:textId="3418D3FC" w:rsidR="008F68FE" w:rsidRPr="00110D6C" w:rsidRDefault="00D05FE6" w:rsidP="008F68FE">
      <w:pPr>
        <w:widowControl/>
        <w:jc w:val="center"/>
        <w:rPr>
          <w:rFonts w:cs="Times New Roman"/>
          <w:b/>
          <w:bCs/>
          <w:color w:val="auto"/>
          <w:szCs w:val="22"/>
          <w:lang w:val="pt-PT"/>
        </w:rPr>
      </w:pPr>
      <w:r w:rsidRPr="00110D6C">
        <w:rPr>
          <w:rFonts w:cs="Times New Roman"/>
          <w:b/>
          <w:bCs/>
          <w:color w:val="auto"/>
          <w:szCs w:val="22"/>
          <w:lang w:val="pt-PT"/>
        </w:rPr>
        <w:t>F</w:t>
      </w:r>
      <w:r w:rsidR="00BB3454" w:rsidRPr="00110D6C">
        <w:rPr>
          <w:rFonts w:cs="Times New Roman"/>
          <w:b/>
          <w:bCs/>
          <w:color w:val="auto"/>
          <w:szCs w:val="22"/>
          <w:lang w:val="pt-PT"/>
        </w:rPr>
        <w:t>ymskina</w:t>
      </w:r>
      <w:r w:rsidR="00030085" w:rsidRPr="00110D6C">
        <w:rPr>
          <w:rFonts w:cs="Times New Roman"/>
          <w:b/>
          <w:bCs/>
          <w:color w:val="auto"/>
          <w:szCs w:val="22"/>
          <w:lang w:val="pt-PT"/>
        </w:rPr>
        <w:t xml:space="preserve"> 4</w:t>
      </w:r>
      <w:r w:rsidR="00B910F9" w:rsidRPr="00110D6C">
        <w:rPr>
          <w:rFonts w:cs="Times New Roman"/>
          <w:b/>
          <w:bCs/>
          <w:color w:val="auto"/>
          <w:szCs w:val="22"/>
          <w:lang w:val="pt-PT"/>
        </w:rPr>
        <w:t>5 </w:t>
      </w:r>
      <w:r w:rsidR="00030085" w:rsidRPr="00110D6C">
        <w:rPr>
          <w:rFonts w:cs="Times New Roman"/>
          <w:b/>
          <w:bCs/>
          <w:color w:val="auto"/>
          <w:szCs w:val="22"/>
          <w:lang w:val="pt-PT"/>
        </w:rPr>
        <w:t>mg solução injetável em seringa pré-cheia</w:t>
      </w:r>
    </w:p>
    <w:p w14:paraId="0D823069" w14:textId="77777777" w:rsidR="0077031F" w:rsidRPr="00110D6C" w:rsidRDefault="00030085" w:rsidP="008F68FE">
      <w:pPr>
        <w:widowControl/>
        <w:jc w:val="center"/>
        <w:rPr>
          <w:rFonts w:cs="Times New Roman"/>
          <w:color w:val="auto"/>
          <w:szCs w:val="22"/>
          <w:lang w:val="pt-PT"/>
        </w:rPr>
      </w:pPr>
      <w:r w:rsidRPr="00110D6C">
        <w:rPr>
          <w:rFonts w:cs="Times New Roman"/>
          <w:color w:val="auto"/>
          <w:szCs w:val="22"/>
          <w:lang w:val="pt-PT"/>
        </w:rPr>
        <w:t>ustecinumab</w:t>
      </w:r>
    </w:p>
    <w:p w14:paraId="5687EFF4" w14:textId="77777777" w:rsidR="008F68FE" w:rsidRPr="00110D6C" w:rsidRDefault="008F68FE" w:rsidP="008F68FE">
      <w:pPr>
        <w:widowControl/>
        <w:jc w:val="center"/>
        <w:rPr>
          <w:rFonts w:cs="Times New Roman"/>
          <w:bCs/>
          <w:color w:val="auto"/>
          <w:szCs w:val="22"/>
          <w:lang w:val="pt-PT"/>
        </w:rPr>
      </w:pPr>
    </w:p>
    <w:p w14:paraId="5285FF40" w14:textId="59693F77" w:rsidR="00BB3454" w:rsidRDefault="00133412" w:rsidP="00BB3454">
      <w:pPr>
        <w:widowControl/>
      </w:pPr>
      <w:r>
        <w:rPr>
          <w:noProof/>
        </w:rPr>
        <w:drawing>
          <wp:inline distT="0" distB="0" distL="0" distR="0" wp14:anchorId="5908699F" wp14:editId="45689D59">
            <wp:extent cx="196850" cy="1587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58750"/>
                    </a:xfrm>
                    <a:prstGeom prst="rect">
                      <a:avLst/>
                    </a:prstGeom>
                    <a:noFill/>
                    <a:ln>
                      <a:noFill/>
                    </a:ln>
                  </pic:spPr>
                </pic:pic>
              </a:graphicData>
            </a:graphic>
          </wp:inline>
        </w:drawing>
      </w:r>
      <w:r w:rsidR="00BB3454" w:rsidRPr="002D4719">
        <w:t>Este medicamento está sujeito a monitorização adicional. Isto irá permitir a rápida identificação d</w:t>
      </w:r>
      <w:r w:rsidR="00BB3454" w:rsidRPr="00487FCB">
        <w:t xml:space="preserve">e nova informação de segurança. Poderá ajudar, comunicando quaisquer efeitos </w:t>
      </w:r>
      <w:r w:rsidR="00BB3454">
        <w:t>indesejáveis</w:t>
      </w:r>
      <w:r w:rsidR="00BB3454" w:rsidRPr="00487FCB">
        <w:t xml:space="preserve"> que tenha. Para saber como comunicar efeitos </w:t>
      </w:r>
      <w:r w:rsidR="00BB3454">
        <w:t>indesejáveis</w:t>
      </w:r>
      <w:r w:rsidR="00BB3454" w:rsidRPr="00487FCB">
        <w:t>, veja o final da secção</w:t>
      </w:r>
      <w:r w:rsidR="00BB3454">
        <w:t> </w:t>
      </w:r>
      <w:r w:rsidR="00BB3454" w:rsidRPr="00487FCB">
        <w:t>4</w:t>
      </w:r>
      <w:r w:rsidR="00BB3454">
        <w:t>.</w:t>
      </w:r>
    </w:p>
    <w:p w14:paraId="1CE68328" w14:textId="77777777" w:rsidR="00BB3454" w:rsidRDefault="00BB3454" w:rsidP="00BB3454">
      <w:pPr>
        <w:widowControl/>
        <w:rPr>
          <w:rFonts w:cs="Times New Roman"/>
          <w:b/>
          <w:bCs/>
          <w:color w:val="auto"/>
          <w:szCs w:val="22"/>
          <w:lang w:val="pt-PT"/>
        </w:rPr>
      </w:pPr>
    </w:p>
    <w:p w14:paraId="380D4C3E"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Leia atentamente este folheto antes de utilizar este medicamento, pois contém informação importante para si.</w:t>
      </w:r>
    </w:p>
    <w:p w14:paraId="7132AFE0" w14:textId="77777777" w:rsidR="008F68FE" w:rsidRPr="00110D6C" w:rsidRDefault="008F68FE" w:rsidP="00A17623">
      <w:pPr>
        <w:widowControl/>
        <w:rPr>
          <w:rFonts w:cs="Times New Roman"/>
          <w:bCs/>
          <w:color w:val="auto"/>
          <w:szCs w:val="22"/>
          <w:lang w:val="pt-PT"/>
        </w:rPr>
      </w:pPr>
    </w:p>
    <w:p w14:paraId="40921DE9" w14:textId="378942BD"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Este folheto foi escrito para a pessoa que tomar o medicamento. Se for o familiar ou o prestador de cuidados de saúde que irá administrar </w:t>
      </w:r>
      <w:r w:rsidR="00D50CFA">
        <w:rPr>
          <w:rFonts w:cs="Times New Roman"/>
          <w:b/>
          <w:bCs/>
          <w:color w:val="auto"/>
          <w:szCs w:val="22"/>
          <w:lang w:val="pt-PT"/>
        </w:rPr>
        <w:t>Fymskina</w:t>
      </w:r>
      <w:r w:rsidRPr="00110D6C">
        <w:rPr>
          <w:rFonts w:cs="Times New Roman"/>
          <w:b/>
          <w:bCs/>
          <w:color w:val="auto"/>
          <w:szCs w:val="22"/>
          <w:lang w:val="pt-PT"/>
        </w:rPr>
        <w:t xml:space="preserve"> a uma criança, leia cuidadosamente esta informação por favor.</w:t>
      </w:r>
    </w:p>
    <w:p w14:paraId="40923F19" w14:textId="77777777" w:rsidR="0077031F" w:rsidRPr="00110D6C" w:rsidRDefault="00030085" w:rsidP="00D74B6E">
      <w:pPr>
        <w:pStyle w:val="Listenabsatz"/>
        <w:widowControl/>
        <w:numPr>
          <w:ilvl w:val="0"/>
          <w:numId w:val="8"/>
        </w:numPr>
        <w:ind w:left="567" w:hanging="567"/>
        <w:rPr>
          <w:rFonts w:cs="Times New Roman"/>
          <w:color w:val="auto"/>
          <w:szCs w:val="22"/>
          <w:lang w:val="pt-PT"/>
        </w:rPr>
      </w:pPr>
      <w:r w:rsidRPr="00110D6C">
        <w:rPr>
          <w:rFonts w:cs="Times New Roman"/>
          <w:color w:val="auto"/>
          <w:szCs w:val="22"/>
          <w:lang w:val="pt-PT"/>
        </w:rPr>
        <w:t>Conserve este folheto. Pode ter necessidade de o ler novamente.</w:t>
      </w:r>
    </w:p>
    <w:p w14:paraId="458B788D" w14:textId="77777777" w:rsidR="0077031F" w:rsidRPr="00110D6C" w:rsidRDefault="00030085" w:rsidP="00D74B6E">
      <w:pPr>
        <w:pStyle w:val="Listenabsatz"/>
        <w:widowControl/>
        <w:numPr>
          <w:ilvl w:val="0"/>
          <w:numId w:val="8"/>
        </w:numPr>
        <w:ind w:left="567" w:hanging="567"/>
        <w:rPr>
          <w:rFonts w:cs="Times New Roman"/>
          <w:color w:val="auto"/>
          <w:szCs w:val="22"/>
          <w:lang w:val="pt-PT"/>
        </w:rPr>
      </w:pPr>
      <w:r w:rsidRPr="00110D6C">
        <w:rPr>
          <w:rFonts w:cs="Times New Roman"/>
          <w:color w:val="auto"/>
          <w:szCs w:val="22"/>
          <w:lang w:val="pt-PT"/>
        </w:rPr>
        <w:t>Caso ainda tenha dúvidas, fale com o seu médico ou farmacêutico.</w:t>
      </w:r>
    </w:p>
    <w:p w14:paraId="129C843B" w14:textId="77777777" w:rsidR="0077031F" w:rsidRPr="00110D6C" w:rsidRDefault="00030085" w:rsidP="00D74B6E">
      <w:pPr>
        <w:pStyle w:val="Listenabsatz"/>
        <w:widowControl/>
        <w:numPr>
          <w:ilvl w:val="0"/>
          <w:numId w:val="8"/>
        </w:numPr>
        <w:ind w:left="567" w:hanging="567"/>
        <w:rPr>
          <w:rFonts w:cs="Times New Roman"/>
          <w:color w:val="auto"/>
          <w:szCs w:val="22"/>
          <w:lang w:val="pt-PT"/>
        </w:rPr>
      </w:pPr>
      <w:r w:rsidRPr="00110D6C">
        <w:rPr>
          <w:rFonts w:cs="Times New Roman"/>
          <w:color w:val="auto"/>
          <w:szCs w:val="22"/>
          <w:lang w:val="pt-PT"/>
        </w:rPr>
        <w:t>Este medicamento foi receitado apenas para si. Não deve dá-lo a outros. O medicamento pode</w:t>
      </w:r>
      <w:r w:rsidR="008F68FE" w:rsidRPr="00110D6C">
        <w:rPr>
          <w:rFonts w:cs="Times New Roman"/>
          <w:color w:val="auto"/>
          <w:szCs w:val="22"/>
          <w:lang w:val="pt-PT"/>
        </w:rPr>
        <w:t xml:space="preserve"> </w:t>
      </w:r>
      <w:r w:rsidRPr="00110D6C">
        <w:rPr>
          <w:rFonts w:cs="Times New Roman"/>
          <w:color w:val="auto"/>
          <w:szCs w:val="22"/>
          <w:lang w:val="pt-PT"/>
        </w:rPr>
        <w:t>ser-lhes prejudicial mesmo que apresentem os mesmos sinais de doença.</w:t>
      </w:r>
    </w:p>
    <w:p w14:paraId="19897818" w14:textId="77777777" w:rsidR="0077031F" w:rsidRPr="00110D6C" w:rsidRDefault="00030085" w:rsidP="00D74B6E">
      <w:pPr>
        <w:pStyle w:val="Listenabsatz"/>
        <w:widowControl/>
        <w:numPr>
          <w:ilvl w:val="0"/>
          <w:numId w:val="8"/>
        </w:numPr>
        <w:ind w:left="567" w:hanging="567"/>
        <w:rPr>
          <w:rFonts w:cs="Times New Roman"/>
          <w:color w:val="auto"/>
          <w:szCs w:val="22"/>
          <w:lang w:val="pt-PT"/>
        </w:rPr>
      </w:pPr>
      <w:r w:rsidRPr="00110D6C">
        <w:rPr>
          <w:rFonts w:cs="Times New Roman"/>
          <w:color w:val="auto"/>
          <w:szCs w:val="22"/>
          <w:lang w:val="pt-PT"/>
        </w:rPr>
        <w:t>Se tiver quaisquer efeitos indesejáveis, incluindo possíveis efeitos indesejáveis não indicados</w:t>
      </w:r>
      <w:r w:rsidR="008F68FE" w:rsidRPr="00110D6C">
        <w:rPr>
          <w:rFonts w:cs="Times New Roman"/>
          <w:color w:val="auto"/>
          <w:szCs w:val="22"/>
          <w:lang w:val="pt-PT"/>
        </w:rPr>
        <w:t xml:space="preserve"> </w:t>
      </w:r>
      <w:r w:rsidRPr="00110D6C">
        <w:rPr>
          <w:rFonts w:cs="Times New Roman"/>
          <w:color w:val="auto"/>
          <w:szCs w:val="22"/>
          <w:lang w:val="pt-PT"/>
        </w:rPr>
        <w:t>neste folheto, fale com o seu médico ou farmacêutico.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w:t>
      </w:r>
    </w:p>
    <w:p w14:paraId="49D0EE16" w14:textId="77777777" w:rsidR="008F68FE" w:rsidRPr="00110D6C" w:rsidRDefault="008F68FE" w:rsidP="00A17623">
      <w:pPr>
        <w:widowControl/>
        <w:rPr>
          <w:rFonts w:cs="Times New Roman"/>
          <w:bCs/>
          <w:color w:val="auto"/>
          <w:szCs w:val="22"/>
          <w:lang w:val="pt-PT"/>
        </w:rPr>
      </w:pPr>
      <w:bookmarkStart w:id="139" w:name="bookmark226"/>
    </w:p>
    <w:p w14:paraId="6F4A92C3"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O que contém este folheto</w:t>
      </w:r>
      <w:r w:rsidRPr="00110D6C">
        <w:rPr>
          <w:rFonts w:cs="Times New Roman"/>
          <w:color w:val="auto"/>
          <w:szCs w:val="22"/>
          <w:lang w:val="pt-PT"/>
        </w:rPr>
        <w:t>:</w:t>
      </w:r>
      <w:bookmarkEnd w:id="139"/>
    </w:p>
    <w:p w14:paraId="1AED3BB4" w14:textId="27D21E7C" w:rsidR="0077031F" w:rsidRPr="00110D6C" w:rsidRDefault="00DC3C01" w:rsidP="00A17623">
      <w:pPr>
        <w:widowControl/>
        <w:ind w:left="567" w:hanging="567"/>
        <w:rPr>
          <w:rFonts w:cs="Times New Roman"/>
          <w:color w:val="auto"/>
          <w:szCs w:val="22"/>
          <w:lang w:val="pt-PT"/>
        </w:rPr>
      </w:pPr>
      <w:r w:rsidRPr="00110D6C">
        <w:rPr>
          <w:rFonts w:cs="Times New Roman"/>
          <w:color w:val="auto"/>
          <w:szCs w:val="22"/>
          <w:lang w:val="pt-PT"/>
        </w:rPr>
        <w:t>1.</w:t>
      </w:r>
      <w:r w:rsidRPr="00110D6C">
        <w:rPr>
          <w:rFonts w:cs="Times New Roman"/>
          <w:color w:val="auto"/>
          <w:szCs w:val="22"/>
          <w:lang w:val="pt-PT"/>
        </w:rPr>
        <w:tab/>
      </w:r>
      <w:r w:rsidR="00030085" w:rsidRPr="00110D6C">
        <w:rPr>
          <w:rFonts w:cs="Times New Roman"/>
          <w:color w:val="auto"/>
          <w:szCs w:val="22"/>
          <w:lang w:val="pt-PT"/>
        </w:rPr>
        <w:t xml:space="preserve">O que é </w:t>
      </w:r>
      <w:r w:rsidR="00D50CFA">
        <w:rPr>
          <w:rFonts w:cs="Times New Roman"/>
          <w:color w:val="auto"/>
          <w:szCs w:val="22"/>
          <w:lang w:val="pt-PT"/>
        </w:rPr>
        <w:t>Fymskina</w:t>
      </w:r>
      <w:r w:rsidR="00030085" w:rsidRPr="00110D6C">
        <w:rPr>
          <w:rFonts w:cs="Times New Roman"/>
          <w:color w:val="auto"/>
          <w:szCs w:val="22"/>
          <w:lang w:val="pt-PT"/>
        </w:rPr>
        <w:t xml:space="preserve"> e para que é utilizado</w:t>
      </w:r>
    </w:p>
    <w:p w14:paraId="1A181B6B" w14:textId="42E83C03" w:rsidR="0077031F" w:rsidRPr="00110D6C" w:rsidRDefault="00DC3C01" w:rsidP="008F68FE">
      <w:pPr>
        <w:widowControl/>
        <w:ind w:left="567" w:hanging="567"/>
        <w:rPr>
          <w:rFonts w:cs="Times New Roman"/>
          <w:color w:val="auto"/>
          <w:szCs w:val="22"/>
          <w:lang w:val="pt-PT"/>
        </w:rPr>
      </w:pPr>
      <w:r w:rsidRPr="00110D6C">
        <w:rPr>
          <w:rFonts w:cs="Times New Roman"/>
          <w:color w:val="auto"/>
          <w:szCs w:val="22"/>
          <w:lang w:val="pt-PT"/>
        </w:rPr>
        <w:t>2.</w:t>
      </w:r>
      <w:r w:rsidRPr="00110D6C">
        <w:rPr>
          <w:rFonts w:cs="Times New Roman"/>
          <w:color w:val="auto"/>
          <w:szCs w:val="22"/>
          <w:lang w:val="pt-PT"/>
        </w:rPr>
        <w:tab/>
      </w:r>
      <w:r w:rsidR="00030085" w:rsidRPr="00110D6C">
        <w:rPr>
          <w:rFonts w:cs="Times New Roman"/>
          <w:color w:val="auto"/>
          <w:szCs w:val="22"/>
          <w:lang w:val="pt-PT"/>
        </w:rPr>
        <w:t>O que precisa de saber antes de</w:t>
      </w:r>
      <w:r w:rsidR="00030085" w:rsidRPr="00110D6C">
        <w:rPr>
          <w:rFonts w:cs="Times New Roman"/>
          <w:color w:val="auto"/>
          <w:szCs w:val="22"/>
          <w:lang w:val="pt-PT"/>
        </w:rPr>
        <w:tab/>
        <w:t>utilizar</w:t>
      </w:r>
      <w:r w:rsidR="008F68FE" w:rsidRPr="00110D6C">
        <w:rPr>
          <w:rFonts w:cs="Times New Roman"/>
          <w:color w:val="auto"/>
          <w:szCs w:val="22"/>
          <w:lang w:val="pt-PT"/>
        </w:rPr>
        <w:t xml:space="preserve"> </w:t>
      </w:r>
      <w:r w:rsidR="00D50CFA">
        <w:rPr>
          <w:rFonts w:cs="Times New Roman"/>
          <w:color w:val="auto"/>
          <w:szCs w:val="22"/>
          <w:lang w:val="pt-PT"/>
        </w:rPr>
        <w:t>Fymskina</w:t>
      </w:r>
    </w:p>
    <w:p w14:paraId="29E0A619" w14:textId="62530512" w:rsidR="0077031F" w:rsidRPr="00110D6C" w:rsidRDefault="00DC3C01" w:rsidP="00A17623">
      <w:pPr>
        <w:widowControl/>
        <w:ind w:left="567" w:hanging="567"/>
        <w:rPr>
          <w:rFonts w:cs="Times New Roman"/>
          <w:color w:val="auto"/>
          <w:szCs w:val="22"/>
          <w:lang w:val="pt-PT"/>
        </w:rPr>
      </w:pPr>
      <w:r w:rsidRPr="00110D6C">
        <w:rPr>
          <w:rFonts w:cs="Times New Roman"/>
          <w:color w:val="auto"/>
          <w:szCs w:val="22"/>
          <w:lang w:val="pt-PT"/>
        </w:rPr>
        <w:t>3.</w:t>
      </w:r>
      <w:r w:rsidRPr="00110D6C">
        <w:rPr>
          <w:rFonts w:cs="Times New Roman"/>
          <w:color w:val="auto"/>
          <w:szCs w:val="22"/>
          <w:lang w:val="pt-PT"/>
        </w:rPr>
        <w:tab/>
      </w:r>
      <w:r w:rsidR="00030085" w:rsidRPr="00110D6C">
        <w:rPr>
          <w:rFonts w:cs="Times New Roman"/>
          <w:color w:val="auto"/>
          <w:szCs w:val="22"/>
          <w:lang w:val="pt-PT"/>
        </w:rPr>
        <w:t xml:space="preserve">Como utilizar </w:t>
      </w:r>
      <w:r w:rsidR="00D50CFA">
        <w:rPr>
          <w:rFonts w:cs="Times New Roman"/>
          <w:color w:val="auto"/>
          <w:szCs w:val="22"/>
          <w:lang w:val="pt-PT"/>
        </w:rPr>
        <w:t>Fymskina</w:t>
      </w:r>
    </w:p>
    <w:p w14:paraId="2A50D8D6" w14:textId="77777777" w:rsidR="0077031F" w:rsidRPr="00110D6C" w:rsidRDefault="00DC3C01" w:rsidP="00A17623">
      <w:pPr>
        <w:widowControl/>
        <w:ind w:left="567" w:hanging="567"/>
        <w:rPr>
          <w:rFonts w:cs="Times New Roman"/>
          <w:color w:val="auto"/>
          <w:szCs w:val="22"/>
          <w:lang w:val="pt-PT"/>
        </w:rPr>
      </w:pPr>
      <w:r w:rsidRPr="00110D6C">
        <w:rPr>
          <w:rFonts w:cs="Times New Roman"/>
          <w:color w:val="auto"/>
          <w:szCs w:val="22"/>
          <w:lang w:val="pt-PT"/>
        </w:rPr>
        <w:t>4.</w:t>
      </w:r>
      <w:r w:rsidRPr="00110D6C">
        <w:rPr>
          <w:rFonts w:cs="Times New Roman"/>
          <w:color w:val="auto"/>
          <w:szCs w:val="22"/>
          <w:lang w:val="pt-PT"/>
        </w:rPr>
        <w:tab/>
      </w:r>
      <w:r w:rsidR="00030085" w:rsidRPr="00110D6C">
        <w:rPr>
          <w:rFonts w:cs="Times New Roman"/>
          <w:color w:val="auto"/>
          <w:szCs w:val="22"/>
          <w:lang w:val="pt-PT"/>
        </w:rPr>
        <w:t>Efeitos indesejáveis possíveis</w:t>
      </w:r>
    </w:p>
    <w:p w14:paraId="7A9B55B7" w14:textId="25F67668" w:rsidR="0077031F" w:rsidRPr="00110D6C" w:rsidRDefault="00DC3C01" w:rsidP="00A17623">
      <w:pPr>
        <w:widowControl/>
        <w:ind w:left="567" w:hanging="567"/>
        <w:rPr>
          <w:rFonts w:cs="Times New Roman"/>
          <w:color w:val="auto"/>
          <w:szCs w:val="22"/>
          <w:lang w:val="pt-PT"/>
        </w:rPr>
      </w:pPr>
      <w:r w:rsidRPr="00110D6C">
        <w:rPr>
          <w:rFonts w:cs="Times New Roman"/>
          <w:color w:val="auto"/>
          <w:szCs w:val="22"/>
          <w:lang w:val="pt-PT"/>
        </w:rPr>
        <w:t>5.</w:t>
      </w:r>
      <w:r w:rsidRPr="00110D6C">
        <w:rPr>
          <w:rFonts w:cs="Times New Roman"/>
          <w:color w:val="auto"/>
          <w:szCs w:val="22"/>
          <w:lang w:val="pt-PT"/>
        </w:rPr>
        <w:tab/>
      </w:r>
      <w:r w:rsidR="00030085" w:rsidRPr="00110D6C">
        <w:rPr>
          <w:rFonts w:cs="Times New Roman"/>
          <w:color w:val="auto"/>
          <w:szCs w:val="22"/>
          <w:lang w:val="pt-PT"/>
        </w:rPr>
        <w:t xml:space="preserve">Como conservar </w:t>
      </w:r>
      <w:r w:rsidR="00D50CFA">
        <w:rPr>
          <w:rFonts w:cs="Times New Roman"/>
          <w:color w:val="auto"/>
          <w:szCs w:val="22"/>
          <w:lang w:val="pt-PT"/>
        </w:rPr>
        <w:t>Fymskina</w:t>
      </w:r>
    </w:p>
    <w:p w14:paraId="343454BA" w14:textId="77777777" w:rsidR="0077031F" w:rsidRPr="00110D6C" w:rsidRDefault="00DC3C01" w:rsidP="008F68FE">
      <w:pPr>
        <w:widowControl/>
        <w:ind w:left="567" w:hanging="567"/>
        <w:rPr>
          <w:rFonts w:cs="Times New Roman"/>
          <w:color w:val="auto"/>
          <w:szCs w:val="22"/>
          <w:lang w:val="pt-PT"/>
        </w:rPr>
      </w:pPr>
      <w:r w:rsidRPr="00110D6C">
        <w:rPr>
          <w:rFonts w:cs="Times New Roman"/>
          <w:color w:val="auto"/>
          <w:szCs w:val="22"/>
          <w:lang w:val="pt-PT"/>
        </w:rPr>
        <w:t>6.</w:t>
      </w:r>
      <w:r w:rsidRPr="00110D6C">
        <w:rPr>
          <w:rFonts w:cs="Times New Roman"/>
          <w:color w:val="auto"/>
          <w:szCs w:val="22"/>
          <w:lang w:val="pt-PT"/>
        </w:rPr>
        <w:tab/>
      </w:r>
      <w:r w:rsidR="00030085" w:rsidRPr="00110D6C">
        <w:rPr>
          <w:rFonts w:cs="Times New Roman"/>
          <w:color w:val="auto"/>
          <w:szCs w:val="22"/>
          <w:lang w:val="pt-PT"/>
        </w:rPr>
        <w:t>Conteúdo da embalagem e outras</w:t>
      </w:r>
      <w:r w:rsidR="008F68FE" w:rsidRPr="00110D6C">
        <w:rPr>
          <w:rFonts w:cs="Times New Roman"/>
          <w:color w:val="auto"/>
          <w:szCs w:val="22"/>
          <w:lang w:val="pt-PT"/>
        </w:rPr>
        <w:t xml:space="preserve"> </w:t>
      </w:r>
      <w:r w:rsidR="00030085" w:rsidRPr="00110D6C">
        <w:rPr>
          <w:rFonts w:cs="Times New Roman"/>
          <w:color w:val="auto"/>
          <w:szCs w:val="22"/>
          <w:lang w:val="pt-PT"/>
        </w:rPr>
        <w:t>informações</w:t>
      </w:r>
    </w:p>
    <w:p w14:paraId="56A3382A" w14:textId="77777777" w:rsidR="008F68FE" w:rsidRPr="00110D6C" w:rsidRDefault="008F68FE" w:rsidP="002057DA">
      <w:pPr>
        <w:widowControl/>
        <w:rPr>
          <w:rFonts w:cs="Times New Roman"/>
          <w:bCs/>
          <w:color w:val="auto"/>
          <w:szCs w:val="22"/>
          <w:lang w:val="pt-PT"/>
        </w:rPr>
      </w:pPr>
      <w:bookmarkStart w:id="140" w:name="bookmark228"/>
    </w:p>
    <w:p w14:paraId="4EAE7FDE" w14:textId="77777777" w:rsidR="008F68FE" w:rsidRPr="00110D6C" w:rsidRDefault="008F68FE" w:rsidP="002057DA">
      <w:pPr>
        <w:widowControl/>
        <w:rPr>
          <w:rFonts w:cs="Times New Roman"/>
          <w:bCs/>
          <w:color w:val="auto"/>
          <w:szCs w:val="22"/>
          <w:lang w:val="pt-PT"/>
        </w:rPr>
      </w:pPr>
    </w:p>
    <w:p w14:paraId="176C54F9" w14:textId="7B2938B6"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1.</w:t>
      </w:r>
      <w:r w:rsidRPr="00110D6C">
        <w:rPr>
          <w:rFonts w:cs="Times New Roman"/>
          <w:b/>
          <w:bCs/>
          <w:color w:val="auto"/>
          <w:szCs w:val="22"/>
          <w:lang w:val="pt-PT"/>
        </w:rPr>
        <w:tab/>
      </w:r>
      <w:r w:rsidR="00030085" w:rsidRPr="00110D6C">
        <w:rPr>
          <w:rFonts w:cs="Times New Roman"/>
          <w:b/>
          <w:bCs/>
          <w:color w:val="auto"/>
          <w:szCs w:val="22"/>
          <w:lang w:val="pt-PT"/>
        </w:rPr>
        <w:t xml:space="preserve">O que é </w:t>
      </w:r>
      <w:r w:rsidR="00D50CFA">
        <w:rPr>
          <w:rFonts w:cs="Times New Roman"/>
          <w:b/>
          <w:bCs/>
          <w:color w:val="auto"/>
          <w:szCs w:val="22"/>
          <w:lang w:val="pt-PT"/>
        </w:rPr>
        <w:t>Fymskina</w:t>
      </w:r>
      <w:r w:rsidR="00030085" w:rsidRPr="00110D6C">
        <w:rPr>
          <w:rFonts w:cs="Times New Roman"/>
          <w:b/>
          <w:bCs/>
          <w:color w:val="auto"/>
          <w:szCs w:val="22"/>
          <w:lang w:val="pt-PT"/>
        </w:rPr>
        <w:t xml:space="preserve"> e para que é utilizado</w:t>
      </w:r>
      <w:bookmarkEnd w:id="140"/>
    </w:p>
    <w:p w14:paraId="32048875" w14:textId="77777777" w:rsidR="008F68FE" w:rsidRPr="00110D6C" w:rsidRDefault="008F68FE" w:rsidP="00A17623">
      <w:pPr>
        <w:widowControl/>
        <w:rPr>
          <w:rFonts w:cs="Times New Roman"/>
          <w:bCs/>
          <w:color w:val="auto"/>
          <w:szCs w:val="22"/>
          <w:lang w:val="pt-PT"/>
        </w:rPr>
      </w:pPr>
    </w:p>
    <w:p w14:paraId="72F3CC97" w14:textId="62CB6466"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O que é </w:t>
      </w:r>
      <w:r w:rsidR="00D50CFA">
        <w:rPr>
          <w:rFonts w:cs="Times New Roman"/>
          <w:b/>
          <w:bCs/>
          <w:color w:val="auto"/>
          <w:szCs w:val="22"/>
          <w:lang w:val="pt-PT"/>
        </w:rPr>
        <w:t>Fymskina</w:t>
      </w:r>
    </w:p>
    <w:p w14:paraId="0DFC9FC4" w14:textId="2FD78954" w:rsidR="0077031F" w:rsidRPr="00110D6C" w:rsidRDefault="00D50CFA" w:rsidP="00A17623">
      <w:pPr>
        <w:widowControl/>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contém a substância ativa “ustecinumab”, um anticorpo monoclonal. Anticorpos monoclonais são proteínas que reconhecem e se ligam especificamente a certas proteínas do corpo.</w:t>
      </w:r>
    </w:p>
    <w:p w14:paraId="2F89CCB0" w14:textId="77777777" w:rsidR="008F68FE" w:rsidRPr="00110D6C" w:rsidRDefault="008F68FE" w:rsidP="00A17623">
      <w:pPr>
        <w:widowControl/>
        <w:rPr>
          <w:rFonts w:cs="Times New Roman"/>
          <w:color w:val="auto"/>
          <w:szCs w:val="22"/>
          <w:lang w:val="pt-PT"/>
        </w:rPr>
      </w:pPr>
    </w:p>
    <w:p w14:paraId="547E5567" w14:textId="7ABC210C" w:rsidR="0077031F" w:rsidRPr="00110D6C" w:rsidRDefault="00D50CFA" w:rsidP="00A17623">
      <w:pPr>
        <w:widowControl/>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pertence a um grupo de medicamentos denominados “imunossupressores”. Estes medicamentos atuam enfraquecendo parte do seu sistema imunitário.</w:t>
      </w:r>
    </w:p>
    <w:p w14:paraId="0D9F259D" w14:textId="77777777" w:rsidR="008F68FE" w:rsidRPr="00110D6C" w:rsidRDefault="008F68FE" w:rsidP="00A17623">
      <w:pPr>
        <w:widowControl/>
        <w:rPr>
          <w:rFonts w:cs="Times New Roman"/>
          <w:bCs/>
          <w:color w:val="auto"/>
          <w:szCs w:val="22"/>
          <w:lang w:val="pt-PT"/>
        </w:rPr>
      </w:pPr>
      <w:bookmarkStart w:id="141" w:name="bookmark231"/>
    </w:p>
    <w:p w14:paraId="2D72BFAB" w14:textId="1E4CB8C8"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Para que é utilizado </w:t>
      </w:r>
      <w:bookmarkEnd w:id="141"/>
      <w:r w:rsidR="00D50CFA">
        <w:rPr>
          <w:rFonts w:cs="Times New Roman"/>
          <w:b/>
          <w:bCs/>
          <w:color w:val="auto"/>
          <w:szCs w:val="22"/>
          <w:lang w:val="pt-PT"/>
        </w:rPr>
        <w:t>Fymskina</w:t>
      </w:r>
    </w:p>
    <w:p w14:paraId="262FCF7A" w14:textId="0DA5F8E0" w:rsidR="0077031F" w:rsidRPr="00110D6C" w:rsidRDefault="00D50CFA" w:rsidP="00A17623">
      <w:pPr>
        <w:widowControl/>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é utilizado para tratar as seguintes doenças inflamatórias:</w:t>
      </w:r>
    </w:p>
    <w:p w14:paraId="13373252"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 xml:space="preserve">Psoríase em placas – em adultos e crianças com idade igual ou superior a </w:t>
      </w:r>
      <w:r w:rsidR="00B910F9" w:rsidRPr="00110D6C">
        <w:rPr>
          <w:rFonts w:cs="Times New Roman"/>
          <w:color w:val="auto"/>
          <w:szCs w:val="22"/>
          <w:lang w:val="pt-PT"/>
        </w:rPr>
        <w:t>6 </w:t>
      </w:r>
      <w:r w:rsidRPr="00110D6C">
        <w:rPr>
          <w:rFonts w:cs="Times New Roman"/>
          <w:color w:val="auto"/>
          <w:szCs w:val="22"/>
          <w:lang w:val="pt-PT"/>
        </w:rPr>
        <w:t>anos</w:t>
      </w:r>
    </w:p>
    <w:p w14:paraId="479233B4"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Artrite psoriática – em adultos</w:t>
      </w:r>
    </w:p>
    <w:p w14:paraId="4ED657E8"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Doença de Crohn moderada a grave – em adultos</w:t>
      </w:r>
    </w:p>
    <w:p w14:paraId="1B3D2197" w14:textId="77777777" w:rsidR="008F68FE" w:rsidRPr="00110D6C" w:rsidRDefault="008F68FE" w:rsidP="00A17623">
      <w:pPr>
        <w:widowControl/>
        <w:rPr>
          <w:rFonts w:cs="Times New Roman"/>
          <w:bCs/>
          <w:color w:val="auto"/>
          <w:szCs w:val="22"/>
          <w:lang w:val="pt-PT"/>
        </w:rPr>
      </w:pPr>
      <w:bookmarkStart w:id="142" w:name="bookmark233"/>
    </w:p>
    <w:p w14:paraId="133E6078"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Psoríase em placas</w:t>
      </w:r>
      <w:bookmarkEnd w:id="142"/>
    </w:p>
    <w:p w14:paraId="5B07A16D" w14:textId="334950DD"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 “psoríase em placas” é uma doença da pele que causa inflamação que afeta a pele e as unhas. </w:t>
      </w:r>
      <w:r w:rsidR="00D50CFA">
        <w:rPr>
          <w:rFonts w:cs="Times New Roman"/>
          <w:color w:val="auto"/>
          <w:szCs w:val="22"/>
          <w:lang w:val="pt-PT"/>
        </w:rPr>
        <w:t>Fymskina</w:t>
      </w:r>
      <w:r w:rsidRPr="00110D6C">
        <w:rPr>
          <w:rFonts w:cs="Times New Roman"/>
          <w:color w:val="auto"/>
          <w:szCs w:val="22"/>
          <w:lang w:val="pt-PT"/>
        </w:rPr>
        <w:t xml:space="preserve"> irá reduzir a inflamação e outros sinais da doença.</w:t>
      </w:r>
    </w:p>
    <w:p w14:paraId="4EC8B787" w14:textId="77777777" w:rsidR="008F68FE" w:rsidRPr="00110D6C" w:rsidRDefault="008F68FE" w:rsidP="00A17623">
      <w:pPr>
        <w:widowControl/>
        <w:rPr>
          <w:rFonts w:cs="Times New Roman"/>
          <w:color w:val="auto"/>
          <w:szCs w:val="22"/>
          <w:lang w:val="pt-PT"/>
        </w:rPr>
      </w:pPr>
    </w:p>
    <w:p w14:paraId="05358339" w14:textId="1EAFFD90" w:rsidR="0077031F" w:rsidRPr="00110D6C" w:rsidRDefault="00D50CFA" w:rsidP="00A17623">
      <w:pPr>
        <w:widowControl/>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é utilizado em doentes adultos com psoríase em placas moderada a grave, que não podem utilizar ciclosporina, metotrexato ou fototerapia ou quando estes tratamentos não funcionam.</w:t>
      </w:r>
    </w:p>
    <w:p w14:paraId="70F7D8A0" w14:textId="77777777" w:rsidR="008F68FE" w:rsidRPr="00110D6C" w:rsidRDefault="008F68FE" w:rsidP="00A17623">
      <w:pPr>
        <w:widowControl/>
        <w:rPr>
          <w:rFonts w:cs="Times New Roman"/>
          <w:color w:val="auto"/>
          <w:szCs w:val="22"/>
          <w:lang w:val="pt-PT"/>
        </w:rPr>
      </w:pPr>
    </w:p>
    <w:p w14:paraId="6F3E77CB" w14:textId="609F3788" w:rsidR="0077031F" w:rsidRPr="00110D6C" w:rsidRDefault="00D50CFA" w:rsidP="00A17623">
      <w:pPr>
        <w:widowControl/>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é utilizado em crianças e adolescentes com idade igual ou superior a </w:t>
      </w:r>
      <w:r w:rsidR="00B910F9" w:rsidRPr="00110D6C">
        <w:rPr>
          <w:rFonts w:cs="Times New Roman"/>
          <w:color w:val="auto"/>
          <w:szCs w:val="22"/>
          <w:lang w:val="pt-PT"/>
        </w:rPr>
        <w:t>6 </w:t>
      </w:r>
      <w:r w:rsidR="00030085" w:rsidRPr="00110D6C">
        <w:rPr>
          <w:rFonts w:cs="Times New Roman"/>
          <w:color w:val="auto"/>
          <w:szCs w:val="22"/>
          <w:lang w:val="pt-PT"/>
        </w:rPr>
        <w:t>anos com psoríase em placas moderada a grave que são incapazes de tolerar a fototerapia ou outras terapêuticas sistémicas ou quando estes tratamentos não resultam.</w:t>
      </w:r>
    </w:p>
    <w:p w14:paraId="4A86A8BF" w14:textId="77777777" w:rsidR="008F68FE" w:rsidRPr="00110D6C" w:rsidRDefault="008F68FE" w:rsidP="00A17623">
      <w:pPr>
        <w:widowControl/>
        <w:rPr>
          <w:rFonts w:cs="Times New Roman"/>
          <w:bCs/>
          <w:color w:val="auto"/>
          <w:szCs w:val="22"/>
          <w:lang w:val="pt-PT"/>
        </w:rPr>
      </w:pPr>
      <w:bookmarkStart w:id="143" w:name="bookmark235"/>
    </w:p>
    <w:p w14:paraId="2B0486EC" w14:textId="77777777" w:rsidR="0077031F" w:rsidRPr="00110D6C" w:rsidRDefault="00030085" w:rsidP="008F68FE">
      <w:pPr>
        <w:keepNext/>
        <w:keepLines/>
        <w:widowControl/>
        <w:rPr>
          <w:rFonts w:cs="Times New Roman"/>
          <w:color w:val="auto"/>
          <w:szCs w:val="22"/>
          <w:lang w:val="pt-PT"/>
        </w:rPr>
      </w:pPr>
      <w:r w:rsidRPr="00110D6C">
        <w:rPr>
          <w:rFonts w:cs="Times New Roman"/>
          <w:b/>
          <w:bCs/>
          <w:color w:val="auto"/>
          <w:szCs w:val="22"/>
          <w:lang w:val="pt-PT"/>
        </w:rPr>
        <w:lastRenderedPageBreak/>
        <w:t>Artrite psoriática</w:t>
      </w:r>
      <w:bookmarkEnd w:id="143"/>
    </w:p>
    <w:p w14:paraId="67B8D5E9" w14:textId="574E37A2"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 artrite psoriática é uma doença inflamatória das articulações, usualmente acompanhada por psoríase. Se tem artrite psoriática ativa, então primeiro irão ser-lhe administrados outros medicamentos. Se não responder de forma adequada a estes medicamentos, </w:t>
      </w:r>
      <w:r w:rsidR="00D50CFA">
        <w:rPr>
          <w:rFonts w:cs="Times New Roman"/>
          <w:color w:val="auto"/>
          <w:szCs w:val="22"/>
          <w:lang w:val="pt-PT"/>
        </w:rPr>
        <w:t>Fymskina</w:t>
      </w:r>
      <w:r w:rsidRPr="00110D6C">
        <w:rPr>
          <w:rFonts w:cs="Times New Roman"/>
          <w:color w:val="auto"/>
          <w:szCs w:val="22"/>
          <w:lang w:val="pt-PT"/>
        </w:rPr>
        <w:t xml:space="preserve"> poderá ser utilizado:</w:t>
      </w:r>
    </w:p>
    <w:p w14:paraId="38F3451B"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Na redução dos sinais e sintomas da sua doença.</w:t>
      </w:r>
    </w:p>
    <w:p w14:paraId="67AEE124"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Para melhorar a função física.</w:t>
      </w:r>
    </w:p>
    <w:p w14:paraId="3B001518"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Para retardar danos nas suas articulações.</w:t>
      </w:r>
    </w:p>
    <w:p w14:paraId="0D360C98" w14:textId="77777777" w:rsidR="008F68FE" w:rsidRPr="00110D6C" w:rsidRDefault="008F68FE" w:rsidP="00A17623">
      <w:pPr>
        <w:widowControl/>
        <w:rPr>
          <w:rFonts w:cs="Times New Roman"/>
          <w:bCs/>
          <w:color w:val="auto"/>
          <w:szCs w:val="22"/>
          <w:lang w:val="pt-PT"/>
        </w:rPr>
      </w:pPr>
      <w:bookmarkStart w:id="144" w:name="bookmark237"/>
    </w:p>
    <w:p w14:paraId="6D8DD2A5"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Doença de Crohn</w:t>
      </w:r>
      <w:bookmarkEnd w:id="144"/>
    </w:p>
    <w:p w14:paraId="74D70351" w14:textId="6EB931CB"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 doença de Crohn é uma doença inflamatória do intestino. No caso de sofrer de doença de Crohn, irá receber primeiro outros medicamentos. Se não tiver uma resposta suficiente ou se for intolerante a esses medicamentos, poderá receber </w:t>
      </w:r>
      <w:r w:rsidR="00D50CFA">
        <w:rPr>
          <w:rFonts w:cs="Times New Roman"/>
          <w:color w:val="auto"/>
          <w:szCs w:val="22"/>
          <w:lang w:val="pt-PT"/>
        </w:rPr>
        <w:t>Fymskina</w:t>
      </w:r>
      <w:r w:rsidRPr="00110D6C">
        <w:rPr>
          <w:rFonts w:cs="Times New Roman"/>
          <w:color w:val="auto"/>
          <w:szCs w:val="22"/>
          <w:lang w:val="pt-PT"/>
        </w:rPr>
        <w:t xml:space="preserve"> para reduzir os sinais e sintomas da sua doença.</w:t>
      </w:r>
    </w:p>
    <w:p w14:paraId="3B099C9C" w14:textId="77777777" w:rsidR="008F68FE" w:rsidRPr="00110D6C" w:rsidRDefault="008F68FE" w:rsidP="002057DA">
      <w:pPr>
        <w:widowControl/>
        <w:rPr>
          <w:rFonts w:cs="Times New Roman"/>
          <w:bCs/>
          <w:color w:val="auto"/>
          <w:szCs w:val="22"/>
          <w:lang w:val="pt-PT"/>
        </w:rPr>
      </w:pPr>
      <w:bookmarkStart w:id="145" w:name="bookmark241"/>
    </w:p>
    <w:p w14:paraId="7AC9D161" w14:textId="77777777" w:rsidR="008F68FE" w:rsidRPr="00110D6C" w:rsidRDefault="008F68FE" w:rsidP="002057DA">
      <w:pPr>
        <w:widowControl/>
        <w:rPr>
          <w:rFonts w:cs="Times New Roman"/>
          <w:bCs/>
          <w:color w:val="auto"/>
          <w:szCs w:val="22"/>
          <w:lang w:val="pt-PT"/>
        </w:rPr>
      </w:pPr>
    </w:p>
    <w:p w14:paraId="2B7265BC" w14:textId="1FCFFDAB"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2.</w:t>
      </w:r>
      <w:r w:rsidRPr="00110D6C">
        <w:rPr>
          <w:rFonts w:cs="Times New Roman"/>
          <w:b/>
          <w:bCs/>
          <w:color w:val="auto"/>
          <w:szCs w:val="22"/>
          <w:lang w:val="pt-PT"/>
        </w:rPr>
        <w:tab/>
      </w:r>
      <w:r w:rsidR="00030085" w:rsidRPr="00110D6C">
        <w:rPr>
          <w:rFonts w:cs="Times New Roman"/>
          <w:b/>
          <w:bCs/>
          <w:color w:val="auto"/>
          <w:szCs w:val="22"/>
          <w:lang w:val="pt-PT"/>
        </w:rPr>
        <w:t xml:space="preserve">O que precisa de saber antes de utilizar </w:t>
      </w:r>
      <w:bookmarkEnd w:id="145"/>
      <w:r w:rsidR="00D50CFA">
        <w:rPr>
          <w:rFonts w:cs="Times New Roman"/>
          <w:b/>
          <w:bCs/>
          <w:color w:val="auto"/>
          <w:szCs w:val="22"/>
          <w:lang w:val="pt-PT"/>
        </w:rPr>
        <w:t>Fymskina</w:t>
      </w:r>
    </w:p>
    <w:p w14:paraId="5EB59B90" w14:textId="77777777" w:rsidR="008F68FE" w:rsidRPr="00110D6C" w:rsidRDefault="008F68FE" w:rsidP="00A17623">
      <w:pPr>
        <w:widowControl/>
        <w:rPr>
          <w:rFonts w:cs="Times New Roman"/>
          <w:bCs/>
          <w:color w:val="auto"/>
          <w:szCs w:val="22"/>
          <w:lang w:val="pt-PT"/>
        </w:rPr>
      </w:pPr>
    </w:p>
    <w:p w14:paraId="781DBAFA" w14:textId="07A758E4"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Não utilize </w:t>
      </w:r>
      <w:r w:rsidR="00D50CFA">
        <w:rPr>
          <w:rFonts w:cs="Times New Roman"/>
          <w:b/>
          <w:bCs/>
          <w:color w:val="auto"/>
          <w:szCs w:val="22"/>
          <w:lang w:val="pt-PT"/>
        </w:rPr>
        <w:t>Fymskina</w:t>
      </w:r>
    </w:p>
    <w:p w14:paraId="279AF698"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b/>
          <w:bCs/>
          <w:color w:val="auto"/>
          <w:szCs w:val="22"/>
          <w:lang w:val="pt-PT"/>
        </w:rPr>
        <w:t xml:space="preserve">Se tem alergia ao ustecinumab </w:t>
      </w:r>
      <w:r w:rsidRPr="00110D6C">
        <w:rPr>
          <w:rFonts w:cs="Times New Roman"/>
          <w:color w:val="auto"/>
          <w:szCs w:val="22"/>
          <w:lang w:val="pt-PT"/>
        </w:rPr>
        <w:t>ou a qualquer outro componente deste medicamento (indicados</w:t>
      </w:r>
      <w:r w:rsidR="008F68FE" w:rsidRPr="00110D6C">
        <w:rPr>
          <w:rFonts w:cs="Times New Roman"/>
          <w:color w:val="auto"/>
          <w:szCs w:val="22"/>
          <w:lang w:val="pt-PT"/>
        </w:rPr>
        <w:t xml:space="preserve"> </w:t>
      </w:r>
      <w:r w:rsidRPr="00110D6C">
        <w:rPr>
          <w:rFonts w:cs="Times New Roman"/>
          <w:color w:val="auto"/>
          <w:szCs w:val="22"/>
          <w:lang w:val="pt-PT"/>
        </w:rPr>
        <w:t>na secção 6).</w:t>
      </w:r>
    </w:p>
    <w:p w14:paraId="7EF2DCBD"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b/>
          <w:bCs/>
          <w:color w:val="auto"/>
          <w:szCs w:val="22"/>
          <w:lang w:val="pt-PT"/>
        </w:rPr>
        <w:t xml:space="preserve">Se tem uma infeção ativa </w:t>
      </w:r>
      <w:r w:rsidRPr="00110D6C">
        <w:rPr>
          <w:rFonts w:cs="Times New Roman"/>
          <w:color w:val="auto"/>
          <w:szCs w:val="22"/>
          <w:lang w:val="pt-PT"/>
        </w:rPr>
        <w:t>que o seu médico pensa ser importante.</w:t>
      </w:r>
    </w:p>
    <w:p w14:paraId="460B2F5A" w14:textId="77777777" w:rsidR="008F68FE" w:rsidRPr="00110D6C" w:rsidRDefault="008F68FE" w:rsidP="00A17623">
      <w:pPr>
        <w:widowControl/>
        <w:rPr>
          <w:rFonts w:cs="Times New Roman"/>
          <w:color w:val="auto"/>
          <w:szCs w:val="22"/>
          <w:lang w:val="pt-PT"/>
        </w:rPr>
      </w:pPr>
    </w:p>
    <w:p w14:paraId="362470BA" w14:textId="293DDFAE"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Se não tem a certeza se alguma das situações acima descritas se aplica a si, fale com o seu médico ou farmacêutico antes de lhe ser administrado </w:t>
      </w:r>
      <w:r w:rsidR="00D50CFA">
        <w:rPr>
          <w:rFonts w:cs="Times New Roman"/>
          <w:color w:val="auto"/>
          <w:szCs w:val="22"/>
          <w:lang w:val="pt-PT"/>
        </w:rPr>
        <w:t>Fymskina</w:t>
      </w:r>
      <w:r w:rsidRPr="00110D6C">
        <w:rPr>
          <w:rFonts w:cs="Times New Roman"/>
          <w:color w:val="auto"/>
          <w:szCs w:val="22"/>
          <w:lang w:val="pt-PT"/>
        </w:rPr>
        <w:t>.</w:t>
      </w:r>
    </w:p>
    <w:p w14:paraId="2F057207" w14:textId="77777777" w:rsidR="008F68FE" w:rsidRPr="00110D6C" w:rsidRDefault="008F68FE" w:rsidP="00A17623">
      <w:pPr>
        <w:widowControl/>
        <w:rPr>
          <w:rFonts w:cs="Times New Roman"/>
          <w:bCs/>
          <w:color w:val="auto"/>
          <w:szCs w:val="22"/>
          <w:lang w:val="pt-PT"/>
        </w:rPr>
      </w:pPr>
      <w:bookmarkStart w:id="146" w:name="bookmark244"/>
    </w:p>
    <w:p w14:paraId="7EF443F1"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Advertências e precauções</w:t>
      </w:r>
      <w:bookmarkEnd w:id="146"/>
    </w:p>
    <w:p w14:paraId="7BDF66BD" w14:textId="2A9BADD1"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Fale com o seu médico ou farmacêutico antes de utilizar </w:t>
      </w:r>
      <w:r w:rsidR="00D50CFA">
        <w:rPr>
          <w:rFonts w:cs="Times New Roman"/>
          <w:color w:val="auto"/>
          <w:szCs w:val="22"/>
          <w:lang w:val="pt-PT"/>
        </w:rPr>
        <w:t>Fymskina</w:t>
      </w:r>
      <w:r w:rsidRPr="00110D6C">
        <w:rPr>
          <w:rFonts w:cs="Times New Roman"/>
          <w:color w:val="auto"/>
          <w:szCs w:val="22"/>
          <w:lang w:val="pt-PT"/>
        </w:rPr>
        <w:t xml:space="preserve">. O seu médico avaliará o seu estado de saúde, antes de cada tratamento. Certifique-se que, antes de cada tratamento, informou o seu médico sobre qualquer doença que tenha. Informe igualmente o seu médico se tem estado, recentemente, perto de alguém que possa ter tuberculose. O seu médico irá examiná-lo e fazer um teste para a tuberculose, antes de utilizar </w:t>
      </w:r>
      <w:r w:rsidR="00D50CFA">
        <w:rPr>
          <w:rFonts w:cs="Times New Roman"/>
          <w:color w:val="auto"/>
          <w:szCs w:val="22"/>
          <w:lang w:val="pt-PT"/>
        </w:rPr>
        <w:t>Fymskina</w:t>
      </w:r>
      <w:r w:rsidRPr="00110D6C">
        <w:rPr>
          <w:rFonts w:cs="Times New Roman"/>
          <w:color w:val="auto"/>
          <w:szCs w:val="22"/>
          <w:lang w:val="pt-PT"/>
        </w:rPr>
        <w:t>. Se o seu médico pensar que está em risco de tuberculose, podem ser-lhe receitados medicamentos para a tratar.</w:t>
      </w:r>
    </w:p>
    <w:p w14:paraId="447559F8" w14:textId="77777777" w:rsidR="008F68FE" w:rsidRPr="00110D6C" w:rsidRDefault="008F68FE" w:rsidP="00A17623">
      <w:pPr>
        <w:widowControl/>
        <w:rPr>
          <w:rFonts w:cs="Times New Roman"/>
          <w:bCs/>
          <w:color w:val="auto"/>
          <w:szCs w:val="22"/>
          <w:lang w:val="pt-PT"/>
        </w:rPr>
      </w:pPr>
      <w:bookmarkStart w:id="147" w:name="bookmark246"/>
    </w:p>
    <w:p w14:paraId="65095BEE"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Atenção aos efeitos indesejáveis graves</w:t>
      </w:r>
      <w:bookmarkEnd w:id="147"/>
    </w:p>
    <w:p w14:paraId="33189553" w14:textId="7CB9F9D3" w:rsidR="0077031F" w:rsidRPr="00110D6C" w:rsidRDefault="00D50CFA" w:rsidP="00A17623">
      <w:pPr>
        <w:widowControl/>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pode causar efeitos indesejáveis graves, incluindo reações alérgicas e infeções. Deve ter atenção a certos sinais da doença enquanto estiver a tomar </w:t>
      </w:r>
      <w:r>
        <w:rPr>
          <w:rFonts w:cs="Times New Roman"/>
          <w:color w:val="auto"/>
          <w:szCs w:val="22"/>
          <w:lang w:val="pt-PT"/>
        </w:rPr>
        <w:t>Fymskina</w:t>
      </w:r>
      <w:r w:rsidR="00030085" w:rsidRPr="00110D6C">
        <w:rPr>
          <w:rFonts w:cs="Times New Roman"/>
          <w:color w:val="auto"/>
          <w:szCs w:val="22"/>
          <w:lang w:val="pt-PT"/>
        </w:rPr>
        <w:t xml:space="preserve">. Ver “Efeitos indesejáveis graves” na secção </w:t>
      </w:r>
      <w:r w:rsidR="00B910F9" w:rsidRPr="00110D6C">
        <w:rPr>
          <w:rFonts w:cs="Times New Roman"/>
          <w:color w:val="auto"/>
          <w:szCs w:val="22"/>
          <w:lang w:val="pt-PT"/>
        </w:rPr>
        <w:t>4 </w:t>
      </w:r>
      <w:r w:rsidR="00030085" w:rsidRPr="00110D6C">
        <w:rPr>
          <w:rFonts w:cs="Times New Roman"/>
          <w:color w:val="auto"/>
          <w:szCs w:val="22"/>
          <w:lang w:val="pt-PT"/>
        </w:rPr>
        <w:t>para uma lista completa de todos os efeitos indesejáveis.</w:t>
      </w:r>
    </w:p>
    <w:p w14:paraId="51255F27" w14:textId="77777777" w:rsidR="008F68FE" w:rsidRPr="00110D6C" w:rsidRDefault="008F68FE" w:rsidP="00A17623">
      <w:pPr>
        <w:widowControl/>
        <w:rPr>
          <w:rFonts w:cs="Times New Roman"/>
          <w:bCs/>
          <w:color w:val="auto"/>
          <w:szCs w:val="22"/>
          <w:lang w:val="pt-PT"/>
        </w:rPr>
      </w:pPr>
      <w:bookmarkStart w:id="148" w:name="bookmark248"/>
    </w:p>
    <w:p w14:paraId="21C03862" w14:textId="05B1FC7B"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Antes de utilizar </w:t>
      </w:r>
      <w:r w:rsidR="00D50CFA">
        <w:rPr>
          <w:rFonts w:cs="Times New Roman"/>
          <w:b/>
          <w:bCs/>
          <w:color w:val="auto"/>
          <w:szCs w:val="22"/>
          <w:lang w:val="pt-PT"/>
        </w:rPr>
        <w:t>Fymskina</w:t>
      </w:r>
      <w:r w:rsidRPr="00110D6C">
        <w:rPr>
          <w:rFonts w:cs="Times New Roman"/>
          <w:b/>
          <w:bCs/>
          <w:color w:val="auto"/>
          <w:szCs w:val="22"/>
          <w:lang w:val="pt-PT"/>
        </w:rPr>
        <w:t xml:space="preserve"> informe o seu médico:</w:t>
      </w:r>
      <w:bookmarkEnd w:id="148"/>
    </w:p>
    <w:p w14:paraId="663FB994" w14:textId="7482653C"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b/>
          <w:bCs/>
          <w:color w:val="auto"/>
          <w:szCs w:val="22"/>
          <w:lang w:val="pt-PT"/>
        </w:rPr>
        <w:t xml:space="preserve">Se alguma vez teve uma reação alérgica </w:t>
      </w:r>
      <w:r w:rsidR="000E568D">
        <w:rPr>
          <w:rFonts w:cs="Times New Roman"/>
          <w:b/>
          <w:bCs/>
          <w:color w:val="auto"/>
          <w:szCs w:val="22"/>
          <w:lang w:val="pt-PT"/>
        </w:rPr>
        <w:t>a</w:t>
      </w:r>
      <w:r w:rsidR="00BB3454">
        <w:rPr>
          <w:rFonts w:cs="Times New Roman"/>
          <w:b/>
          <w:bCs/>
          <w:color w:val="auto"/>
          <w:szCs w:val="22"/>
          <w:lang w:val="pt-PT"/>
        </w:rPr>
        <w:t>o</w:t>
      </w:r>
      <w:r w:rsidR="00BB3454" w:rsidRPr="00110D6C">
        <w:rPr>
          <w:rFonts w:cs="Times New Roman"/>
          <w:b/>
          <w:bCs/>
          <w:color w:val="auto"/>
          <w:szCs w:val="22"/>
          <w:lang w:val="pt-PT"/>
        </w:rPr>
        <w:t xml:space="preserve"> </w:t>
      </w:r>
      <w:r w:rsidR="00BB3454">
        <w:rPr>
          <w:rFonts w:cs="Times New Roman"/>
          <w:b/>
          <w:bCs/>
          <w:color w:val="auto"/>
          <w:szCs w:val="22"/>
          <w:lang w:val="pt-PT"/>
        </w:rPr>
        <w:t>ustecinumab</w:t>
      </w:r>
      <w:r w:rsidRPr="00110D6C">
        <w:rPr>
          <w:rFonts w:cs="Times New Roman"/>
          <w:color w:val="auto"/>
          <w:szCs w:val="22"/>
          <w:lang w:val="pt-PT"/>
        </w:rPr>
        <w:t>. Fale com o seu médico se não tem a</w:t>
      </w:r>
      <w:r w:rsidR="008F68FE" w:rsidRPr="00110D6C">
        <w:rPr>
          <w:rFonts w:cs="Times New Roman"/>
          <w:color w:val="auto"/>
          <w:szCs w:val="22"/>
          <w:lang w:val="pt-PT"/>
        </w:rPr>
        <w:t xml:space="preserve"> </w:t>
      </w:r>
      <w:r w:rsidRPr="00110D6C">
        <w:rPr>
          <w:rFonts w:cs="Times New Roman"/>
          <w:color w:val="auto"/>
          <w:szCs w:val="22"/>
          <w:lang w:val="pt-PT"/>
        </w:rPr>
        <w:t>certeza.</w:t>
      </w:r>
    </w:p>
    <w:p w14:paraId="35BF4286" w14:textId="4972B3B8"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b/>
          <w:bCs/>
          <w:color w:val="auto"/>
          <w:szCs w:val="22"/>
          <w:lang w:val="pt-PT"/>
        </w:rPr>
        <w:t xml:space="preserve">Se alguma vez teve qualquer tipo de cancro – </w:t>
      </w:r>
      <w:r w:rsidRPr="00110D6C">
        <w:rPr>
          <w:rFonts w:cs="Times New Roman"/>
          <w:color w:val="auto"/>
          <w:szCs w:val="22"/>
          <w:lang w:val="pt-PT"/>
        </w:rPr>
        <w:t xml:space="preserve">isto porque imunossupressores como </w:t>
      </w:r>
      <w:r w:rsidR="00D50CFA">
        <w:rPr>
          <w:rFonts w:cs="Times New Roman"/>
          <w:color w:val="auto"/>
          <w:szCs w:val="22"/>
          <w:lang w:val="pt-PT"/>
        </w:rPr>
        <w:t>Fymskina</w:t>
      </w:r>
      <w:r w:rsidR="008F68FE" w:rsidRPr="00110D6C">
        <w:rPr>
          <w:rFonts w:cs="Times New Roman"/>
          <w:color w:val="auto"/>
          <w:szCs w:val="22"/>
          <w:lang w:val="pt-PT"/>
        </w:rPr>
        <w:t xml:space="preserve"> </w:t>
      </w:r>
      <w:r w:rsidRPr="00110D6C">
        <w:rPr>
          <w:rFonts w:cs="Times New Roman"/>
          <w:color w:val="auto"/>
          <w:szCs w:val="22"/>
          <w:lang w:val="pt-PT"/>
        </w:rPr>
        <w:t>enfraquecem o sistema imunitário. Esta situação pode aumentar o risco de cancro.</w:t>
      </w:r>
    </w:p>
    <w:p w14:paraId="0567EDC5"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b/>
          <w:bCs/>
          <w:color w:val="auto"/>
          <w:szCs w:val="22"/>
          <w:lang w:val="pt-PT"/>
        </w:rPr>
        <w:t>Se alguma vez foi tratado para a psoríase com outros medicamentos biológicos (um</w:t>
      </w:r>
      <w:r w:rsidR="008F68FE" w:rsidRPr="00110D6C">
        <w:rPr>
          <w:rFonts w:cs="Times New Roman"/>
          <w:b/>
          <w:bCs/>
          <w:color w:val="auto"/>
          <w:szCs w:val="22"/>
          <w:lang w:val="pt-PT"/>
        </w:rPr>
        <w:t xml:space="preserve"> </w:t>
      </w:r>
      <w:r w:rsidRPr="00110D6C">
        <w:rPr>
          <w:rFonts w:cs="Times New Roman"/>
          <w:b/>
          <w:bCs/>
          <w:color w:val="auto"/>
          <w:szCs w:val="22"/>
          <w:lang w:val="pt-PT"/>
        </w:rPr>
        <w:t xml:space="preserve">medicamento produzido a partir de uma origem biológica e, geralmente, administrado por injeção) – </w:t>
      </w:r>
      <w:r w:rsidRPr="00110D6C">
        <w:rPr>
          <w:rFonts w:cs="Times New Roman"/>
          <w:color w:val="auto"/>
          <w:szCs w:val="22"/>
          <w:lang w:val="pt-PT"/>
        </w:rPr>
        <w:t>o risco de cancro pode ser maior.</w:t>
      </w:r>
    </w:p>
    <w:p w14:paraId="7F193EEF"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b/>
          <w:bCs/>
          <w:color w:val="auto"/>
          <w:szCs w:val="22"/>
          <w:lang w:val="pt-PT"/>
        </w:rPr>
        <w:t>Se tem ou teve recentemente uma infeção</w:t>
      </w:r>
      <w:r w:rsidRPr="00110D6C">
        <w:rPr>
          <w:rFonts w:cs="Times New Roman"/>
          <w:color w:val="auto"/>
          <w:szCs w:val="22"/>
          <w:lang w:val="pt-PT"/>
        </w:rPr>
        <w:t>.</w:t>
      </w:r>
    </w:p>
    <w:p w14:paraId="069042A6"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b/>
          <w:bCs/>
          <w:color w:val="auto"/>
          <w:szCs w:val="22"/>
          <w:lang w:val="pt-PT"/>
        </w:rPr>
        <w:t xml:space="preserve">Se tem lesões novas ou alteradas </w:t>
      </w:r>
      <w:r w:rsidRPr="00110D6C">
        <w:rPr>
          <w:rFonts w:cs="Times New Roman"/>
          <w:color w:val="auto"/>
          <w:szCs w:val="22"/>
          <w:lang w:val="pt-PT"/>
        </w:rPr>
        <w:t>nas áreas da pele com psoríase ou em pele normal.</w:t>
      </w:r>
    </w:p>
    <w:p w14:paraId="67599C77" w14:textId="6BD6E538"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b/>
          <w:bCs/>
          <w:color w:val="auto"/>
          <w:szCs w:val="22"/>
          <w:lang w:val="pt-PT"/>
        </w:rPr>
        <w:t xml:space="preserve">Se alguma vez teve uma reação alérgica à injeção de </w:t>
      </w:r>
      <w:r w:rsidR="00D50CFA">
        <w:rPr>
          <w:rFonts w:cs="Times New Roman"/>
          <w:b/>
          <w:bCs/>
          <w:color w:val="auto"/>
          <w:szCs w:val="22"/>
          <w:lang w:val="pt-PT"/>
        </w:rPr>
        <w:t>Fymskina</w:t>
      </w:r>
      <w:r w:rsidR="00D4002A">
        <w:rPr>
          <w:rFonts w:cs="Times New Roman"/>
          <w:b/>
          <w:bCs/>
          <w:color w:val="auto"/>
          <w:szCs w:val="22"/>
          <w:lang w:val="pt-PT"/>
        </w:rPr>
        <w:t xml:space="preserve">. </w:t>
      </w:r>
      <w:r w:rsidRPr="00110D6C">
        <w:rPr>
          <w:rFonts w:cs="Times New Roman"/>
          <w:color w:val="auto"/>
          <w:szCs w:val="22"/>
          <w:lang w:val="pt-PT"/>
        </w:rPr>
        <w:t>Ver “Atenção aos efeitos indesejáveis graves” na secção</w:t>
      </w:r>
      <w:r w:rsidR="0074772A">
        <w:rPr>
          <w:rFonts w:cs="Times New Roman"/>
          <w:color w:val="auto"/>
          <w:szCs w:val="22"/>
          <w:lang w:val="pt-PT"/>
        </w:rPr>
        <w:t> </w:t>
      </w:r>
      <w:r w:rsidR="00B910F9" w:rsidRPr="00110D6C">
        <w:rPr>
          <w:rFonts w:cs="Times New Roman"/>
          <w:color w:val="auto"/>
          <w:szCs w:val="22"/>
          <w:lang w:val="pt-PT"/>
        </w:rPr>
        <w:t>4 </w:t>
      </w:r>
      <w:r w:rsidRPr="00110D6C">
        <w:rPr>
          <w:rFonts w:cs="Times New Roman"/>
          <w:color w:val="auto"/>
          <w:szCs w:val="22"/>
          <w:lang w:val="pt-PT"/>
        </w:rPr>
        <w:t>para os sinais de uma reação alérgica grave.</w:t>
      </w:r>
    </w:p>
    <w:p w14:paraId="73D469FA" w14:textId="2E24922D" w:rsidR="0077031F" w:rsidRPr="00110D6C" w:rsidRDefault="00030085" w:rsidP="00D74B6E">
      <w:pPr>
        <w:pStyle w:val="Listenabsatz"/>
        <w:widowControl/>
        <w:numPr>
          <w:ilvl w:val="0"/>
          <w:numId w:val="7"/>
        </w:numPr>
        <w:ind w:left="567" w:hanging="567"/>
        <w:rPr>
          <w:rFonts w:cs="Times New Roman"/>
          <w:color w:val="auto"/>
          <w:szCs w:val="22"/>
          <w:lang w:val="pt-PT"/>
        </w:rPr>
      </w:pPr>
      <w:bookmarkStart w:id="149" w:name="bookmark251"/>
      <w:r w:rsidRPr="00110D6C">
        <w:rPr>
          <w:rFonts w:cs="Times New Roman"/>
          <w:b/>
          <w:bCs/>
          <w:color w:val="auto"/>
          <w:szCs w:val="22"/>
          <w:lang w:val="pt-PT"/>
        </w:rPr>
        <w:t xml:space="preserve">Se está a utilizar outro tratamento para a psoríase e/ou artrite psoriática – </w:t>
      </w:r>
      <w:r w:rsidRPr="00110D6C">
        <w:rPr>
          <w:rFonts w:cs="Times New Roman"/>
          <w:color w:val="auto"/>
          <w:szCs w:val="22"/>
          <w:lang w:val="pt-PT"/>
        </w:rPr>
        <w:t>tal como outro</w:t>
      </w:r>
      <w:bookmarkEnd w:id="149"/>
      <w:r w:rsidR="008F68FE" w:rsidRPr="00110D6C">
        <w:rPr>
          <w:rFonts w:cs="Times New Roman"/>
          <w:color w:val="auto"/>
          <w:szCs w:val="22"/>
          <w:lang w:val="pt-PT"/>
        </w:rPr>
        <w:t xml:space="preserve"> </w:t>
      </w:r>
      <w:r w:rsidRPr="00110D6C">
        <w:rPr>
          <w:rFonts w:cs="Times New Roman"/>
          <w:color w:val="auto"/>
          <w:szCs w:val="22"/>
          <w:lang w:val="pt-PT"/>
        </w:rPr>
        <w:t xml:space="preserve">imunossupressor ou a fototerapia (quando o seu corpo é tratado com uma luz ultravioleta (UV) específica). Estes tratamentos podem também enfraquecer o sistema imunitário. O uso destes tratamentos em conjunto com </w:t>
      </w:r>
      <w:r w:rsidR="00D50CFA">
        <w:rPr>
          <w:rFonts w:cs="Times New Roman"/>
          <w:color w:val="auto"/>
          <w:szCs w:val="22"/>
          <w:lang w:val="pt-PT"/>
        </w:rPr>
        <w:t>Fymskina</w:t>
      </w:r>
      <w:r w:rsidRPr="00110D6C">
        <w:rPr>
          <w:rFonts w:cs="Times New Roman"/>
          <w:color w:val="auto"/>
          <w:szCs w:val="22"/>
          <w:lang w:val="pt-PT"/>
        </w:rPr>
        <w:t xml:space="preserve"> não foi estudado. Contudo, é possível que possa aumentar o risco de doenças relacionadas com um sistema imunitário enfraquecido.</w:t>
      </w:r>
    </w:p>
    <w:p w14:paraId="36F2997A" w14:textId="4C089380"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b/>
          <w:bCs/>
          <w:color w:val="auto"/>
          <w:szCs w:val="22"/>
          <w:lang w:val="pt-PT"/>
        </w:rPr>
        <w:t xml:space="preserve">Se está a utilizar ou já utilizou injeções para tratar alergias – </w:t>
      </w:r>
      <w:r w:rsidRPr="00110D6C">
        <w:rPr>
          <w:rFonts w:cs="Times New Roman"/>
          <w:color w:val="auto"/>
          <w:szCs w:val="22"/>
          <w:lang w:val="pt-PT"/>
        </w:rPr>
        <w:t xml:space="preserve">não se sabe se </w:t>
      </w:r>
      <w:r w:rsidR="00D50CFA">
        <w:rPr>
          <w:rFonts w:cs="Times New Roman"/>
          <w:color w:val="auto"/>
          <w:szCs w:val="22"/>
          <w:lang w:val="pt-PT"/>
        </w:rPr>
        <w:t>Fymskina</w:t>
      </w:r>
      <w:r w:rsidRPr="00110D6C">
        <w:rPr>
          <w:rFonts w:cs="Times New Roman"/>
          <w:color w:val="auto"/>
          <w:szCs w:val="22"/>
          <w:lang w:val="pt-PT"/>
        </w:rPr>
        <w:t xml:space="preserve"> pode</w:t>
      </w:r>
      <w:r w:rsidR="008F68FE" w:rsidRPr="00110D6C">
        <w:rPr>
          <w:rFonts w:cs="Times New Roman"/>
          <w:color w:val="auto"/>
          <w:szCs w:val="22"/>
          <w:lang w:val="pt-PT"/>
        </w:rPr>
        <w:t xml:space="preserve"> </w:t>
      </w:r>
      <w:r w:rsidRPr="00110D6C">
        <w:rPr>
          <w:rFonts w:cs="Times New Roman"/>
          <w:color w:val="auto"/>
          <w:szCs w:val="22"/>
          <w:lang w:val="pt-PT"/>
        </w:rPr>
        <w:t>afetar estes tratamentos.</w:t>
      </w:r>
    </w:p>
    <w:p w14:paraId="13F6A854" w14:textId="77777777" w:rsidR="008F68FE"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b/>
          <w:bCs/>
          <w:color w:val="auto"/>
          <w:szCs w:val="22"/>
          <w:lang w:val="pt-PT"/>
        </w:rPr>
        <w:lastRenderedPageBreak/>
        <w:t>Se tiver 6</w:t>
      </w:r>
      <w:r w:rsidR="00B910F9" w:rsidRPr="00110D6C">
        <w:rPr>
          <w:rFonts w:cs="Times New Roman"/>
          <w:b/>
          <w:bCs/>
          <w:color w:val="auto"/>
          <w:szCs w:val="22"/>
          <w:lang w:val="pt-PT"/>
        </w:rPr>
        <w:t>5 </w:t>
      </w:r>
      <w:r w:rsidRPr="00110D6C">
        <w:rPr>
          <w:rFonts w:cs="Times New Roman"/>
          <w:b/>
          <w:bCs/>
          <w:color w:val="auto"/>
          <w:szCs w:val="22"/>
          <w:lang w:val="pt-PT"/>
        </w:rPr>
        <w:t xml:space="preserve">anos de idade ou mais </w:t>
      </w:r>
      <w:r w:rsidRPr="00110D6C">
        <w:rPr>
          <w:rFonts w:cs="Times New Roman"/>
          <w:color w:val="auto"/>
          <w:szCs w:val="22"/>
          <w:lang w:val="pt-PT"/>
        </w:rPr>
        <w:t>– pode estar mais suscetível a ter infeções.</w:t>
      </w:r>
    </w:p>
    <w:p w14:paraId="78A44B2B" w14:textId="77777777" w:rsidR="008F68FE" w:rsidRPr="00110D6C" w:rsidRDefault="008F68FE" w:rsidP="008F68FE">
      <w:pPr>
        <w:widowControl/>
        <w:rPr>
          <w:rFonts w:cs="Times New Roman"/>
          <w:color w:val="auto"/>
          <w:szCs w:val="22"/>
          <w:lang w:val="pt-PT"/>
        </w:rPr>
      </w:pPr>
    </w:p>
    <w:p w14:paraId="51E4BAB7" w14:textId="000F7676" w:rsidR="0077031F" w:rsidRPr="00110D6C" w:rsidRDefault="00030085" w:rsidP="008F68FE">
      <w:pPr>
        <w:widowControl/>
        <w:rPr>
          <w:rFonts w:cs="Times New Roman"/>
          <w:color w:val="auto"/>
          <w:szCs w:val="22"/>
          <w:lang w:val="pt-PT"/>
        </w:rPr>
      </w:pPr>
      <w:r w:rsidRPr="00110D6C">
        <w:rPr>
          <w:rFonts w:cs="Times New Roman"/>
          <w:color w:val="auto"/>
          <w:szCs w:val="22"/>
          <w:lang w:val="pt-PT"/>
        </w:rPr>
        <w:t xml:space="preserve">Se não tem a certeza se algum dos pontos anteriores se aplica ao seu caso, fale com o seu médico ou farmacêutico antes de utilizar </w:t>
      </w:r>
      <w:r w:rsidR="00D50CFA">
        <w:rPr>
          <w:rFonts w:cs="Times New Roman"/>
          <w:color w:val="auto"/>
          <w:szCs w:val="22"/>
          <w:lang w:val="pt-PT"/>
        </w:rPr>
        <w:t>Fymskina</w:t>
      </w:r>
      <w:r w:rsidRPr="00110D6C">
        <w:rPr>
          <w:rFonts w:cs="Times New Roman"/>
          <w:color w:val="auto"/>
          <w:szCs w:val="22"/>
          <w:lang w:val="pt-PT"/>
        </w:rPr>
        <w:t>.</w:t>
      </w:r>
    </w:p>
    <w:p w14:paraId="4EDBCF54" w14:textId="77777777" w:rsidR="008F68FE" w:rsidRPr="00110D6C" w:rsidRDefault="008F68FE" w:rsidP="00A17623">
      <w:pPr>
        <w:widowControl/>
        <w:rPr>
          <w:rFonts w:cs="Times New Roman"/>
          <w:color w:val="auto"/>
          <w:szCs w:val="22"/>
          <w:lang w:val="pt-PT"/>
        </w:rPr>
      </w:pPr>
    </w:p>
    <w:p w14:paraId="61ADA2FA"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Alguns doentes apresentaram reações do tipo lúpus, incluindo lúpus cutâneo ou síndrome do tipo lúpus, durante o tratamento com ustecinumab. Fale com o seu médico imediatamente se apresentar uma erupção cutânea avermelhada, saliente e descamativa, por vezes com um rebordo mais escuro, em áreas da pele que estão expostas ao sol, ou se tiver dores articulares.</w:t>
      </w:r>
    </w:p>
    <w:p w14:paraId="5D524C60" w14:textId="77777777" w:rsidR="008F68FE" w:rsidRPr="00110D6C" w:rsidRDefault="008F68FE" w:rsidP="00A17623">
      <w:pPr>
        <w:widowControl/>
        <w:rPr>
          <w:rFonts w:cs="Times New Roman"/>
          <w:bCs/>
          <w:color w:val="auto"/>
          <w:szCs w:val="22"/>
          <w:lang w:val="pt-PT"/>
        </w:rPr>
      </w:pPr>
      <w:bookmarkStart w:id="150" w:name="bookmark253"/>
    </w:p>
    <w:p w14:paraId="3948ECDF"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Ataque cardíaco e acidente vascular cerebral (AVC)</w:t>
      </w:r>
      <w:bookmarkEnd w:id="150"/>
    </w:p>
    <w:p w14:paraId="3DB3F35D" w14:textId="6C4041FD"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Foram observados casos de ataque cardíaco e AVC num estudo em doentes com psoríase tratados com </w:t>
      </w:r>
      <w:r w:rsidR="00BB3454" w:rsidRPr="00110D6C">
        <w:rPr>
          <w:rFonts w:cs="Times New Roman"/>
          <w:color w:val="auto"/>
          <w:szCs w:val="22"/>
          <w:lang w:val="pt-PT"/>
        </w:rPr>
        <w:t>ustecinumab</w:t>
      </w:r>
      <w:r w:rsidRPr="00110D6C">
        <w:rPr>
          <w:rFonts w:cs="Times New Roman"/>
          <w:color w:val="auto"/>
          <w:szCs w:val="22"/>
          <w:lang w:val="pt-PT"/>
        </w:rPr>
        <w:t>. O seu médico irá verificar regularmente os seus fatores de risco quanto a doença cardíaca e AVC, para garantir que são tratados adequadamente. Procure assistência médica imediatamente se desenvolver dores no peito, fraqueza ou sensação anormal num dos lados do corpo, face descaída ou anomalias visuais ou da fala.</w:t>
      </w:r>
    </w:p>
    <w:p w14:paraId="3B8C1425" w14:textId="77777777" w:rsidR="008F68FE" w:rsidRPr="00110D6C" w:rsidRDefault="008F68FE" w:rsidP="00A17623">
      <w:pPr>
        <w:widowControl/>
        <w:rPr>
          <w:rFonts w:cs="Times New Roman"/>
          <w:bCs/>
          <w:color w:val="auto"/>
          <w:szCs w:val="22"/>
          <w:lang w:val="pt-PT"/>
        </w:rPr>
      </w:pPr>
      <w:bookmarkStart w:id="151" w:name="bookmark255"/>
    </w:p>
    <w:p w14:paraId="07EDB5B9"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Crianças e adolescentes</w:t>
      </w:r>
      <w:bookmarkEnd w:id="151"/>
    </w:p>
    <w:p w14:paraId="45612B5C" w14:textId="66242FDB" w:rsidR="0077031F" w:rsidRPr="00110D6C" w:rsidRDefault="00D50CFA" w:rsidP="00A17623">
      <w:pPr>
        <w:widowControl/>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não é recomendado para utilização em crianças com psoríase com idade inferior a </w:t>
      </w:r>
      <w:r w:rsidR="00B910F9" w:rsidRPr="00110D6C">
        <w:rPr>
          <w:rFonts w:cs="Times New Roman"/>
          <w:color w:val="auto"/>
          <w:szCs w:val="22"/>
          <w:lang w:val="pt-PT"/>
        </w:rPr>
        <w:t>6 </w:t>
      </w:r>
      <w:r w:rsidR="00030085" w:rsidRPr="00110D6C">
        <w:rPr>
          <w:rFonts w:cs="Times New Roman"/>
          <w:color w:val="auto"/>
          <w:szCs w:val="22"/>
          <w:lang w:val="pt-PT"/>
        </w:rPr>
        <w:t>anos, ou para utilização em crianças com idade inferior a 1</w:t>
      </w:r>
      <w:r w:rsidR="00B910F9" w:rsidRPr="00110D6C">
        <w:rPr>
          <w:rFonts w:cs="Times New Roman"/>
          <w:color w:val="auto"/>
          <w:szCs w:val="22"/>
          <w:lang w:val="pt-PT"/>
        </w:rPr>
        <w:t>8 </w:t>
      </w:r>
      <w:r w:rsidR="00030085" w:rsidRPr="00110D6C">
        <w:rPr>
          <w:rFonts w:cs="Times New Roman"/>
          <w:color w:val="auto"/>
          <w:szCs w:val="22"/>
          <w:lang w:val="pt-PT"/>
        </w:rPr>
        <w:t>anos com artrite psoriática</w:t>
      </w:r>
      <w:r w:rsidR="004A7F8C">
        <w:rPr>
          <w:rFonts w:cs="Times New Roman"/>
          <w:color w:val="auto"/>
          <w:szCs w:val="22"/>
          <w:lang w:val="pt-PT"/>
        </w:rPr>
        <w:t xml:space="preserve"> </w:t>
      </w:r>
      <w:r w:rsidR="00A26B23">
        <w:rPr>
          <w:rFonts w:cs="Times New Roman"/>
          <w:color w:val="auto"/>
          <w:szCs w:val="22"/>
          <w:lang w:val="pt-PT"/>
        </w:rPr>
        <w:t>ou</w:t>
      </w:r>
      <w:r w:rsidR="00030085" w:rsidRPr="00110D6C">
        <w:rPr>
          <w:rFonts w:cs="Times New Roman"/>
          <w:color w:val="auto"/>
          <w:szCs w:val="22"/>
          <w:lang w:val="pt-PT"/>
        </w:rPr>
        <w:t xml:space="preserve"> doença de Crohn, porque não foi estudado nesse grupo etário.</w:t>
      </w:r>
    </w:p>
    <w:p w14:paraId="3BC94841" w14:textId="77777777" w:rsidR="008F68FE" w:rsidRPr="00110D6C" w:rsidRDefault="008F68FE" w:rsidP="00A17623">
      <w:pPr>
        <w:widowControl/>
        <w:rPr>
          <w:rFonts w:cs="Times New Roman"/>
          <w:bCs/>
          <w:color w:val="auto"/>
          <w:szCs w:val="22"/>
          <w:lang w:val="pt-PT"/>
        </w:rPr>
      </w:pPr>
      <w:bookmarkStart w:id="152" w:name="bookmark257"/>
    </w:p>
    <w:p w14:paraId="33E5CBAB" w14:textId="777D3159"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Outros medicamentos, vacinas e </w:t>
      </w:r>
      <w:bookmarkEnd w:id="152"/>
      <w:r w:rsidR="00D50CFA">
        <w:rPr>
          <w:rFonts w:cs="Times New Roman"/>
          <w:b/>
          <w:bCs/>
          <w:color w:val="auto"/>
          <w:szCs w:val="22"/>
          <w:lang w:val="pt-PT"/>
        </w:rPr>
        <w:t>Fymskina</w:t>
      </w:r>
    </w:p>
    <w:p w14:paraId="11C321BC"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Informe o seu médico ou farmacêutico:</w:t>
      </w:r>
    </w:p>
    <w:p w14:paraId="05F1EF22"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Se estiver a tomar, tiver tomado recentemente ou vier a tomar outros medicamentos.</w:t>
      </w:r>
    </w:p>
    <w:p w14:paraId="2D6FA9EB" w14:textId="59D6B74A"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Se foi recentemente ou vai ser vacinado. Alguns tipos de vacinas (vacinas vivas) não devem ser</w:t>
      </w:r>
      <w:r w:rsidR="008F68FE" w:rsidRPr="00110D6C">
        <w:rPr>
          <w:rFonts w:cs="Times New Roman"/>
          <w:color w:val="auto"/>
          <w:szCs w:val="22"/>
          <w:lang w:val="pt-PT"/>
        </w:rPr>
        <w:t xml:space="preserve"> </w:t>
      </w:r>
      <w:r w:rsidRPr="00110D6C">
        <w:rPr>
          <w:rFonts w:cs="Times New Roman"/>
          <w:color w:val="auto"/>
          <w:szCs w:val="22"/>
          <w:lang w:val="pt-PT"/>
        </w:rPr>
        <w:t xml:space="preserve">administradas enquanto estiver em tratamento com </w:t>
      </w:r>
      <w:r w:rsidR="00D50CFA">
        <w:rPr>
          <w:rFonts w:cs="Times New Roman"/>
          <w:color w:val="auto"/>
          <w:szCs w:val="22"/>
          <w:lang w:val="pt-PT"/>
        </w:rPr>
        <w:t>Fymskina</w:t>
      </w:r>
      <w:r w:rsidRPr="00110D6C">
        <w:rPr>
          <w:rFonts w:cs="Times New Roman"/>
          <w:color w:val="auto"/>
          <w:szCs w:val="22"/>
          <w:lang w:val="pt-PT"/>
        </w:rPr>
        <w:t>.</w:t>
      </w:r>
    </w:p>
    <w:p w14:paraId="2FD6698C" w14:textId="154CD601"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 xml:space="preserve">Se tiver recebido </w:t>
      </w:r>
      <w:r w:rsidR="00D50CFA">
        <w:rPr>
          <w:rFonts w:cs="Times New Roman"/>
          <w:color w:val="auto"/>
          <w:szCs w:val="22"/>
          <w:lang w:val="pt-PT"/>
        </w:rPr>
        <w:t>Fymskina</w:t>
      </w:r>
      <w:r w:rsidRPr="00110D6C">
        <w:rPr>
          <w:rFonts w:cs="Times New Roman"/>
          <w:color w:val="auto"/>
          <w:szCs w:val="22"/>
          <w:lang w:val="pt-PT"/>
        </w:rPr>
        <w:t xml:space="preserve"> durante a gravidez, informe o médico do seu bebé sobre o seu</w:t>
      </w:r>
      <w:r w:rsidR="00E03ECE" w:rsidRPr="00110D6C">
        <w:rPr>
          <w:rFonts w:cs="Times New Roman"/>
          <w:color w:val="auto"/>
          <w:szCs w:val="22"/>
          <w:lang w:val="pt-PT"/>
        </w:rPr>
        <w:t xml:space="preserve"> </w:t>
      </w:r>
      <w:r w:rsidRPr="00110D6C">
        <w:rPr>
          <w:rFonts w:cs="Times New Roman"/>
          <w:color w:val="auto"/>
          <w:szCs w:val="22"/>
          <w:lang w:val="pt-PT"/>
        </w:rPr>
        <w:t xml:space="preserve">tratamento com </w:t>
      </w:r>
      <w:r w:rsidR="00D50CFA">
        <w:rPr>
          <w:rFonts w:cs="Times New Roman"/>
          <w:color w:val="auto"/>
          <w:szCs w:val="22"/>
          <w:lang w:val="pt-PT"/>
        </w:rPr>
        <w:t>Fymskina</w:t>
      </w:r>
      <w:r w:rsidRPr="00110D6C">
        <w:rPr>
          <w:rFonts w:cs="Times New Roman"/>
          <w:color w:val="auto"/>
          <w:szCs w:val="22"/>
          <w:lang w:val="pt-PT"/>
        </w:rPr>
        <w:t xml:space="preserve"> antes de o bebé receber qualquer vacina, incluindo vacinas vivas, tais como a vacina BCG (utilizada para prevenir a tuberculose). As vacinas vivas não são recomendadas para o seu bebé nos primeiros </w:t>
      </w:r>
      <w:r w:rsidR="004A7F8C">
        <w:rPr>
          <w:rFonts w:cs="Times New Roman"/>
          <w:color w:val="auto"/>
          <w:szCs w:val="22"/>
          <w:lang w:val="pt-PT"/>
        </w:rPr>
        <w:t>doze</w:t>
      </w:r>
      <w:r w:rsidR="004A7F8C" w:rsidRPr="00110D6C">
        <w:rPr>
          <w:rFonts w:cs="Times New Roman"/>
          <w:color w:val="auto"/>
          <w:szCs w:val="22"/>
          <w:lang w:val="pt-PT"/>
        </w:rPr>
        <w:t xml:space="preserve"> </w:t>
      </w:r>
      <w:r w:rsidRPr="00110D6C">
        <w:rPr>
          <w:rFonts w:cs="Times New Roman"/>
          <w:color w:val="auto"/>
          <w:szCs w:val="22"/>
          <w:lang w:val="pt-PT"/>
        </w:rPr>
        <w:t xml:space="preserve">meses após o nascimento se tiver recebido </w:t>
      </w:r>
      <w:r w:rsidR="00D50CFA">
        <w:rPr>
          <w:rFonts w:cs="Times New Roman"/>
          <w:color w:val="auto"/>
          <w:szCs w:val="22"/>
          <w:lang w:val="pt-PT"/>
        </w:rPr>
        <w:t>Fymskina</w:t>
      </w:r>
      <w:r w:rsidRPr="00110D6C">
        <w:rPr>
          <w:rFonts w:cs="Times New Roman"/>
          <w:color w:val="auto"/>
          <w:szCs w:val="22"/>
          <w:lang w:val="pt-PT"/>
        </w:rPr>
        <w:t xml:space="preserve"> durante a gravidez, exceto se o médico do seu bebé recomendar o contrário.</w:t>
      </w:r>
    </w:p>
    <w:p w14:paraId="4F9BFD25" w14:textId="77777777" w:rsidR="00E03ECE" w:rsidRPr="00110D6C" w:rsidRDefault="00E03ECE" w:rsidP="00A17623">
      <w:pPr>
        <w:widowControl/>
        <w:rPr>
          <w:rFonts w:cs="Times New Roman"/>
          <w:bCs/>
          <w:color w:val="auto"/>
          <w:szCs w:val="22"/>
          <w:lang w:val="pt-PT"/>
        </w:rPr>
      </w:pPr>
      <w:bookmarkStart w:id="153" w:name="bookmark259"/>
    </w:p>
    <w:p w14:paraId="2E4B53C0"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Gravidez e aleitamento</w:t>
      </w:r>
      <w:bookmarkEnd w:id="153"/>
    </w:p>
    <w:p w14:paraId="4B962AE1" w14:textId="77777777" w:rsidR="002F6714" w:rsidRDefault="002F6714" w:rsidP="002F6714">
      <w:pPr>
        <w:pStyle w:val="Endnotentext"/>
        <w:numPr>
          <w:ilvl w:val="1"/>
          <w:numId w:val="23"/>
        </w:numPr>
        <w:ind w:left="567" w:hanging="567"/>
      </w:pPr>
      <w:r>
        <w:t>S</w:t>
      </w:r>
      <w:r w:rsidRPr="00C4648D">
        <w:t>e está grávida, se pensa estar grávida ou planeia engravidar</w:t>
      </w:r>
      <w:r>
        <w:t>, peça aconselhamento ao seu médico antes de tomar este medicamento.</w:t>
      </w:r>
    </w:p>
    <w:p w14:paraId="5AF7E628" w14:textId="03AA14D6" w:rsidR="002F6714" w:rsidRDefault="002F6714" w:rsidP="002F6714">
      <w:pPr>
        <w:pStyle w:val="Endnotentext"/>
        <w:numPr>
          <w:ilvl w:val="1"/>
          <w:numId w:val="23"/>
        </w:numPr>
        <w:ind w:left="567" w:hanging="567"/>
      </w:pPr>
      <w:r>
        <w:t xml:space="preserve">Não foi observado um risco aumentado de defeitos à nascença em bebés expostos </w:t>
      </w:r>
      <w:r w:rsidR="00AB1957">
        <w:t>ao ustecinumab</w:t>
      </w:r>
      <w:r>
        <w:t xml:space="preserve"> no útero. No entanto, existe experiência limitada com </w:t>
      </w:r>
      <w:r w:rsidR="00AB1957">
        <w:t>ustecinumab</w:t>
      </w:r>
      <w:r>
        <w:t xml:space="preserve"> em mulheres grávidas</w:t>
      </w:r>
      <w:r w:rsidRPr="00F01627">
        <w:t xml:space="preserve">. É, por isso, preferível evitar a utilização de </w:t>
      </w:r>
      <w:r w:rsidR="00AB1957">
        <w:t>Fymskina</w:t>
      </w:r>
      <w:r w:rsidRPr="00F01627">
        <w:t xml:space="preserve"> na gravidez.</w:t>
      </w:r>
    </w:p>
    <w:p w14:paraId="1AD8C864" w14:textId="0F4CBE7E"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 xml:space="preserve">Se é uma mulher em risco de engravidar, é aconselhada a evitar ficar grávida e deverá utilizar um método contracetivo durante o tratamento com </w:t>
      </w:r>
      <w:r w:rsidR="00D50CFA">
        <w:rPr>
          <w:rFonts w:cs="Times New Roman"/>
          <w:color w:val="auto"/>
          <w:szCs w:val="22"/>
          <w:lang w:val="pt-PT"/>
        </w:rPr>
        <w:t>Fymskina</w:t>
      </w:r>
      <w:r w:rsidRPr="00110D6C">
        <w:rPr>
          <w:rFonts w:cs="Times New Roman"/>
          <w:color w:val="auto"/>
          <w:szCs w:val="22"/>
          <w:lang w:val="pt-PT"/>
        </w:rPr>
        <w:t xml:space="preserve"> e até 1</w:t>
      </w:r>
      <w:r w:rsidR="00B910F9" w:rsidRPr="00110D6C">
        <w:rPr>
          <w:rFonts w:cs="Times New Roman"/>
          <w:color w:val="auto"/>
          <w:szCs w:val="22"/>
          <w:lang w:val="pt-PT"/>
        </w:rPr>
        <w:t>5 </w:t>
      </w:r>
      <w:r w:rsidRPr="00110D6C">
        <w:rPr>
          <w:rFonts w:cs="Times New Roman"/>
          <w:color w:val="auto"/>
          <w:szCs w:val="22"/>
          <w:lang w:val="pt-PT"/>
        </w:rPr>
        <w:t xml:space="preserve">semanas após a última administração de </w:t>
      </w:r>
      <w:r w:rsidR="00D50CFA">
        <w:rPr>
          <w:rFonts w:cs="Times New Roman"/>
          <w:color w:val="auto"/>
          <w:szCs w:val="22"/>
          <w:lang w:val="pt-PT"/>
        </w:rPr>
        <w:t>Fymskina</w:t>
      </w:r>
      <w:r w:rsidRPr="00110D6C">
        <w:rPr>
          <w:rFonts w:cs="Times New Roman"/>
          <w:color w:val="auto"/>
          <w:szCs w:val="22"/>
          <w:lang w:val="pt-PT"/>
        </w:rPr>
        <w:t>.</w:t>
      </w:r>
    </w:p>
    <w:p w14:paraId="68E8E1CE" w14:textId="3D52D88B" w:rsidR="0077031F" w:rsidRPr="00110D6C" w:rsidRDefault="00BB3454" w:rsidP="00D74B6E">
      <w:pPr>
        <w:pStyle w:val="Listenabsatz"/>
        <w:widowControl/>
        <w:numPr>
          <w:ilvl w:val="0"/>
          <w:numId w:val="7"/>
        </w:numPr>
        <w:ind w:left="567" w:hanging="567"/>
        <w:rPr>
          <w:rFonts w:cs="Times New Roman"/>
          <w:color w:val="auto"/>
          <w:szCs w:val="22"/>
          <w:lang w:val="pt-PT"/>
        </w:rPr>
      </w:pPr>
      <w:r>
        <w:rPr>
          <w:rFonts w:cs="Times New Roman"/>
          <w:color w:val="auto"/>
          <w:szCs w:val="22"/>
          <w:lang w:val="pt-PT"/>
        </w:rPr>
        <w:t xml:space="preserve">O </w:t>
      </w:r>
      <w:r w:rsidRPr="00110D6C">
        <w:rPr>
          <w:rFonts w:cs="Times New Roman"/>
          <w:color w:val="auto"/>
          <w:szCs w:val="22"/>
          <w:lang w:val="pt-PT"/>
        </w:rPr>
        <w:t>ustecinumab</w:t>
      </w:r>
      <w:r w:rsidR="00030085" w:rsidRPr="00110D6C">
        <w:rPr>
          <w:rFonts w:cs="Times New Roman"/>
          <w:color w:val="auto"/>
          <w:szCs w:val="22"/>
          <w:lang w:val="pt-PT"/>
        </w:rPr>
        <w:t xml:space="preserve"> pode passar através da placenta para o feto. Se tiver recebido </w:t>
      </w:r>
      <w:r w:rsidR="00D50CFA">
        <w:rPr>
          <w:rFonts w:cs="Times New Roman"/>
          <w:color w:val="auto"/>
          <w:szCs w:val="22"/>
          <w:lang w:val="pt-PT"/>
        </w:rPr>
        <w:t>Fymskina</w:t>
      </w:r>
      <w:r w:rsidR="00030085" w:rsidRPr="00110D6C">
        <w:rPr>
          <w:rFonts w:cs="Times New Roman"/>
          <w:color w:val="auto"/>
          <w:szCs w:val="22"/>
          <w:lang w:val="pt-PT"/>
        </w:rPr>
        <w:t xml:space="preserve"> durante a sua</w:t>
      </w:r>
      <w:r w:rsidR="00E03ECE" w:rsidRPr="00110D6C">
        <w:rPr>
          <w:rFonts w:cs="Times New Roman"/>
          <w:color w:val="auto"/>
          <w:szCs w:val="22"/>
          <w:lang w:val="pt-PT"/>
        </w:rPr>
        <w:t xml:space="preserve"> </w:t>
      </w:r>
      <w:r w:rsidR="00030085" w:rsidRPr="00110D6C">
        <w:rPr>
          <w:rFonts w:cs="Times New Roman"/>
          <w:color w:val="auto"/>
          <w:szCs w:val="22"/>
          <w:lang w:val="pt-PT"/>
        </w:rPr>
        <w:t>gravidez, o seu bebé poderá ter um maior risco de sofrer uma infeção.</w:t>
      </w:r>
    </w:p>
    <w:p w14:paraId="492B996A" w14:textId="3FBA97FD"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É importante que diga aos médicos do seu bebé e a outros profissionais de saúde se tiver</w:t>
      </w:r>
      <w:r w:rsidR="00E03ECE" w:rsidRPr="00110D6C">
        <w:rPr>
          <w:rFonts w:cs="Times New Roman"/>
          <w:color w:val="auto"/>
          <w:szCs w:val="22"/>
          <w:lang w:val="pt-PT"/>
        </w:rPr>
        <w:t xml:space="preserve"> </w:t>
      </w:r>
      <w:r w:rsidRPr="00110D6C">
        <w:rPr>
          <w:rFonts w:cs="Times New Roman"/>
          <w:color w:val="auto"/>
          <w:szCs w:val="22"/>
          <w:lang w:val="pt-PT"/>
        </w:rPr>
        <w:t xml:space="preserve">recebido </w:t>
      </w:r>
      <w:r w:rsidR="00D50CFA">
        <w:rPr>
          <w:rFonts w:cs="Times New Roman"/>
          <w:color w:val="auto"/>
          <w:szCs w:val="22"/>
          <w:lang w:val="pt-PT"/>
        </w:rPr>
        <w:t>Fymskina</w:t>
      </w:r>
      <w:r w:rsidRPr="00110D6C">
        <w:rPr>
          <w:rFonts w:cs="Times New Roman"/>
          <w:color w:val="auto"/>
          <w:szCs w:val="22"/>
          <w:lang w:val="pt-PT"/>
        </w:rPr>
        <w:t xml:space="preserve"> durante a sua gravidez antes de o bebé receber qualquer vacina. As vacinas vivas, tais como a vacina BCG (utilizada para prevenir a tuberculose) não são recomendadas para o seu bebé nos primeiros </w:t>
      </w:r>
      <w:r w:rsidR="004A7F8C">
        <w:rPr>
          <w:rFonts w:cs="Times New Roman"/>
          <w:color w:val="auto"/>
          <w:szCs w:val="22"/>
          <w:lang w:val="pt-PT"/>
        </w:rPr>
        <w:t>doze</w:t>
      </w:r>
      <w:r w:rsidR="004A7F8C" w:rsidRPr="00110D6C">
        <w:rPr>
          <w:rFonts w:cs="Times New Roman"/>
          <w:color w:val="auto"/>
          <w:szCs w:val="22"/>
          <w:lang w:val="pt-PT"/>
        </w:rPr>
        <w:t xml:space="preserve"> </w:t>
      </w:r>
      <w:r w:rsidRPr="00110D6C">
        <w:rPr>
          <w:rFonts w:cs="Times New Roman"/>
          <w:color w:val="auto"/>
          <w:szCs w:val="22"/>
          <w:lang w:val="pt-PT"/>
        </w:rPr>
        <w:t xml:space="preserve">meses após o nascimento se tiver recebido </w:t>
      </w:r>
      <w:r w:rsidR="00D50CFA">
        <w:rPr>
          <w:rFonts w:cs="Times New Roman"/>
          <w:color w:val="auto"/>
          <w:szCs w:val="22"/>
          <w:lang w:val="pt-PT"/>
        </w:rPr>
        <w:t>Fymskina</w:t>
      </w:r>
      <w:r w:rsidRPr="00110D6C">
        <w:rPr>
          <w:rFonts w:cs="Times New Roman"/>
          <w:color w:val="auto"/>
          <w:szCs w:val="22"/>
          <w:lang w:val="pt-PT"/>
        </w:rPr>
        <w:t xml:space="preserve"> durante a gravidez, exceto se o médico do seu bebé recomendar o contrário.</w:t>
      </w:r>
    </w:p>
    <w:p w14:paraId="28A961D5" w14:textId="24D08F76"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O ustecinumab pode passar para o leite materno em quantidades muito reduzidas. Fale com o</w:t>
      </w:r>
      <w:r w:rsidR="00E03ECE" w:rsidRPr="00110D6C">
        <w:rPr>
          <w:rFonts w:cs="Times New Roman"/>
          <w:color w:val="auto"/>
          <w:szCs w:val="22"/>
          <w:lang w:val="pt-PT"/>
        </w:rPr>
        <w:t xml:space="preserve"> </w:t>
      </w:r>
      <w:r w:rsidRPr="00110D6C">
        <w:rPr>
          <w:rFonts w:cs="Times New Roman"/>
          <w:color w:val="auto"/>
          <w:szCs w:val="22"/>
          <w:lang w:val="pt-PT"/>
        </w:rPr>
        <w:t xml:space="preserve">seu médico se está a amamentar ou se planeia amamentar. Você e o seu médico devem decidir se deve amamentar ou utilizar </w:t>
      </w:r>
      <w:r w:rsidR="00D50CFA">
        <w:rPr>
          <w:rFonts w:cs="Times New Roman"/>
          <w:color w:val="auto"/>
          <w:szCs w:val="22"/>
          <w:lang w:val="pt-PT"/>
        </w:rPr>
        <w:t>Fymskina</w:t>
      </w:r>
      <w:r w:rsidRPr="00110D6C">
        <w:rPr>
          <w:rFonts w:cs="Times New Roman"/>
          <w:color w:val="auto"/>
          <w:szCs w:val="22"/>
          <w:lang w:val="pt-PT"/>
        </w:rPr>
        <w:t xml:space="preserve"> - não faça ambos.</w:t>
      </w:r>
    </w:p>
    <w:p w14:paraId="051AF88E" w14:textId="77777777" w:rsidR="00E03ECE" w:rsidRPr="00110D6C" w:rsidRDefault="00E03ECE" w:rsidP="00A17623">
      <w:pPr>
        <w:widowControl/>
        <w:rPr>
          <w:rFonts w:cs="Times New Roman"/>
          <w:bCs/>
          <w:color w:val="auto"/>
          <w:szCs w:val="22"/>
          <w:lang w:val="pt-PT"/>
        </w:rPr>
      </w:pPr>
      <w:bookmarkStart w:id="154" w:name="bookmark261"/>
    </w:p>
    <w:p w14:paraId="76BE20B2"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Condução de veículos e utilização de máquinas</w:t>
      </w:r>
      <w:bookmarkEnd w:id="154"/>
    </w:p>
    <w:p w14:paraId="76F946F2" w14:textId="701C65AD"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Os efeitos de </w:t>
      </w:r>
      <w:r w:rsidR="00D50CFA">
        <w:rPr>
          <w:rFonts w:cs="Times New Roman"/>
          <w:color w:val="auto"/>
          <w:szCs w:val="22"/>
          <w:lang w:val="pt-PT"/>
        </w:rPr>
        <w:t>Fymskina</w:t>
      </w:r>
      <w:r w:rsidRPr="00110D6C">
        <w:rPr>
          <w:rFonts w:cs="Times New Roman"/>
          <w:color w:val="auto"/>
          <w:szCs w:val="22"/>
          <w:lang w:val="pt-PT"/>
        </w:rPr>
        <w:t xml:space="preserve"> sobre a capacidade de conduzir ou utilizar máquinas são nulos ou desprezáveis.</w:t>
      </w:r>
    </w:p>
    <w:p w14:paraId="54239C89" w14:textId="77777777" w:rsidR="00E03ECE" w:rsidRPr="00110D6C" w:rsidRDefault="00E03ECE" w:rsidP="00A17623">
      <w:pPr>
        <w:widowControl/>
        <w:rPr>
          <w:rFonts w:cs="Times New Roman"/>
          <w:color w:val="auto"/>
          <w:szCs w:val="22"/>
          <w:lang w:val="pt-PT"/>
        </w:rPr>
      </w:pPr>
    </w:p>
    <w:p w14:paraId="52709676" w14:textId="77777777" w:rsidR="004A7F8C" w:rsidRDefault="004A7F8C" w:rsidP="004A7F8C">
      <w:pPr>
        <w:widowControl/>
        <w:rPr>
          <w:rFonts w:cs="Times New Roman"/>
          <w:b/>
          <w:bCs/>
          <w:color w:val="auto"/>
          <w:szCs w:val="22"/>
          <w:lang w:val="pt-PT"/>
        </w:rPr>
      </w:pPr>
      <w:r>
        <w:rPr>
          <w:rFonts w:cs="Times New Roman"/>
          <w:b/>
          <w:bCs/>
          <w:color w:val="auto"/>
          <w:szCs w:val="22"/>
          <w:lang w:val="pt-PT"/>
        </w:rPr>
        <w:t>Fymskina</w:t>
      </w:r>
      <w:r w:rsidRPr="00110D6C">
        <w:rPr>
          <w:rFonts w:cs="Times New Roman"/>
          <w:b/>
          <w:bCs/>
          <w:color w:val="auto"/>
          <w:szCs w:val="22"/>
          <w:lang w:val="pt-PT"/>
        </w:rPr>
        <w:t xml:space="preserve"> contém </w:t>
      </w:r>
      <w:r>
        <w:rPr>
          <w:rFonts w:cs="Times New Roman"/>
          <w:b/>
          <w:bCs/>
          <w:color w:val="auto"/>
          <w:szCs w:val="22"/>
          <w:lang w:val="pt-PT"/>
        </w:rPr>
        <w:t>polissorbatos</w:t>
      </w:r>
    </w:p>
    <w:p w14:paraId="4449004D" w14:textId="4DB98C9F" w:rsidR="004A7F8C" w:rsidRDefault="004A7F8C" w:rsidP="004A7F8C">
      <w:pPr>
        <w:widowControl/>
        <w:rPr>
          <w:rFonts w:cs="Times New Roman"/>
          <w:color w:val="auto"/>
          <w:szCs w:val="22"/>
          <w:lang w:val="pt-PT"/>
        </w:rPr>
      </w:pPr>
      <w:r w:rsidRPr="0053717D">
        <w:rPr>
          <w:rFonts w:cs="Times New Roman"/>
          <w:color w:val="auto"/>
          <w:szCs w:val="22"/>
          <w:lang w:val="pt-PT"/>
        </w:rPr>
        <w:t xml:space="preserve">Este medicamento contém </w:t>
      </w:r>
      <w:r>
        <w:rPr>
          <w:rFonts w:cs="Times New Roman"/>
          <w:color w:val="auto"/>
          <w:szCs w:val="22"/>
          <w:lang w:val="pt-PT"/>
        </w:rPr>
        <w:t>0,02 </w:t>
      </w:r>
      <w:r w:rsidRPr="0053717D">
        <w:rPr>
          <w:rFonts w:cs="Times New Roman"/>
          <w:color w:val="auto"/>
          <w:szCs w:val="22"/>
          <w:lang w:val="pt-PT"/>
        </w:rPr>
        <w:t>mg de polissorbato</w:t>
      </w:r>
      <w:r>
        <w:rPr>
          <w:rFonts w:cs="Times New Roman"/>
          <w:color w:val="auto"/>
          <w:szCs w:val="22"/>
          <w:lang w:val="pt-PT"/>
        </w:rPr>
        <w:t> 80</w:t>
      </w:r>
      <w:r w:rsidRPr="0053717D">
        <w:rPr>
          <w:rFonts w:cs="Times New Roman"/>
          <w:color w:val="auto"/>
          <w:szCs w:val="22"/>
          <w:lang w:val="pt-PT"/>
        </w:rPr>
        <w:t xml:space="preserve"> em cada </w:t>
      </w:r>
      <w:r>
        <w:rPr>
          <w:rFonts w:cs="Times New Roman"/>
          <w:color w:val="auto"/>
          <w:szCs w:val="22"/>
          <w:lang w:val="pt-PT"/>
        </w:rPr>
        <w:t xml:space="preserve">seringa pré-cheia, </w:t>
      </w:r>
      <w:r w:rsidRPr="0053717D">
        <w:rPr>
          <w:rFonts w:cs="Times New Roman"/>
          <w:color w:val="auto"/>
          <w:szCs w:val="22"/>
          <w:lang w:val="pt-PT"/>
        </w:rPr>
        <w:t xml:space="preserve">que é equivalente a </w:t>
      </w:r>
      <w:r>
        <w:rPr>
          <w:rFonts w:cs="Times New Roman"/>
          <w:color w:val="auto"/>
          <w:szCs w:val="22"/>
          <w:lang w:val="pt-PT"/>
        </w:rPr>
        <w:t>0,04 mg/ml</w:t>
      </w:r>
      <w:r w:rsidRPr="0053717D">
        <w:rPr>
          <w:rFonts w:cs="Times New Roman"/>
          <w:color w:val="auto"/>
          <w:szCs w:val="22"/>
          <w:lang w:val="pt-PT"/>
        </w:rPr>
        <w:t>. Os polissorbatos podem causar reações alérgicas. Informe o seu médico se tem alguma alergia</w:t>
      </w:r>
      <w:r>
        <w:rPr>
          <w:rFonts w:cs="Times New Roman"/>
          <w:color w:val="auto"/>
          <w:szCs w:val="22"/>
          <w:lang w:val="pt-PT"/>
        </w:rPr>
        <w:t>.</w:t>
      </w:r>
    </w:p>
    <w:p w14:paraId="75391FE3" w14:textId="77777777" w:rsidR="00E03ECE" w:rsidRPr="00110D6C" w:rsidRDefault="00E03ECE" w:rsidP="00A17623">
      <w:pPr>
        <w:widowControl/>
        <w:rPr>
          <w:rFonts w:cs="Times New Roman"/>
          <w:color w:val="auto"/>
          <w:szCs w:val="22"/>
          <w:lang w:val="pt-PT"/>
        </w:rPr>
      </w:pPr>
    </w:p>
    <w:p w14:paraId="2B894BCA" w14:textId="0C758673" w:rsidR="0077031F" w:rsidRPr="00110D6C" w:rsidRDefault="00DC3C01" w:rsidP="00A17623">
      <w:pPr>
        <w:widowControl/>
        <w:ind w:left="567" w:hanging="567"/>
        <w:rPr>
          <w:rFonts w:cs="Times New Roman"/>
          <w:color w:val="auto"/>
          <w:szCs w:val="22"/>
          <w:lang w:val="pt-PT"/>
        </w:rPr>
      </w:pPr>
      <w:bookmarkStart w:id="155" w:name="bookmark263"/>
      <w:r w:rsidRPr="00110D6C">
        <w:rPr>
          <w:rFonts w:cs="Times New Roman"/>
          <w:b/>
          <w:bCs/>
          <w:color w:val="auto"/>
          <w:szCs w:val="22"/>
          <w:lang w:val="pt-PT"/>
        </w:rPr>
        <w:t>3.</w:t>
      </w:r>
      <w:r w:rsidRPr="00110D6C">
        <w:rPr>
          <w:rFonts w:cs="Times New Roman"/>
          <w:b/>
          <w:bCs/>
          <w:color w:val="auto"/>
          <w:szCs w:val="22"/>
          <w:lang w:val="pt-PT"/>
        </w:rPr>
        <w:tab/>
      </w:r>
      <w:r w:rsidR="00030085" w:rsidRPr="00110D6C">
        <w:rPr>
          <w:rFonts w:cs="Times New Roman"/>
          <w:b/>
          <w:bCs/>
          <w:color w:val="auto"/>
          <w:szCs w:val="22"/>
          <w:lang w:val="pt-PT"/>
        </w:rPr>
        <w:t xml:space="preserve">Como utilizar </w:t>
      </w:r>
      <w:bookmarkEnd w:id="155"/>
      <w:r w:rsidR="00D50CFA">
        <w:rPr>
          <w:rFonts w:cs="Times New Roman"/>
          <w:b/>
          <w:bCs/>
          <w:color w:val="auto"/>
          <w:szCs w:val="22"/>
          <w:lang w:val="pt-PT"/>
        </w:rPr>
        <w:t>Fymskina</w:t>
      </w:r>
    </w:p>
    <w:p w14:paraId="4D2D55D4" w14:textId="77777777" w:rsidR="00E03ECE" w:rsidRPr="00110D6C" w:rsidRDefault="00E03ECE" w:rsidP="00A17623">
      <w:pPr>
        <w:widowControl/>
        <w:rPr>
          <w:rFonts w:cs="Times New Roman"/>
          <w:color w:val="auto"/>
          <w:szCs w:val="22"/>
          <w:lang w:val="pt-PT"/>
        </w:rPr>
      </w:pPr>
    </w:p>
    <w:p w14:paraId="5F4290DD" w14:textId="683900C0" w:rsidR="0077031F" w:rsidRPr="00110D6C" w:rsidRDefault="00D50CFA" w:rsidP="00A17623">
      <w:pPr>
        <w:widowControl/>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deverá ser utilizado sob a orientação e supervisão de um médico com experiência no tratamento das doenças para as quais </w:t>
      </w:r>
      <w:r>
        <w:rPr>
          <w:rFonts w:cs="Times New Roman"/>
          <w:color w:val="auto"/>
          <w:szCs w:val="22"/>
          <w:lang w:val="pt-PT"/>
        </w:rPr>
        <w:t>Fymskina</w:t>
      </w:r>
      <w:r w:rsidR="00030085" w:rsidRPr="00110D6C">
        <w:rPr>
          <w:rFonts w:cs="Times New Roman"/>
          <w:color w:val="auto"/>
          <w:szCs w:val="22"/>
          <w:lang w:val="pt-PT"/>
        </w:rPr>
        <w:t xml:space="preserve"> se destina.</w:t>
      </w:r>
    </w:p>
    <w:p w14:paraId="17BC48E0" w14:textId="77777777" w:rsidR="00E03ECE" w:rsidRPr="00110D6C" w:rsidRDefault="00E03ECE" w:rsidP="00A17623">
      <w:pPr>
        <w:widowControl/>
        <w:rPr>
          <w:rFonts w:cs="Times New Roman"/>
          <w:color w:val="auto"/>
          <w:szCs w:val="22"/>
          <w:lang w:val="pt-PT"/>
        </w:rPr>
      </w:pPr>
    </w:p>
    <w:p w14:paraId="2D448401"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Utilize este medicamento exatamente como indicado pelo seu médico. Fale com o seu médico se tiver dúvidas. Fale com o seu médico sobre quando irá receber as suas injeções e marcar as consultas de seguimento.</w:t>
      </w:r>
    </w:p>
    <w:p w14:paraId="3888F0E8" w14:textId="77777777" w:rsidR="00E03ECE" w:rsidRPr="00110D6C" w:rsidRDefault="00E03ECE" w:rsidP="00A17623">
      <w:pPr>
        <w:widowControl/>
        <w:rPr>
          <w:rFonts w:cs="Times New Roman"/>
          <w:bCs/>
          <w:color w:val="auto"/>
          <w:szCs w:val="22"/>
          <w:lang w:val="pt-PT"/>
        </w:rPr>
      </w:pPr>
      <w:bookmarkStart w:id="156" w:name="bookmark265"/>
    </w:p>
    <w:p w14:paraId="788EC640" w14:textId="6DDEB0E5"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Que quantidade de </w:t>
      </w:r>
      <w:r w:rsidR="00D50CFA">
        <w:rPr>
          <w:rFonts w:cs="Times New Roman"/>
          <w:b/>
          <w:bCs/>
          <w:color w:val="auto"/>
          <w:szCs w:val="22"/>
          <w:lang w:val="pt-PT"/>
        </w:rPr>
        <w:t>Fymskina</w:t>
      </w:r>
      <w:r w:rsidRPr="00110D6C">
        <w:rPr>
          <w:rFonts w:cs="Times New Roman"/>
          <w:b/>
          <w:bCs/>
          <w:color w:val="auto"/>
          <w:szCs w:val="22"/>
          <w:lang w:val="pt-PT"/>
        </w:rPr>
        <w:t xml:space="preserve"> é administrada</w:t>
      </w:r>
      <w:bookmarkEnd w:id="156"/>
    </w:p>
    <w:p w14:paraId="18587A84" w14:textId="38DD4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O seu médico decidirá qual a quantidade de </w:t>
      </w:r>
      <w:r w:rsidR="00D50CFA">
        <w:rPr>
          <w:rFonts w:cs="Times New Roman"/>
          <w:color w:val="auto"/>
          <w:szCs w:val="22"/>
          <w:lang w:val="pt-PT"/>
        </w:rPr>
        <w:t>Fymskina</w:t>
      </w:r>
      <w:r w:rsidRPr="00110D6C">
        <w:rPr>
          <w:rFonts w:cs="Times New Roman"/>
          <w:color w:val="auto"/>
          <w:szCs w:val="22"/>
          <w:lang w:val="pt-PT"/>
        </w:rPr>
        <w:t xml:space="preserve"> que necessita utilizar e durante quanto tempo.</w:t>
      </w:r>
    </w:p>
    <w:p w14:paraId="1560D7C6" w14:textId="77777777" w:rsidR="00E03ECE" w:rsidRPr="00110D6C" w:rsidRDefault="00E03ECE" w:rsidP="00A17623">
      <w:pPr>
        <w:widowControl/>
        <w:rPr>
          <w:rFonts w:cs="Times New Roman"/>
          <w:bCs/>
          <w:color w:val="auto"/>
          <w:szCs w:val="22"/>
          <w:lang w:val="pt-PT"/>
        </w:rPr>
      </w:pPr>
      <w:bookmarkStart w:id="157" w:name="bookmark267"/>
    </w:p>
    <w:p w14:paraId="3F4274C9"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Adultos com idade igual ou superior a 1</w:t>
      </w:r>
      <w:r w:rsidR="00B910F9" w:rsidRPr="00110D6C">
        <w:rPr>
          <w:rFonts w:cs="Times New Roman"/>
          <w:b/>
          <w:bCs/>
          <w:color w:val="auto"/>
          <w:szCs w:val="22"/>
          <w:lang w:val="pt-PT"/>
        </w:rPr>
        <w:t>8 </w:t>
      </w:r>
      <w:r w:rsidRPr="00110D6C">
        <w:rPr>
          <w:rFonts w:cs="Times New Roman"/>
          <w:b/>
          <w:bCs/>
          <w:color w:val="auto"/>
          <w:szCs w:val="22"/>
          <w:lang w:val="pt-PT"/>
        </w:rPr>
        <w:t>anos</w:t>
      </w:r>
      <w:bookmarkEnd w:id="157"/>
    </w:p>
    <w:p w14:paraId="73872326"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Psoríase ou Artrite Psoriática</w:t>
      </w:r>
    </w:p>
    <w:p w14:paraId="225C6ABC" w14:textId="1C67F60C"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A dose inicial recomendada é de 4</w:t>
      </w:r>
      <w:r w:rsidR="00B910F9" w:rsidRPr="00110D6C">
        <w:rPr>
          <w:rFonts w:cs="Times New Roman"/>
          <w:color w:val="auto"/>
          <w:szCs w:val="22"/>
          <w:lang w:val="pt-PT"/>
        </w:rPr>
        <w:t>5 </w:t>
      </w:r>
      <w:r w:rsidRPr="00110D6C">
        <w:rPr>
          <w:rFonts w:cs="Times New Roman"/>
          <w:color w:val="auto"/>
          <w:szCs w:val="22"/>
          <w:lang w:val="pt-PT"/>
        </w:rPr>
        <w:t xml:space="preserve">mg de </w:t>
      </w:r>
      <w:r w:rsidR="00D50CFA">
        <w:rPr>
          <w:rFonts w:cs="Times New Roman"/>
          <w:color w:val="auto"/>
          <w:szCs w:val="22"/>
          <w:lang w:val="pt-PT"/>
        </w:rPr>
        <w:t>Fymskina</w:t>
      </w:r>
      <w:r w:rsidRPr="00110D6C">
        <w:rPr>
          <w:rFonts w:cs="Times New Roman"/>
          <w:color w:val="auto"/>
          <w:szCs w:val="22"/>
          <w:lang w:val="pt-PT"/>
        </w:rPr>
        <w:t>. Os doentes que pesem mais de</w:t>
      </w:r>
      <w:r w:rsidR="00E03ECE" w:rsidRPr="00110D6C">
        <w:rPr>
          <w:rFonts w:cs="Times New Roman"/>
          <w:color w:val="auto"/>
          <w:szCs w:val="22"/>
          <w:lang w:val="pt-PT"/>
        </w:rPr>
        <w:t xml:space="preserve"> </w:t>
      </w:r>
      <w:r w:rsidRPr="00110D6C">
        <w:rPr>
          <w:rFonts w:cs="Times New Roman"/>
          <w:color w:val="auto"/>
          <w:szCs w:val="22"/>
          <w:lang w:val="pt-PT"/>
        </w:rPr>
        <w:t>100</w:t>
      </w:r>
      <w:r w:rsidR="00BB3454">
        <w:rPr>
          <w:rFonts w:cs="Times New Roman"/>
          <w:color w:val="auto"/>
          <w:szCs w:val="22"/>
          <w:lang w:val="pt-PT"/>
        </w:rPr>
        <w:t> qu</w:t>
      </w:r>
      <w:r w:rsidRPr="00110D6C">
        <w:rPr>
          <w:rFonts w:cs="Times New Roman"/>
          <w:color w:val="auto"/>
          <w:szCs w:val="22"/>
          <w:lang w:val="pt-PT"/>
        </w:rPr>
        <w:t>ilogramas (kg) poderão iniciar com uma dose de 9</w:t>
      </w:r>
      <w:r w:rsidR="00B910F9" w:rsidRPr="00110D6C">
        <w:rPr>
          <w:rFonts w:cs="Times New Roman"/>
          <w:color w:val="auto"/>
          <w:szCs w:val="22"/>
          <w:lang w:val="pt-PT"/>
        </w:rPr>
        <w:t>0 </w:t>
      </w:r>
      <w:r w:rsidRPr="00110D6C">
        <w:rPr>
          <w:rFonts w:cs="Times New Roman"/>
          <w:color w:val="auto"/>
          <w:szCs w:val="22"/>
          <w:lang w:val="pt-PT"/>
        </w:rPr>
        <w:t>mg em vez de 4</w:t>
      </w:r>
      <w:r w:rsidR="00B910F9" w:rsidRPr="00110D6C">
        <w:rPr>
          <w:rFonts w:cs="Times New Roman"/>
          <w:color w:val="auto"/>
          <w:szCs w:val="22"/>
          <w:lang w:val="pt-PT"/>
        </w:rPr>
        <w:t>5 </w:t>
      </w:r>
      <w:r w:rsidRPr="00110D6C">
        <w:rPr>
          <w:rFonts w:cs="Times New Roman"/>
          <w:color w:val="auto"/>
          <w:szCs w:val="22"/>
          <w:lang w:val="pt-PT"/>
        </w:rPr>
        <w:t>mg.</w:t>
      </w:r>
    </w:p>
    <w:p w14:paraId="4E776093"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 xml:space="preserve">A dose seguinte ser-lhe-á administrada </w:t>
      </w:r>
      <w:r w:rsidR="00B910F9" w:rsidRPr="00110D6C">
        <w:rPr>
          <w:rFonts w:cs="Times New Roman"/>
          <w:color w:val="auto"/>
          <w:szCs w:val="22"/>
          <w:lang w:val="pt-PT"/>
        </w:rPr>
        <w:t>4 </w:t>
      </w:r>
      <w:r w:rsidRPr="00110D6C">
        <w:rPr>
          <w:rFonts w:cs="Times New Roman"/>
          <w:color w:val="auto"/>
          <w:szCs w:val="22"/>
          <w:lang w:val="pt-PT"/>
        </w:rPr>
        <w:t>semanas após a dose inicial e depois em intervalos de</w:t>
      </w:r>
      <w:r w:rsidR="00E03ECE" w:rsidRPr="00110D6C">
        <w:rPr>
          <w:rFonts w:cs="Times New Roman"/>
          <w:color w:val="auto"/>
          <w:szCs w:val="22"/>
          <w:lang w:val="pt-PT"/>
        </w:rPr>
        <w:t xml:space="preserve"> </w:t>
      </w:r>
      <w:r w:rsidRPr="00110D6C">
        <w:rPr>
          <w:rFonts w:cs="Times New Roman"/>
          <w:color w:val="auto"/>
          <w:szCs w:val="22"/>
          <w:lang w:val="pt-PT"/>
        </w:rPr>
        <w:t>12</w:t>
      </w:r>
      <w:r w:rsidR="005562CC" w:rsidRPr="00110D6C">
        <w:rPr>
          <w:rFonts w:cs="Times New Roman"/>
          <w:color w:val="auto"/>
          <w:szCs w:val="22"/>
          <w:lang w:val="pt-PT"/>
        </w:rPr>
        <w:t> </w:t>
      </w:r>
      <w:r w:rsidRPr="00110D6C">
        <w:rPr>
          <w:rFonts w:cs="Times New Roman"/>
          <w:color w:val="auto"/>
          <w:szCs w:val="22"/>
          <w:lang w:val="pt-PT"/>
        </w:rPr>
        <w:t>semanas. As doses seguintes são normalmente iguais à dose inicial.</w:t>
      </w:r>
    </w:p>
    <w:p w14:paraId="54C0BCAB" w14:textId="77777777" w:rsidR="00E03ECE" w:rsidRPr="00110D6C" w:rsidRDefault="00E03ECE" w:rsidP="00A17623">
      <w:pPr>
        <w:widowControl/>
        <w:rPr>
          <w:rFonts w:cs="Times New Roman"/>
          <w:bCs/>
          <w:color w:val="auto"/>
          <w:szCs w:val="22"/>
          <w:lang w:val="pt-PT"/>
        </w:rPr>
      </w:pPr>
      <w:bookmarkStart w:id="158" w:name="bookmark270"/>
    </w:p>
    <w:p w14:paraId="0112E117" w14:textId="7465A484"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Doença de Crohn</w:t>
      </w:r>
      <w:bookmarkEnd w:id="158"/>
    </w:p>
    <w:p w14:paraId="4C51D139" w14:textId="312F8DE5"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 xml:space="preserve">Durante o tratamento, a primeira dose de aproximadamente </w:t>
      </w:r>
      <w:r w:rsidR="00B910F9" w:rsidRPr="00110D6C">
        <w:rPr>
          <w:rFonts w:cs="Times New Roman"/>
          <w:color w:val="auto"/>
          <w:szCs w:val="22"/>
          <w:lang w:val="pt-PT"/>
        </w:rPr>
        <w:t>6 </w:t>
      </w:r>
      <w:r w:rsidRPr="00110D6C">
        <w:rPr>
          <w:rFonts w:cs="Times New Roman"/>
          <w:color w:val="auto"/>
          <w:szCs w:val="22"/>
          <w:lang w:val="pt-PT"/>
        </w:rPr>
        <w:t xml:space="preserve">mg/kg de </w:t>
      </w:r>
      <w:r w:rsidR="00D50CFA">
        <w:rPr>
          <w:rFonts w:cs="Times New Roman"/>
          <w:color w:val="auto"/>
          <w:szCs w:val="22"/>
          <w:lang w:val="pt-PT"/>
        </w:rPr>
        <w:t>Fymskina</w:t>
      </w:r>
      <w:r w:rsidRPr="00110D6C">
        <w:rPr>
          <w:rFonts w:cs="Times New Roman"/>
          <w:color w:val="auto"/>
          <w:szCs w:val="22"/>
          <w:lang w:val="pt-PT"/>
        </w:rPr>
        <w:t xml:space="preserve"> será</w:t>
      </w:r>
      <w:r w:rsidR="00E03ECE" w:rsidRPr="00110D6C">
        <w:rPr>
          <w:rFonts w:cs="Times New Roman"/>
          <w:color w:val="auto"/>
          <w:szCs w:val="22"/>
          <w:lang w:val="pt-PT"/>
        </w:rPr>
        <w:t xml:space="preserve"> </w:t>
      </w:r>
      <w:r w:rsidRPr="00110D6C">
        <w:rPr>
          <w:rFonts w:cs="Times New Roman"/>
          <w:color w:val="auto"/>
          <w:szCs w:val="22"/>
          <w:lang w:val="pt-PT"/>
        </w:rPr>
        <w:t>administrada gota-a-gota, pelo seu médico, numa veia do seu braço (perfusão intravenosa). Após a dose inicial, irá receber a próxima dose de 9</w:t>
      </w:r>
      <w:r w:rsidR="00B910F9" w:rsidRPr="00110D6C">
        <w:rPr>
          <w:rFonts w:cs="Times New Roman"/>
          <w:color w:val="auto"/>
          <w:szCs w:val="22"/>
          <w:lang w:val="pt-PT"/>
        </w:rPr>
        <w:t>0 </w:t>
      </w:r>
      <w:r w:rsidRPr="00110D6C">
        <w:rPr>
          <w:rFonts w:cs="Times New Roman"/>
          <w:color w:val="auto"/>
          <w:szCs w:val="22"/>
          <w:lang w:val="pt-PT"/>
        </w:rPr>
        <w:t xml:space="preserve">mg de </w:t>
      </w:r>
      <w:r w:rsidR="00D50CFA">
        <w:rPr>
          <w:rFonts w:cs="Times New Roman"/>
          <w:color w:val="auto"/>
          <w:szCs w:val="22"/>
          <w:lang w:val="pt-PT"/>
        </w:rPr>
        <w:t>Fymskina</w:t>
      </w:r>
      <w:r w:rsidRPr="00110D6C">
        <w:rPr>
          <w:rFonts w:cs="Times New Roman"/>
          <w:color w:val="auto"/>
          <w:szCs w:val="22"/>
          <w:lang w:val="pt-PT"/>
        </w:rPr>
        <w:t xml:space="preserve"> após </w:t>
      </w:r>
      <w:r w:rsidR="00B910F9" w:rsidRPr="00110D6C">
        <w:rPr>
          <w:rFonts w:cs="Times New Roman"/>
          <w:color w:val="auto"/>
          <w:szCs w:val="22"/>
          <w:lang w:val="pt-PT"/>
        </w:rPr>
        <w:t>8 </w:t>
      </w:r>
      <w:r w:rsidRPr="00110D6C">
        <w:rPr>
          <w:rFonts w:cs="Times New Roman"/>
          <w:color w:val="auto"/>
          <w:szCs w:val="22"/>
          <w:lang w:val="pt-PT"/>
        </w:rPr>
        <w:t>semanas, e depois em intervalos de 1</w:t>
      </w:r>
      <w:r w:rsidR="00B910F9" w:rsidRPr="00110D6C">
        <w:rPr>
          <w:rFonts w:cs="Times New Roman"/>
          <w:color w:val="auto"/>
          <w:szCs w:val="22"/>
          <w:lang w:val="pt-PT"/>
        </w:rPr>
        <w:t>2 </w:t>
      </w:r>
      <w:r w:rsidRPr="00110D6C">
        <w:rPr>
          <w:rFonts w:cs="Times New Roman"/>
          <w:color w:val="auto"/>
          <w:szCs w:val="22"/>
          <w:lang w:val="pt-PT"/>
        </w:rPr>
        <w:t>semanas a partir daí, através de uma injeção sob a pele (“via subcutânea”).</w:t>
      </w:r>
    </w:p>
    <w:p w14:paraId="79D45571" w14:textId="08635619"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Em alguns doentes, após a primeira injeção sob a pele, podem ser administrados 9</w:t>
      </w:r>
      <w:r w:rsidR="00B910F9" w:rsidRPr="00110D6C">
        <w:rPr>
          <w:rFonts w:cs="Times New Roman"/>
          <w:color w:val="auto"/>
          <w:szCs w:val="22"/>
          <w:lang w:val="pt-PT"/>
        </w:rPr>
        <w:t>0 </w:t>
      </w:r>
      <w:r w:rsidRPr="00110D6C">
        <w:rPr>
          <w:rFonts w:cs="Times New Roman"/>
          <w:color w:val="auto"/>
          <w:szCs w:val="22"/>
          <w:lang w:val="pt-PT"/>
        </w:rPr>
        <w:t>mg de</w:t>
      </w:r>
      <w:r w:rsidR="00E03ECE" w:rsidRPr="00110D6C">
        <w:rPr>
          <w:rFonts w:cs="Times New Roman"/>
          <w:color w:val="auto"/>
          <w:szCs w:val="22"/>
          <w:lang w:val="pt-PT"/>
        </w:rPr>
        <w:t xml:space="preserve"> </w:t>
      </w:r>
      <w:r w:rsidR="00D50CFA">
        <w:rPr>
          <w:rFonts w:cs="Times New Roman"/>
          <w:color w:val="auto"/>
          <w:szCs w:val="22"/>
          <w:lang w:val="pt-PT"/>
        </w:rPr>
        <w:t>Fymskina</w:t>
      </w:r>
      <w:r w:rsidRPr="00110D6C">
        <w:rPr>
          <w:rFonts w:cs="Times New Roman"/>
          <w:color w:val="auto"/>
          <w:szCs w:val="22"/>
          <w:lang w:val="pt-PT"/>
        </w:rPr>
        <w:t xml:space="preserve"> em intervalos de </w:t>
      </w:r>
      <w:r w:rsidR="00B910F9" w:rsidRPr="00110D6C">
        <w:rPr>
          <w:rFonts w:cs="Times New Roman"/>
          <w:color w:val="auto"/>
          <w:szCs w:val="22"/>
          <w:lang w:val="pt-PT"/>
        </w:rPr>
        <w:t>8 </w:t>
      </w:r>
      <w:r w:rsidRPr="00110D6C">
        <w:rPr>
          <w:rFonts w:cs="Times New Roman"/>
          <w:color w:val="auto"/>
          <w:szCs w:val="22"/>
          <w:lang w:val="pt-PT"/>
        </w:rPr>
        <w:t>semanas. O seu médico irá decidir quando deve receber a próxima dose.</w:t>
      </w:r>
    </w:p>
    <w:p w14:paraId="61DEBE45" w14:textId="77777777" w:rsidR="00E03ECE" w:rsidRPr="00110D6C" w:rsidRDefault="00E03ECE" w:rsidP="00A17623">
      <w:pPr>
        <w:widowControl/>
        <w:rPr>
          <w:rFonts w:cs="Times New Roman"/>
          <w:bCs/>
          <w:color w:val="auto"/>
          <w:szCs w:val="22"/>
          <w:lang w:val="pt-PT"/>
        </w:rPr>
      </w:pPr>
      <w:bookmarkStart w:id="159" w:name="bookmark272"/>
    </w:p>
    <w:p w14:paraId="39363E66"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Crianças e adolescentes com idade igual ou superior a </w:t>
      </w:r>
      <w:r w:rsidR="00B910F9" w:rsidRPr="00110D6C">
        <w:rPr>
          <w:rFonts w:cs="Times New Roman"/>
          <w:b/>
          <w:bCs/>
          <w:color w:val="auto"/>
          <w:szCs w:val="22"/>
          <w:lang w:val="pt-PT"/>
        </w:rPr>
        <w:t>6 </w:t>
      </w:r>
      <w:r w:rsidRPr="00110D6C">
        <w:rPr>
          <w:rFonts w:cs="Times New Roman"/>
          <w:b/>
          <w:bCs/>
          <w:color w:val="auto"/>
          <w:szCs w:val="22"/>
          <w:lang w:val="pt-PT"/>
        </w:rPr>
        <w:t>anos</w:t>
      </w:r>
      <w:bookmarkEnd w:id="159"/>
    </w:p>
    <w:p w14:paraId="7104A705"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Psoríase</w:t>
      </w:r>
    </w:p>
    <w:p w14:paraId="5A884E18" w14:textId="65EAB0A1"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 xml:space="preserve">O médico irá determinar a dose indicada para si, incluindo a quantidade (volume) de </w:t>
      </w:r>
      <w:r w:rsidR="00D50CFA">
        <w:rPr>
          <w:rFonts w:cs="Times New Roman"/>
          <w:color w:val="auto"/>
          <w:szCs w:val="22"/>
          <w:lang w:val="pt-PT"/>
        </w:rPr>
        <w:t>Fymskina</w:t>
      </w:r>
      <w:r w:rsidRPr="00110D6C">
        <w:rPr>
          <w:rFonts w:cs="Times New Roman"/>
          <w:color w:val="auto"/>
          <w:szCs w:val="22"/>
          <w:lang w:val="pt-PT"/>
        </w:rPr>
        <w:t xml:space="preserve"> a</w:t>
      </w:r>
      <w:r w:rsidR="00E03ECE" w:rsidRPr="00110D6C">
        <w:rPr>
          <w:rFonts w:cs="Times New Roman"/>
          <w:color w:val="auto"/>
          <w:szCs w:val="22"/>
          <w:lang w:val="pt-PT"/>
        </w:rPr>
        <w:t xml:space="preserve"> </w:t>
      </w:r>
      <w:r w:rsidRPr="00110D6C">
        <w:rPr>
          <w:rFonts w:cs="Times New Roman"/>
          <w:color w:val="auto"/>
          <w:szCs w:val="22"/>
          <w:lang w:val="pt-PT"/>
        </w:rPr>
        <w:t>ser injetado para administrar a dose indicada. A dose indicada para si irá depender do seu peso corporal no momento em que cada dose é administrada.</w:t>
      </w:r>
    </w:p>
    <w:p w14:paraId="4D857AE0" w14:textId="12E3050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Se pesa menos de 6</w:t>
      </w:r>
      <w:r w:rsidR="00B910F9" w:rsidRPr="00110D6C">
        <w:rPr>
          <w:rFonts w:cs="Times New Roman"/>
          <w:color w:val="auto"/>
          <w:szCs w:val="22"/>
          <w:lang w:val="pt-PT"/>
        </w:rPr>
        <w:t>0 </w:t>
      </w:r>
      <w:r w:rsidRPr="00110D6C">
        <w:rPr>
          <w:rFonts w:cs="Times New Roman"/>
          <w:color w:val="auto"/>
          <w:szCs w:val="22"/>
          <w:lang w:val="pt-PT"/>
        </w:rPr>
        <w:t xml:space="preserve">kg, </w:t>
      </w:r>
      <w:r w:rsidR="00BB3454">
        <w:rPr>
          <w:rFonts w:cs="Times New Roman"/>
          <w:color w:val="auto"/>
          <w:szCs w:val="22"/>
          <w:lang w:val="pt-PT"/>
        </w:rPr>
        <w:t>não existe uma formulação de Fymskina para crianças com menos de 60 </w:t>
      </w:r>
      <w:r w:rsidRPr="00110D6C">
        <w:rPr>
          <w:rFonts w:cs="Times New Roman"/>
          <w:color w:val="auto"/>
          <w:szCs w:val="22"/>
          <w:lang w:val="pt-PT"/>
        </w:rPr>
        <w:t>kg de peso corporal</w:t>
      </w:r>
      <w:r w:rsidR="00BB3454">
        <w:rPr>
          <w:rFonts w:cs="Times New Roman"/>
          <w:color w:val="auto"/>
          <w:szCs w:val="22"/>
          <w:lang w:val="pt-PT"/>
        </w:rPr>
        <w:t xml:space="preserve"> e, por isso, devem ser utilizados outros medicamentos contendo ustecinumab</w:t>
      </w:r>
      <w:r w:rsidRPr="00110D6C">
        <w:rPr>
          <w:rFonts w:cs="Times New Roman"/>
          <w:color w:val="auto"/>
          <w:szCs w:val="22"/>
          <w:lang w:val="pt-PT"/>
        </w:rPr>
        <w:t>.</w:t>
      </w:r>
    </w:p>
    <w:p w14:paraId="14C7B653" w14:textId="2A448734"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Se pesa entre 6</w:t>
      </w:r>
      <w:r w:rsidR="00B910F9" w:rsidRPr="00110D6C">
        <w:rPr>
          <w:rFonts w:cs="Times New Roman"/>
          <w:color w:val="auto"/>
          <w:szCs w:val="22"/>
          <w:lang w:val="pt-PT"/>
        </w:rPr>
        <w:t>0 </w:t>
      </w:r>
      <w:r w:rsidRPr="00110D6C">
        <w:rPr>
          <w:rFonts w:cs="Times New Roman"/>
          <w:color w:val="auto"/>
          <w:szCs w:val="22"/>
          <w:lang w:val="pt-PT"/>
        </w:rPr>
        <w:t>kg a 10</w:t>
      </w:r>
      <w:r w:rsidR="00B910F9" w:rsidRPr="00110D6C">
        <w:rPr>
          <w:rFonts w:cs="Times New Roman"/>
          <w:color w:val="auto"/>
          <w:szCs w:val="22"/>
          <w:lang w:val="pt-PT"/>
        </w:rPr>
        <w:t>0 </w:t>
      </w:r>
      <w:r w:rsidRPr="00110D6C">
        <w:rPr>
          <w:rFonts w:cs="Times New Roman"/>
          <w:color w:val="auto"/>
          <w:szCs w:val="22"/>
          <w:lang w:val="pt-PT"/>
        </w:rPr>
        <w:t>kg, a dose recomendada é de 4</w:t>
      </w:r>
      <w:r w:rsidR="00B910F9" w:rsidRPr="00110D6C">
        <w:rPr>
          <w:rFonts w:cs="Times New Roman"/>
          <w:color w:val="auto"/>
          <w:szCs w:val="22"/>
          <w:lang w:val="pt-PT"/>
        </w:rPr>
        <w:t>5 </w:t>
      </w:r>
      <w:r w:rsidRPr="00110D6C">
        <w:rPr>
          <w:rFonts w:cs="Times New Roman"/>
          <w:color w:val="auto"/>
          <w:szCs w:val="22"/>
          <w:lang w:val="pt-PT"/>
        </w:rPr>
        <w:t xml:space="preserve">mg de </w:t>
      </w:r>
      <w:r w:rsidR="00D50CFA">
        <w:rPr>
          <w:rFonts w:cs="Times New Roman"/>
          <w:color w:val="auto"/>
          <w:szCs w:val="22"/>
          <w:lang w:val="pt-PT"/>
        </w:rPr>
        <w:t>Fymskina</w:t>
      </w:r>
      <w:r w:rsidRPr="00110D6C">
        <w:rPr>
          <w:rFonts w:cs="Times New Roman"/>
          <w:color w:val="auto"/>
          <w:szCs w:val="22"/>
          <w:lang w:val="pt-PT"/>
        </w:rPr>
        <w:t>.</w:t>
      </w:r>
    </w:p>
    <w:p w14:paraId="4CAA448D" w14:textId="2203AF6F"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Se pesa mais de 10</w:t>
      </w:r>
      <w:r w:rsidR="00B910F9" w:rsidRPr="00110D6C">
        <w:rPr>
          <w:rFonts w:cs="Times New Roman"/>
          <w:color w:val="auto"/>
          <w:szCs w:val="22"/>
          <w:lang w:val="pt-PT"/>
        </w:rPr>
        <w:t>0 </w:t>
      </w:r>
      <w:r w:rsidRPr="00110D6C">
        <w:rPr>
          <w:rFonts w:cs="Times New Roman"/>
          <w:color w:val="auto"/>
          <w:szCs w:val="22"/>
          <w:lang w:val="pt-PT"/>
        </w:rPr>
        <w:t>kg, a dose recomendada é de 9</w:t>
      </w:r>
      <w:r w:rsidR="00B910F9" w:rsidRPr="00110D6C">
        <w:rPr>
          <w:rFonts w:cs="Times New Roman"/>
          <w:color w:val="auto"/>
          <w:szCs w:val="22"/>
          <w:lang w:val="pt-PT"/>
        </w:rPr>
        <w:t>0 </w:t>
      </w:r>
      <w:r w:rsidRPr="00110D6C">
        <w:rPr>
          <w:rFonts w:cs="Times New Roman"/>
          <w:color w:val="auto"/>
          <w:szCs w:val="22"/>
          <w:lang w:val="pt-PT"/>
        </w:rPr>
        <w:t xml:space="preserve">mg de </w:t>
      </w:r>
      <w:r w:rsidR="00D50CFA">
        <w:rPr>
          <w:rFonts w:cs="Times New Roman"/>
          <w:color w:val="auto"/>
          <w:szCs w:val="22"/>
          <w:lang w:val="pt-PT"/>
        </w:rPr>
        <w:t>Fymskina</w:t>
      </w:r>
      <w:r w:rsidRPr="00110D6C">
        <w:rPr>
          <w:rFonts w:cs="Times New Roman"/>
          <w:color w:val="auto"/>
          <w:szCs w:val="22"/>
          <w:lang w:val="pt-PT"/>
        </w:rPr>
        <w:t>.</w:t>
      </w:r>
    </w:p>
    <w:p w14:paraId="3B14AA1E" w14:textId="77777777"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 xml:space="preserve">Após a dose inicial, receberá a próxima dose </w:t>
      </w:r>
      <w:r w:rsidR="00B910F9" w:rsidRPr="00110D6C">
        <w:rPr>
          <w:rFonts w:cs="Times New Roman"/>
          <w:color w:val="auto"/>
          <w:szCs w:val="22"/>
          <w:lang w:val="pt-PT"/>
        </w:rPr>
        <w:t>4 </w:t>
      </w:r>
      <w:r w:rsidRPr="00110D6C">
        <w:rPr>
          <w:rFonts w:cs="Times New Roman"/>
          <w:color w:val="auto"/>
          <w:szCs w:val="22"/>
          <w:lang w:val="pt-PT"/>
        </w:rPr>
        <w:t>semanas mais tarde, e depois a cada 1</w:t>
      </w:r>
      <w:r w:rsidR="00B910F9" w:rsidRPr="00110D6C">
        <w:rPr>
          <w:rFonts w:cs="Times New Roman"/>
          <w:color w:val="auto"/>
          <w:szCs w:val="22"/>
          <w:lang w:val="pt-PT"/>
        </w:rPr>
        <w:t>2 </w:t>
      </w:r>
      <w:r w:rsidRPr="00110D6C">
        <w:rPr>
          <w:rFonts w:cs="Times New Roman"/>
          <w:color w:val="auto"/>
          <w:szCs w:val="22"/>
          <w:lang w:val="pt-PT"/>
        </w:rPr>
        <w:t>semanas.</w:t>
      </w:r>
    </w:p>
    <w:p w14:paraId="22CF1306" w14:textId="77777777" w:rsidR="00E03ECE" w:rsidRPr="00110D6C" w:rsidRDefault="00E03ECE" w:rsidP="00A17623">
      <w:pPr>
        <w:widowControl/>
        <w:rPr>
          <w:rFonts w:cs="Times New Roman"/>
          <w:bCs/>
          <w:color w:val="auto"/>
          <w:szCs w:val="22"/>
          <w:lang w:val="pt-PT"/>
        </w:rPr>
      </w:pPr>
      <w:bookmarkStart w:id="160" w:name="bookmark275"/>
    </w:p>
    <w:p w14:paraId="7D1983A6" w14:textId="026DEB20"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Como é administrado </w:t>
      </w:r>
      <w:bookmarkEnd w:id="160"/>
      <w:r w:rsidR="00D50CFA">
        <w:rPr>
          <w:rFonts w:cs="Times New Roman"/>
          <w:b/>
          <w:bCs/>
          <w:color w:val="auto"/>
          <w:szCs w:val="22"/>
          <w:lang w:val="pt-PT"/>
        </w:rPr>
        <w:t>Fymskina</w:t>
      </w:r>
    </w:p>
    <w:p w14:paraId="56DC7987" w14:textId="3CCA9B16" w:rsidR="0077031F" w:rsidRPr="00110D6C" w:rsidRDefault="00D50CFA" w:rsidP="00D74B6E">
      <w:pPr>
        <w:pStyle w:val="Listenabsatz"/>
        <w:widowControl/>
        <w:numPr>
          <w:ilvl w:val="0"/>
          <w:numId w:val="7"/>
        </w:numPr>
        <w:ind w:left="567" w:hanging="567"/>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é administrado com uma injeção por baixo da pele (“via subcutânea”). No início do seu</w:t>
      </w:r>
      <w:r w:rsidR="00E03ECE" w:rsidRPr="00110D6C">
        <w:rPr>
          <w:rFonts w:cs="Times New Roman"/>
          <w:color w:val="auto"/>
          <w:szCs w:val="22"/>
          <w:lang w:val="pt-PT"/>
        </w:rPr>
        <w:t xml:space="preserve"> </w:t>
      </w:r>
      <w:r w:rsidR="00030085" w:rsidRPr="00110D6C">
        <w:rPr>
          <w:rFonts w:cs="Times New Roman"/>
          <w:color w:val="auto"/>
          <w:szCs w:val="22"/>
          <w:lang w:val="pt-PT"/>
        </w:rPr>
        <w:t xml:space="preserve">tratamento, o pessoal médico ou de enfermagem podem injetar-lhe </w:t>
      </w:r>
      <w:r>
        <w:rPr>
          <w:rFonts w:cs="Times New Roman"/>
          <w:color w:val="auto"/>
          <w:szCs w:val="22"/>
          <w:lang w:val="pt-PT"/>
        </w:rPr>
        <w:t>Fymskina</w:t>
      </w:r>
      <w:r w:rsidR="00030085" w:rsidRPr="00110D6C">
        <w:rPr>
          <w:rFonts w:cs="Times New Roman"/>
          <w:color w:val="auto"/>
          <w:szCs w:val="22"/>
          <w:lang w:val="pt-PT"/>
        </w:rPr>
        <w:t>.</w:t>
      </w:r>
    </w:p>
    <w:p w14:paraId="632F248E" w14:textId="46FFE419"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 xml:space="preserve">No entanto, você e o seu médico podem decidir que é capaz de administrar a sua própria injeção de </w:t>
      </w:r>
      <w:r w:rsidR="00D50CFA">
        <w:rPr>
          <w:rFonts w:cs="Times New Roman"/>
          <w:color w:val="auto"/>
          <w:szCs w:val="22"/>
          <w:lang w:val="pt-PT"/>
        </w:rPr>
        <w:t>Fymskina</w:t>
      </w:r>
      <w:r w:rsidRPr="00110D6C">
        <w:rPr>
          <w:rFonts w:cs="Times New Roman"/>
          <w:color w:val="auto"/>
          <w:szCs w:val="22"/>
          <w:lang w:val="pt-PT"/>
        </w:rPr>
        <w:t xml:space="preserve">. Neste caso, irá ser instruído sobre como injetar </w:t>
      </w:r>
      <w:r w:rsidR="00D50CFA">
        <w:rPr>
          <w:rFonts w:cs="Times New Roman"/>
          <w:color w:val="auto"/>
          <w:szCs w:val="22"/>
          <w:lang w:val="pt-PT"/>
        </w:rPr>
        <w:t>Fymskina</w:t>
      </w:r>
      <w:r w:rsidRPr="00110D6C">
        <w:rPr>
          <w:rFonts w:cs="Times New Roman"/>
          <w:color w:val="auto"/>
          <w:szCs w:val="22"/>
          <w:lang w:val="pt-PT"/>
        </w:rPr>
        <w:t xml:space="preserve"> a si próprio.</w:t>
      </w:r>
      <w:r w:rsidR="00BB3454">
        <w:rPr>
          <w:rFonts w:cs="Times New Roman"/>
          <w:color w:val="auto"/>
          <w:szCs w:val="22"/>
          <w:lang w:val="pt-PT"/>
        </w:rPr>
        <w:t xml:space="preserve"> Em crianças com 6 anos de idade ou mais, recomenda-se que Fymskina seja administrado por um profissional de saúde ou cuidador após devida formação.</w:t>
      </w:r>
    </w:p>
    <w:p w14:paraId="229A46BC" w14:textId="61DE70BE" w:rsidR="0077031F"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 xml:space="preserve">Para instruções sobre como injetar </w:t>
      </w:r>
      <w:r w:rsidR="00D50CFA">
        <w:rPr>
          <w:rFonts w:cs="Times New Roman"/>
          <w:color w:val="auto"/>
          <w:szCs w:val="22"/>
          <w:lang w:val="pt-PT"/>
        </w:rPr>
        <w:t>Fymskina</w:t>
      </w:r>
      <w:r w:rsidRPr="00110D6C">
        <w:rPr>
          <w:rFonts w:cs="Times New Roman"/>
          <w:color w:val="auto"/>
          <w:szCs w:val="22"/>
          <w:lang w:val="pt-PT"/>
        </w:rPr>
        <w:t>, ver “Instruções para administração” no final deste</w:t>
      </w:r>
      <w:r w:rsidR="00E03ECE" w:rsidRPr="00110D6C">
        <w:rPr>
          <w:rFonts w:cs="Times New Roman"/>
          <w:color w:val="auto"/>
          <w:szCs w:val="22"/>
          <w:lang w:val="pt-PT"/>
        </w:rPr>
        <w:t xml:space="preserve"> </w:t>
      </w:r>
      <w:r w:rsidRPr="00110D6C">
        <w:rPr>
          <w:rFonts w:cs="Times New Roman"/>
          <w:color w:val="auto"/>
          <w:szCs w:val="22"/>
          <w:lang w:val="pt-PT"/>
        </w:rPr>
        <w:t>folheto informativo.</w:t>
      </w:r>
    </w:p>
    <w:p w14:paraId="13986A66"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Fale com o seu médico se tiver qualquer dúvida sobre a administração da injeção a si próprio.</w:t>
      </w:r>
    </w:p>
    <w:p w14:paraId="59368533" w14:textId="77777777" w:rsidR="00E03ECE" w:rsidRPr="00110D6C" w:rsidRDefault="00E03ECE" w:rsidP="00A17623">
      <w:pPr>
        <w:widowControl/>
        <w:rPr>
          <w:rFonts w:cs="Times New Roman"/>
          <w:bCs/>
          <w:color w:val="auto"/>
          <w:szCs w:val="22"/>
          <w:lang w:val="pt-PT"/>
        </w:rPr>
      </w:pPr>
      <w:bookmarkStart w:id="161" w:name="bookmark277"/>
    </w:p>
    <w:p w14:paraId="1BA0CD92" w14:textId="2D9804D0" w:rsidR="0077031F" w:rsidRPr="00110D6C" w:rsidRDefault="00030085" w:rsidP="00E03ECE">
      <w:pPr>
        <w:keepNext/>
        <w:keepLines/>
        <w:widowControl/>
        <w:rPr>
          <w:rFonts w:cs="Times New Roman"/>
          <w:color w:val="auto"/>
          <w:szCs w:val="22"/>
          <w:lang w:val="pt-PT"/>
        </w:rPr>
      </w:pPr>
      <w:r w:rsidRPr="00110D6C">
        <w:rPr>
          <w:rFonts w:cs="Times New Roman"/>
          <w:b/>
          <w:bCs/>
          <w:color w:val="auto"/>
          <w:szCs w:val="22"/>
          <w:lang w:val="pt-PT"/>
        </w:rPr>
        <w:t xml:space="preserve">Se utilizar mais </w:t>
      </w:r>
      <w:r w:rsidR="00D50CFA">
        <w:rPr>
          <w:rFonts w:cs="Times New Roman"/>
          <w:b/>
          <w:bCs/>
          <w:color w:val="auto"/>
          <w:szCs w:val="22"/>
          <w:lang w:val="pt-PT"/>
        </w:rPr>
        <w:t>Fymskina</w:t>
      </w:r>
      <w:r w:rsidRPr="00110D6C">
        <w:rPr>
          <w:rFonts w:cs="Times New Roman"/>
          <w:b/>
          <w:bCs/>
          <w:color w:val="auto"/>
          <w:szCs w:val="22"/>
          <w:lang w:val="pt-PT"/>
        </w:rPr>
        <w:t xml:space="preserve"> do que deveria</w:t>
      </w:r>
      <w:bookmarkEnd w:id="161"/>
    </w:p>
    <w:p w14:paraId="02FB1DEE" w14:textId="1EC9B32C"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Caso tenha utilizado ou lhe tenha sido administrado mais </w:t>
      </w:r>
      <w:r w:rsidR="00D50CFA">
        <w:rPr>
          <w:rFonts w:cs="Times New Roman"/>
          <w:color w:val="auto"/>
          <w:szCs w:val="22"/>
          <w:lang w:val="pt-PT"/>
        </w:rPr>
        <w:t>Fymskina</w:t>
      </w:r>
      <w:r w:rsidRPr="00110D6C">
        <w:rPr>
          <w:rFonts w:cs="Times New Roman"/>
          <w:color w:val="auto"/>
          <w:szCs w:val="22"/>
          <w:lang w:val="pt-PT"/>
        </w:rPr>
        <w:t xml:space="preserve"> do que deveria, informe imediatamente um médico ou farmacêutico. Tenha sempre a embalagem exterior do medicamento consigo, mesmo que esteja vazia.</w:t>
      </w:r>
    </w:p>
    <w:p w14:paraId="76B7D64D" w14:textId="77777777" w:rsidR="00E03ECE" w:rsidRPr="00110D6C" w:rsidRDefault="00E03ECE" w:rsidP="00A17623">
      <w:pPr>
        <w:widowControl/>
        <w:rPr>
          <w:rFonts w:cs="Times New Roman"/>
          <w:bCs/>
          <w:color w:val="auto"/>
          <w:szCs w:val="22"/>
          <w:lang w:val="pt-PT"/>
        </w:rPr>
      </w:pPr>
      <w:bookmarkStart w:id="162" w:name="bookmark279"/>
    </w:p>
    <w:p w14:paraId="05A53393" w14:textId="3AEB63D8"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Caso se tenha esquecido de utilizar </w:t>
      </w:r>
      <w:bookmarkEnd w:id="162"/>
      <w:r w:rsidR="00D50CFA">
        <w:rPr>
          <w:rFonts w:cs="Times New Roman"/>
          <w:b/>
          <w:bCs/>
          <w:color w:val="auto"/>
          <w:szCs w:val="22"/>
          <w:lang w:val="pt-PT"/>
        </w:rPr>
        <w:t>Fymskina</w:t>
      </w:r>
    </w:p>
    <w:p w14:paraId="2DB852AA"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Caso se tenha esquecido de uma dose, contacte o seu médico ou farmacêutico. Não tome uma dose a dobrar para compensar uma dose que se esqueceu de tomar.</w:t>
      </w:r>
    </w:p>
    <w:p w14:paraId="13480972" w14:textId="77777777" w:rsidR="00E03ECE" w:rsidRPr="00110D6C" w:rsidRDefault="00E03ECE" w:rsidP="00A17623">
      <w:pPr>
        <w:widowControl/>
        <w:rPr>
          <w:rFonts w:cs="Times New Roman"/>
          <w:bCs/>
          <w:color w:val="auto"/>
          <w:szCs w:val="22"/>
          <w:lang w:val="pt-PT"/>
        </w:rPr>
      </w:pPr>
      <w:bookmarkStart w:id="163" w:name="bookmark281"/>
    </w:p>
    <w:p w14:paraId="4D9F0B0B" w14:textId="46ED006E"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Se parar de utilizar </w:t>
      </w:r>
      <w:bookmarkEnd w:id="163"/>
      <w:r w:rsidR="00D50CFA">
        <w:rPr>
          <w:rFonts w:cs="Times New Roman"/>
          <w:b/>
          <w:bCs/>
          <w:color w:val="auto"/>
          <w:szCs w:val="22"/>
          <w:lang w:val="pt-PT"/>
        </w:rPr>
        <w:t>Fymskina</w:t>
      </w:r>
    </w:p>
    <w:p w14:paraId="69777A6A" w14:textId="08167596"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Não é perigoso deixar de utilizar </w:t>
      </w:r>
      <w:r w:rsidR="00D50CFA">
        <w:rPr>
          <w:rFonts w:cs="Times New Roman"/>
          <w:color w:val="auto"/>
          <w:szCs w:val="22"/>
          <w:lang w:val="pt-PT"/>
        </w:rPr>
        <w:t>Fymskina</w:t>
      </w:r>
      <w:r w:rsidRPr="00110D6C">
        <w:rPr>
          <w:rFonts w:cs="Times New Roman"/>
          <w:color w:val="auto"/>
          <w:szCs w:val="22"/>
          <w:lang w:val="pt-PT"/>
        </w:rPr>
        <w:t>. No entanto, se parar, os seus sintomas podem voltar.</w:t>
      </w:r>
    </w:p>
    <w:p w14:paraId="42BAB959"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Caso ainda tenha dúvidas sobre a utilização deste medicamento, fale com o seu médico ou farmacêutico.</w:t>
      </w:r>
    </w:p>
    <w:p w14:paraId="106569D2" w14:textId="77777777" w:rsidR="00E03ECE" w:rsidRPr="00110D6C" w:rsidRDefault="00E03ECE" w:rsidP="00A17623">
      <w:pPr>
        <w:widowControl/>
        <w:rPr>
          <w:rFonts w:cs="Times New Roman"/>
          <w:bCs/>
          <w:color w:val="auto"/>
          <w:szCs w:val="22"/>
          <w:lang w:val="pt-PT"/>
        </w:rPr>
      </w:pPr>
      <w:bookmarkStart w:id="164" w:name="bookmark283"/>
    </w:p>
    <w:p w14:paraId="1D9952A4" w14:textId="77777777" w:rsidR="00E03ECE" w:rsidRPr="00110D6C" w:rsidRDefault="00E03ECE" w:rsidP="00A17623">
      <w:pPr>
        <w:widowControl/>
        <w:rPr>
          <w:rFonts w:cs="Times New Roman"/>
          <w:bCs/>
          <w:color w:val="auto"/>
          <w:szCs w:val="22"/>
          <w:lang w:val="pt-PT"/>
        </w:rPr>
      </w:pPr>
    </w:p>
    <w:p w14:paraId="1E041DA5" w14:textId="77777777" w:rsidR="0077031F" w:rsidRPr="00110D6C" w:rsidRDefault="00030085" w:rsidP="00E03ECE">
      <w:pPr>
        <w:widowControl/>
        <w:ind w:left="567" w:hanging="567"/>
        <w:rPr>
          <w:rFonts w:cs="Times New Roman"/>
          <w:color w:val="auto"/>
          <w:szCs w:val="22"/>
          <w:lang w:val="pt-PT"/>
        </w:rPr>
      </w:pPr>
      <w:r w:rsidRPr="00110D6C">
        <w:rPr>
          <w:rFonts w:cs="Times New Roman"/>
          <w:b/>
          <w:bCs/>
          <w:color w:val="auto"/>
          <w:szCs w:val="22"/>
          <w:lang w:val="pt-PT"/>
        </w:rPr>
        <w:t>4.</w:t>
      </w:r>
      <w:r w:rsidR="00E03ECE" w:rsidRPr="00110D6C">
        <w:rPr>
          <w:rFonts w:cs="Times New Roman"/>
          <w:b/>
          <w:bCs/>
          <w:color w:val="auto"/>
          <w:szCs w:val="22"/>
          <w:lang w:val="pt-PT"/>
        </w:rPr>
        <w:tab/>
      </w:r>
      <w:r w:rsidRPr="00110D6C">
        <w:rPr>
          <w:rFonts w:cs="Times New Roman"/>
          <w:b/>
          <w:bCs/>
          <w:color w:val="auto"/>
          <w:szCs w:val="22"/>
          <w:lang w:val="pt-PT"/>
        </w:rPr>
        <w:t>Efeitos indesejáveis possíveis</w:t>
      </w:r>
      <w:bookmarkEnd w:id="164"/>
    </w:p>
    <w:p w14:paraId="1EF20209" w14:textId="77777777" w:rsidR="00E03ECE" w:rsidRPr="00110D6C" w:rsidRDefault="00E03ECE" w:rsidP="00A17623">
      <w:pPr>
        <w:widowControl/>
        <w:rPr>
          <w:rFonts w:cs="Times New Roman"/>
          <w:color w:val="auto"/>
          <w:szCs w:val="22"/>
          <w:lang w:val="pt-PT"/>
        </w:rPr>
      </w:pPr>
    </w:p>
    <w:p w14:paraId="4544C47F"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Como todos os medicamentos, este medicamento pode causar efeitos indesejáveis, embora estes não se manifestem em todas as pessoas.</w:t>
      </w:r>
    </w:p>
    <w:p w14:paraId="7A3322EF" w14:textId="77777777" w:rsidR="00E03ECE" w:rsidRPr="00110D6C" w:rsidRDefault="00E03ECE" w:rsidP="00A17623">
      <w:pPr>
        <w:widowControl/>
        <w:rPr>
          <w:rFonts w:cs="Times New Roman"/>
          <w:color w:val="auto"/>
          <w:szCs w:val="22"/>
          <w:lang w:val="pt-PT"/>
        </w:rPr>
      </w:pPr>
    </w:p>
    <w:p w14:paraId="16D0331F" w14:textId="77777777" w:rsidR="0077031F" w:rsidRPr="00110D6C" w:rsidRDefault="00030085" w:rsidP="00A17623">
      <w:pPr>
        <w:widowControl/>
        <w:rPr>
          <w:rFonts w:cs="Times New Roman"/>
          <w:color w:val="auto"/>
          <w:szCs w:val="22"/>
          <w:lang w:val="pt-PT"/>
        </w:rPr>
      </w:pPr>
      <w:bookmarkStart w:id="165" w:name="bookmark285"/>
      <w:r w:rsidRPr="00110D6C">
        <w:rPr>
          <w:rFonts w:cs="Times New Roman"/>
          <w:b/>
          <w:bCs/>
          <w:color w:val="auto"/>
          <w:szCs w:val="22"/>
          <w:lang w:val="pt-PT"/>
        </w:rPr>
        <w:t>Efeitos indesejáveis graves</w:t>
      </w:r>
      <w:bookmarkEnd w:id="165"/>
    </w:p>
    <w:p w14:paraId="4C45EF52"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Alguns doentes têm efeitos indesejáveis graves que podem necessitar de tratamento urgente.</w:t>
      </w:r>
    </w:p>
    <w:p w14:paraId="31FB0C6F" w14:textId="77777777" w:rsidR="00E03ECE" w:rsidRPr="00110D6C" w:rsidRDefault="00E03ECE" w:rsidP="00A17623">
      <w:pPr>
        <w:widowControl/>
        <w:rPr>
          <w:rFonts w:cs="Times New Roman"/>
          <w:bCs/>
          <w:color w:val="auto"/>
          <w:szCs w:val="22"/>
          <w:lang w:val="pt-PT"/>
        </w:rPr>
      </w:pPr>
      <w:bookmarkStart w:id="166" w:name="bookmark287"/>
    </w:p>
    <w:p w14:paraId="0718CA88"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Reações alérgicas - pode necessitar de tratamento médico urgente. Fale com o seu médico ou tenha ajuda de emergência médica se notar algum dos seguintes sinais.</w:t>
      </w:r>
      <w:bookmarkEnd w:id="166"/>
    </w:p>
    <w:p w14:paraId="5D1E6C77" w14:textId="60A9B7CF" w:rsidR="00E03ECE" w:rsidRPr="00110D6C" w:rsidRDefault="00030085" w:rsidP="00D74B6E">
      <w:pPr>
        <w:pStyle w:val="Listenabsatz"/>
        <w:widowControl/>
        <w:numPr>
          <w:ilvl w:val="0"/>
          <w:numId w:val="7"/>
        </w:numPr>
        <w:ind w:left="567" w:hanging="567"/>
        <w:rPr>
          <w:rFonts w:cs="Times New Roman"/>
          <w:color w:val="auto"/>
          <w:szCs w:val="22"/>
          <w:lang w:val="pt-PT"/>
        </w:rPr>
      </w:pPr>
      <w:r w:rsidRPr="00110D6C">
        <w:rPr>
          <w:rFonts w:cs="Times New Roman"/>
          <w:color w:val="auto"/>
          <w:szCs w:val="22"/>
          <w:lang w:val="pt-PT"/>
        </w:rPr>
        <w:t xml:space="preserve">Reações alérgicas graves (“anafilaxia”) são raras em pessoas que estão a utilizar </w:t>
      </w:r>
      <w:r w:rsidR="00D10811">
        <w:rPr>
          <w:rFonts w:cs="Times New Roman"/>
          <w:color w:val="auto"/>
          <w:szCs w:val="22"/>
          <w:lang w:val="pt-PT"/>
        </w:rPr>
        <w:t>medicamentos contendo ustecinumab</w:t>
      </w:r>
      <w:r w:rsidR="00E03ECE" w:rsidRPr="00110D6C">
        <w:rPr>
          <w:rFonts w:cs="Times New Roman"/>
          <w:color w:val="auto"/>
          <w:szCs w:val="22"/>
          <w:lang w:val="pt-PT"/>
        </w:rPr>
        <w:t xml:space="preserve"> </w:t>
      </w:r>
      <w:r w:rsidRPr="00110D6C">
        <w:rPr>
          <w:rFonts w:cs="Times New Roman"/>
          <w:color w:val="auto"/>
          <w:szCs w:val="22"/>
          <w:lang w:val="pt-PT"/>
        </w:rPr>
        <w:t xml:space="preserve">(pode afetar até </w:t>
      </w:r>
      <w:r w:rsidR="00B910F9" w:rsidRPr="00110D6C">
        <w:rPr>
          <w:rFonts w:cs="Times New Roman"/>
          <w:color w:val="auto"/>
          <w:szCs w:val="22"/>
          <w:lang w:val="pt-PT"/>
        </w:rPr>
        <w:t>1 </w:t>
      </w:r>
      <w:r w:rsidRPr="00110D6C">
        <w:rPr>
          <w:rFonts w:cs="Times New Roman"/>
          <w:color w:val="auto"/>
          <w:szCs w:val="22"/>
          <w:lang w:val="pt-PT"/>
        </w:rPr>
        <w:t>em cada 100</w:t>
      </w:r>
      <w:r w:rsidR="00B910F9" w:rsidRPr="00110D6C">
        <w:rPr>
          <w:rFonts w:cs="Times New Roman"/>
          <w:color w:val="auto"/>
          <w:szCs w:val="22"/>
          <w:lang w:val="pt-PT"/>
        </w:rPr>
        <w:t>0 </w:t>
      </w:r>
      <w:r w:rsidRPr="00110D6C">
        <w:rPr>
          <w:rFonts w:cs="Times New Roman"/>
          <w:color w:val="auto"/>
          <w:szCs w:val="22"/>
          <w:lang w:val="pt-PT"/>
        </w:rPr>
        <w:t>pessoas). Estes sinais incluem:</w:t>
      </w:r>
    </w:p>
    <w:p w14:paraId="7333FFBF" w14:textId="77777777" w:rsidR="0077031F" w:rsidRPr="00110D6C" w:rsidRDefault="00030085" w:rsidP="00D74B6E">
      <w:pPr>
        <w:pStyle w:val="Listenabsatz"/>
        <w:widowControl/>
        <w:numPr>
          <w:ilvl w:val="0"/>
          <w:numId w:val="9"/>
        </w:numPr>
        <w:ind w:left="567" w:hanging="567"/>
        <w:rPr>
          <w:rFonts w:cs="Times New Roman"/>
          <w:color w:val="auto"/>
          <w:szCs w:val="22"/>
          <w:lang w:val="pt-PT"/>
        </w:rPr>
      </w:pPr>
      <w:r w:rsidRPr="00110D6C">
        <w:rPr>
          <w:rFonts w:cs="Times New Roman"/>
          <w:color w:val="auto"/>
          <w:szCs w:val="22"/>
          <w:lang w:val="pt-PT"/>
        </w:rPr>
        <w:t>dificuldade em respirar ou engolir</w:t>
      </w:r>
    </w:p>
    <w:p w14:paraId="2CE73F85" w14:textId="77777777" w:rsidR="0077031F" w:rsidRPr="00110D6C" w:rsidRDefault="00030085" w:rsidP="00D74B6E">
      <w:pPr>
        <w:pStyle w:val="Listenabsatz"/>
        <w:widowControl/>
        <w:numPr>
          <w:ilvl w:val="0"/>
          <w:numId w:val="9"/>
        </w:numPr>
        <w:ind w:left="567" w:hanging="567"/>
        <w:rPr>
          <w:rFonts w:cs="Times New Roman"/>
          <w:color w:val="auto"/>
          <w:szCs w:val="22"/>
          <w:lang w:val="pt-PT"/>
        </w:rPr>
      </w:pPr>
      <w:r w:rsidRPr="00110D6C">
        <w:rPr>
          <w:rFonts w:cs="Times New Roman"/>
          <w:color w:val="auto"/>
          <w:szCs w:val="22"/>
          <w:lang w:val="pt-PT"/>
        </w:rPr>
        <w:t>tensão arterial baixa, o que pode causar vertigens ou tonturas</w:t>
      </w:r>
    </w:p>
    <w:p w14:paraId="3E7C91FB" w14:textId="77777777" w:rsidR="0077031F" w:rsidRPr="00110D6C" w:rsidRDefault="00030085" w:rsidP="00D74B6E">
      <w:pPr>
        <w:pStyle w:val="Listenabsatz"/>
        <w:widowControl/>
        <w:numPr>
          <w:ilvl w:val="0"/>
          <w:numId w:val="9"/>
        </w:numPr>
        <w:ind w:left="567" w:hanging="567"/>
        <w:rPr>
          <w:rFonts w:cs="Times New Roman"/>
          <w:color w:val="auto"/>
          <w:szCs w:val="22"/>
          <w:lang w:val="pt-PT"/>
        </w:rPr>
      </w:pPr>
      <w:r w:rsidRPr="00110D6C">
        <w:rPr>
          <w:rFonts w:cs="Times New Roman"/>
          <w:color w:val="auto"/>
          <w:szCs w:val="22"/>
          <w:lang w:val="pt-PT"/>
        </w:rPr>
        <w:t>inchaço da face, lábios, boca ou garganta.</w:t>
      </w:r>
    </w:p>
    <w:p w14:paraId="4BF91AA8" w14:textId="77777777" w:rsidR="0077031F" w:rsidRPr="00110D6C" w:rsidRDefault="00030085" w:rsidP="00D74B6E">
      <w:pPr>
        <w:pStyle w:val="Listenabsatz"/>
        <w:widowControl/>
        <w:numPr>
          <w:ilvl w:val="0"/>
          <w:numId w:val="9"/>
        </w:numPr>
        <w:ind w:left="567" w:hanging="567"/>
        <w:rPr>
          <w:rFonts w:cs="Times New Roman"/>
          <w:color w:val="auto"/>
          <w:szCs w:val="22"/>
          <w:lang w:val="pt-PT"/>
        </w:rPr>
      </w:pPr>
      <w:r w:rsidRPr="00110D6C">
        <w:rPr>
          <w:rFonts w:cs="Times New Roman"/>
          <w:color w:val="auto"/>
          <w:szCs w:val="22"/>
          <w:lang w:val="pt-PT"/>
        </w:rPr>
        <w:t>Sinais frequentes de uma reação alérgica podem incluir erupção na pele e urticária (pode</w:t>
      </w:r>
      <w:r w:rsidR="00E03ECE" w:rsidRPr="00110D6C">
        <w:rPr>
          <w:rFonts w:cs="Times New Roman"/>
          <w:color w:val="auto"/>
          <w:szCs w:val="22"/>
          <w:lang w:val="pt-PT"/>
        </w:rPr>
        <w:t xml:space="preserve"> </w:t>
      </w:r>
      <w:r w:rsidRPr="00110D6C">
        <w:rPr>
          <w:rFonts w:cs="Times New Roman"/>
          <w:color w:val="auto"/>
          <w:szCs w:val="22"/>
          <w:lang w:val="pt-PT"/>
        </w:rPr>
        <w:t xml:space="preserve">afetar até </w:t>
      </w:r>
      <w:r w:rsidR="00B910F9" w:rsidRPr="00110D6C">
        <w:rPr>
          <w:rFonts w:cs="Times New Roman"/>
          <w:color w:val="auto"/>
          <w:szCs w:val="22"/>
          <w:lang w:val="pt-PT"/>
        </w:rPr>
        <w:t>1 </w:t>
      </w:r>
      <w:r w:rsidRPr="00110D6C">
        <w:rPr>
          <w:rFonts w:cs="Times New Roman"/>
          <w:color w:val="auto"/>
          <w:szCs w:val="22"/>
          <w:lang w:val="pt-PT"/>
        </w:rPr>
        <w:t>em cada 10</w:t>
      </w:r>
      <w:r w:rsidR="00B910F9" w:rsidRPr="00110D6C">
        <w:rPr>
          <w:rFonts w:cs="Times New Roman"/>
          <w:color w:val="auto"/>
          <w:szCs w:val="22"/>
          <w:lang w:val="pt-PT"/>
        </w:rPr>
        <w:t>0 </w:t>
      </w:r>
      <w:r w:rsidRPr="00110D6C">
        <w:rPr>
          <w:rFonts w:cs="Times New Roman"/>
          <w:color w:val="auto"/>
          <w:szCs w:val="22"/>
          <w:lang w:val="pt-PT"/>
        </w:rPr>
        <w:t>pessoas).</w:t>
      </w:r>
    </w:p>
    <w:p w14:paraId="2E807C05" w14:textId="77777777" w:rsidR="00E03ECE" w:rsidRPr="00110D6C" w:rsidRDefault="00E03ECE" w:rsidP="00A17623">
      <w:pPr>
        <w:widowControl/>
        <w:rPr>
          <w:rFonts w:cs="Times New Roman"/>
          <w:bCs/>
          <w:color w:val="auto"/>
          <w:szCs w:val="22"/>
          <w:lang w:val="pt-PT"/>
        </w:rPr>
      </w:pPr>
    </w:p>
    <w:p w14:paraId="12228F41"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Em casos raros, foram reportadas reações alérgicas pulmonares e inflamação pulmonar em doentes que receberam ustecinumab. Informe imediatamente o seu médico se desenvolver sintomas como tosse, falta de ar e febre.</w:t>
      </w:r>
    </w:p>
    <w:p w14:paraId="52DE765F" w14:textId="77777777" w:rsidR="00E03ECE" w:rsidRPr="00110D6C" w:rsidRDefault="00E03ECE" w:rsidP="00A17623">
      <w:pPr>
        <w:widowControl/>
        <w:rPr>
          <w:rFonts w:cs="Times New Roman"/>
          <w:color w:val="auto"/>
          <w:szCs w:val="22"/>
          <w:lang w:val="pt-PT"/>
        </w:rPr>
      </w:pPr>
    </w:p>
    <w:p w14:paraId="3B6FF879" w14:textId="69FD6281"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Se tiver uma reação alérgica grave, o seu médico pode decidir que não deve usar </w:t>
      </w:r>
      <w:r w:rsidR="00D50CFA">
        <w:rPr>
          <w:rFonts w:cs="Times New Roman"/>
          <w:color w:val="auto"/>
          <w:szCs w:val="22"/>
          <w:lang w:val="pt-PT"/>
        </w:rPr>
        <w:t>Fymskina</w:t>
      </w:r>
      <w:r w:rsidRPr="00110D6C">
        <w:rPr>
          <w:rFonts w:cs="Times New Roman"/>
          <w:color w:val="auto"/>
          <w:szCs w:val="22"/>
          <w:lang w:val="pt-PT"/>
        </w:rPr>
        <w:t xml:space="preserve"> novamente.</w:t>
      </w:r>
    </w:p>
    <w:p w14:paraId="519C0B41" w14:textId="77777777" w:rsidR="00E03ECE" w:rsidRPr="00110D6C" w:rsidRDefault="00E03ECE" w:rsidP="00A17623">
      <w:pPr>
        <w:widowControl/>
        <w:rPr>
          <w:rFonts w:cs="Times New Roman"/>
          <w:bCs/>
          <w:color w:val="auto"/>
          <w:szCs w:val="22"/>
          <w:lang w:val="pt-PT"/>
        </w:rPr>
      </w:pPr>
      <w:bookmarkStart w:id="167" w:name="bookmark289"/>
    </w:p>
    <w:p w14:paraId="6A689986"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Infeções - pode necessitar de tratamento médico urgente. Fale com o seu médico imediatamente se notar algum dos seguintes sinais.</w:t>
      </w:r>
      <w:bookmarkEnd w:id="167"/>
    </w:p>
    <w:p w14:paraId="49D68C83" w14:textId="77777777" w:rsidR="0077031F" w:rsidRPr="00110D6C" w:rsidRDefault="00030085" w:rsidP="00D74B6E">
      <w:pPr>
        <w:pStyle w:val="Listenabsatz"/>
        <w:widowControl/>
        <w:numPr>
          <w:ilvl w:val="0"/>
          <w:numId w:val="9"/>
        </w:numPr>
        <w:ind w:left="567" w:hanging="567"/>
        <w:rPr>
          <w:rFonts w:cs="Times New Roman"/>
          <w:color w:val="auto"/>
          <w:szCs w:val="22"/>
          <w:lang w:val="pt-PT"/>
        </w:rPr>
      </w:pPr>
      <w:r w:rsidRPr="00110D6C">
        <w:rPr>
          <w:rFonts w:cs="Times New Roman"/>
          <w:color w:val="auto"/>
          <w:szCs w:val="22"/>
          <w:lang w:val="pt-PT"/>
        </w:rPr>
        <w:t>Infeções do nariz e da garganta e constipações comuns são frequentes (podem afetar até 1</w:t>
      </w:r>
      <w:r w:rsidR="00E03ECE" w:rsidRPr="00110D6C">
        <w:rPr>
          <w:rFonts w:cs="Times New Roman"/>
          <w:color w:val="auto"/>
          <w:szCs w:val="22"/>
          <w:lang w:val="pt-PT"/>
        </w:rPr>
        <w:t xml:space="preserve"> </w:t>
      </w:r>
      <w:r w:rsidRPr="00110D6C">
        <w:rPr>
          <w:rFonts w:cs="Times New Roman"/>
          <w:color w:val="auto"/>
          <w:szCs w:val="22"/>
          <w:lang w:val="pt-PT"/>
        </w:rPr>
        <w:t>em cada 1</w:t>
      </w:r>
      <w:r w:rsidR="00B910F9" w:rsidRPr="00110D6C">
        <w:rPr>
          <w:rFonts w:cs="Times New Roman"/>
          <w:color w:val="auto"/>
          <w:szCs w:val="22"/>
          <w:lang w:val="pt-PT"/>
        </w:rPr>
        <w:t>0 </w:t>
      </w:r>
      <w:r w:rsidRPr="00110D6C">
        <w:rPr>
          <w:rFonts w:cs="Times New Roman"/>
          <w:color w:val="auto"/>
          <w:szCs w:val="22"/>
          <w:lang w:val="pt-PT"/>
        </w:rPr>
        <w:t>pessoas)</w:t>
      </w:r>
    </w:p>
    <w:p w14:paraId="46D94778" w14:textId="77777777" w:rsidR="0077031F" w:rsidRPr="00110D6C" w:rsidRDefault="00030085" w:rsidP="00D74B6E">
      <w:pPr>
        <w:pStyle w:val="Listenabsatz"/>
        <w:widowControl/>
        <w:numPr>
          <w:ilvl w:val="0"/>
          <w:numId w:val="9"/>
        </w:numPr>
        <w:ind w:left="567" w:hanging="567"/>
        <w:rPr>
          <w:rFonts w:cs="Times New Roman"/>
          <w:color w:val="auto"/>
          <w:szCs w:val="22"/>
          <w:lang w:val="pt-PT"/>
        </w:rPr>
      </w:pPr>
      <w:r w:rsidRPr="00110D6C">
        <w:rPr>
          <w:rFonts w:cs="Times New Roman"/>
          <w:color w:val="auto"/>
          <w:szCs w:val="22"/>
          <w:lang w:val="pt-PT"/>
        </w:rPr>
        <w:t xml:space="preserve">Infeções do tórax são pouco frequentes (podem afetar até </w:t>
      </w:r>
      <w:r w:rsidR="00B910F9" w:rsidRPr="00110D6C">
        <w:rPr>
          <w:rFonts w:cs="Times New Roman"/>
          <w:color w:val="auto"/>
          <w:szCs w:val="22"/>
          <w:lang w:val="pt-PT"/>
        </w:rPr>
        <w:t>1 </w:t>
      </w:r>
      <w:r w:rsidRPr="00110D6C">
        <w:rPr>
          <w:rFonts w:cs="Times New Roman"/>
          <w:color w:val="auto"/>
          <w:szCs w:val="22"/>
          <w:lang w:val="pt-PT"/>
        </w:rPr>
        <w:t>em cada 10</w:t>
      </w:r>
      <w:r w:rsidR="00B910F9" w:rsidRPr="00110D6C">
        <w:rPr>
          <w:rFonts w:cs="Times New Roman"/>
          <w:color w:val="auto"/>
          <w:szCs w:val="22"/>
          <w:lang w:val="pt-PT"/>
        </w:rPr>
        <w:t>0 </w:t>
      </w:r>
      <w:r w:rsidRPr="00110D6C">
        <w:rPr>
          <w:rFonts w:cs="Times New Roman"/>
          <w:color w:val="auto"/>
          <w:szCs w:val="22"/>
          <w:lang w:val="pt-PT"/>
        </w:rPr>
        <w:t>pessoas)</w:t>
      </w:r>
    </w:p>
    <w:p w14:paraId="1897A42F" w14:textId="77777777" w:rsidR="0077031F" w:rsidRPr="00110D6C" w:rsidRDefault="00030085" w:rsidP="00D74B6E">
      <w:pPr>
        <w:pStyle w:val="Listenabsatz"/>
        <w:widowControl/>
        <w:numPr>
          <w:ilvl w:val="0"/>
          <w:numId w:val="9"/>
        </w:numPr>
        <w:ind w:left="567" w:hanging="567"/>
        <w:rPr>
          <w:rFonts w:cs="Times New Roman"/>
          <w:color w:val="auto"/>
          <w:szCs w:val="22"/>
          <w:lang w:val="pt-PT"/>
        </w:rPr>
      </w:pPr>
      <w:r w:rsidRPr="00110D6C">
        <w:rPr>
          <w:rFonts w:cs="Times New Roman"/>
          <w:color w:val="auto"/>
          <w:szCs w:val="22"/>
          <w:lang w:val="pt-PT"/>
        </w:rPr>
        <w:t>Inflamação dos tecidos por baixo da pele (“celulite”) é pouco frequente (pode afetar até 1</w:t>
      </w:r>
      <w:r w:rsidR="00E03ECE" w:rsidRPr="00110D6C">
        <w:rPr>
          <w:rFonts w:cs="Times New Roman"/>
          <w:color w:val="auto"/>
          <w:szCs w:val="22"/>
          <w:lang w:val="pt-PT"/>
        </w:rPr>
        <w:t xml:space="preserve"> </w:t>
      </w:r>
      <w:r w:rsidRPr="00110D6C">
        <w:rPr>
          <w:rFonts w:cs="Times New Roman"/>
          <w:color w:val="auto"/>
          <w:szCs w:val="22"/>
          <w:lang w:val="pt-PT"/>
        </w:rPr>
        <w:t>em cada 10</w:t>
      </w:r>
      <w:r w:rsidR="00B910F9" w:rsidRPr="00110D6C">
        <w:rPr>
          <w:rFonts w:cs="Times New Roman"/>
          <w:color w:val="auto"/>
          <w:szCs w:val="22"/>
          <w:lang w:val="pt-PT"/>
        </w:rPr>
        <w:t>0 </w:t>
      </w:r>
      <w:r w:rsidRPr="00110D6C">
        <w:rPr>
          <w:rFonts w:cs="Times New Roman"/>
          <w:color w:val="auto"/>
          <w:szCs w:val="22"/>
          <w:lang w:val="pt-PT"/>
        </w:rPr>
        <w:t>pessoas)</w:t>
      </w:r>
    </w:p>
    <w:p w14:paraId="0C824D89" w14:textId="77777777" w:rsidR="0077031F" w:rsidRPr="00110D6C" w:rsidRDefault="00030085" w:rsidP="00D74B6E">
      <w:pPr>
        <w:pStyle w:val="Listenabsatz"/>
        <w:widowControl/>
        <w:numPr>
          <w:ilvl w:val="0"/>
          <w:numId w:val="9"/>
        </w:numPr>
        <w:ind w:left="567" w:hanging="567"/>
        <w:rPr>
          <w:rFonts w:cs="Times New Roman"/>
          <w:color w:val="auto"/>
          <w:szCs w:val="22"/>
          <w:lang w:val="pt-PT"/>
        </w:rPr>
      </w:pPr>
      <w:r w:rsidRPr="00110D6C">
        <w:rPr>
          <w:rFonts w:cs="Times New Roman"/>
          <w:color w:val="auto"/>
          <w:szCs w:val="22"/>
          <w:lang w:val="pt-PT"/>
        </w:rPr>
        <w:t>Zona (um tipo de erupção na pele dolorosa com bolhas) é pouco frequente (pode afetar</w:t>
      </w:r>
      <w:r w:rsidR="00E03ECE" w:rsidRPr="00110D6C">
        <w:rPr>
          <w:rFonts w:cs="Times New Roman"/>
          <w:color w:val="auto"/>
          <w:szCs w:val="22"/>
          <w:lang w:val="pt-PT"/>
        </w:rPr>
        <w:t xml:space="preserve"> </w:t>
      </w:r>
      <w:r w:rsidRPr="00110D6C">
        <w:rPr>
          <w:rFonts w:cs="Times New Roman"/>
          <w:color w:val="auto"/>
          <w:szCs w:val="22"/>
          <w:lang w:val="pt-PT"/>
        </w:rPr>
        <w:t xml:space="preserve">até </w:t>
      </w:r>
      <w:r w:rsidR="00B910F9" w:rsidRPr="00110D6C">
        <w:rPr>
          <w:rFonts w:cs="Times New Roman"/>
          <w:color w:val="auto"/>
          <w:szCs w:val="22"/>
          <w:lang w:val="pt-PT"/>
        </w:rPr>
        <w:t>1 </w:t>
      </w:r>
      <w:r w:rsidRPr="00110D6C">
        <w:rPr>
          <w:rFonts w:cs="Times New Roman"/>
          <w:color w:val="auto"/>
          <w:szCs w:val="22"/>
          <w:lang w:val="pt-PT"/>
        </w:rPr>
        <w:t>em cada 10</w:t>
      </w:r>
      <w:r w:rsidR="00B910F9" w:rsidRPr="00110D6C">
        <w:rPr>
          <w:rFonts w:cs="Times New Roman"/>
          <w:color w:val="auto"/>
          <w:szCs w:val="22"/>
          <w:lang w:val="pt-PT"/>
        </w:rPr>
        <w:t>0 </w:t>
      </w:r>
      <w:r w:rsidRPr="00110D6C">
        <w:rPr>
          <w:rFonts w:cs="Times New Roman"/>
          <w:color w:val="auto"/>
          <w:szCs w:val="22"/>
          <w:lang w:val="pt-PT"/>
        </w:rPr>
        <w:t>pessoas).</w:t>
      </w:r>
    </w:p>
    <w:p w14:paraId="7DE5258E" w14:textId="77777777" w:rsidR="00E03ECE" w:rsidRPr="00110D6C" w:rsidRDefault="00E03ECE" w:rsidP="00A17623">
      <w:pPr>
        <w:widowControl/>
        <w:rPr>
          <w:rFonts w:cs="Times New Roman"/>
          <w:color w:val="auto"/>
          <w:szCs w:val="22"/>
          <w:lang w:val="pt-PT"/>
        </w:rPr>
      </w:pPr>
    </w:p>
    <w:p w14:paraId="5ADEBFE8" w14:textId="38B8D4B1" w:rsidR="0077031F" w:rsidRPr="00110D6C" w:rsidRDefault="00D50CFA" w:rsidP="00A17623">
      <w:pPr>
        <w:widowControl/>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pode torná-lo menos capaz para combater infeções. Algumas infeções podem tornar-se graves, e podem incluir infeções causadas por vírus, fungos, bactérias (incluindo tuberculose) ou parasitas, incluindo infeções que, maioritariamente, ocorrem em pessoas com o sistema imune debilitado (infeções oportunistas). Foram notificadas infeções oportunistas do cérebro (encefalite, meningite), dos pulmões e do olho em doentes que receberam tratamento com ustecinumab.</w:t>
      </w:r>
    </w:p>
    <w:p w14:paraId="2E7502EC" w14:textId="77777777" w:rsidR="00E03ECE" w:rsidRPr="00110D6C" w:rsidRDefault="00E03ECE" w:rsidP="00A17623">
      <w:pPr>
        <w:widowControl/>
        <w:rPr>
          <w:rFonts w:cs="Times New Roman"/>
          <w:color w:val="auto"/>
          <w:szCs w:val="22"/>
          <w:lang w:val="pt-PT"/>
        </w:rPr>
      </w:pPr>
    </w:p>
    <w:p w14:paraId="59FDD0D4" w14:textId="25C45E5F" w:rsidR="0077031F" w:rsidRPr="00110D6C" w:rsidRDefault="00030085" w:rsidP="00023B56">
      <w:pPr>
        <w:keepNext/>
        <w:widowControl/>
        <w:rPr>
          <w:rFonts w:cs="Times New Roman"/>
          <w:color w:val="auto"/>
          <w:szCs w:val="22"/>
          <w:lang w:val="pt-PT"/>
        </w:rPr>
      </w:pPr>
      <w:r w:rsidRPr="00110D6C">
        <w:rPr>
          <w:rFonts w:cs="Times New Roman"/>
          <w:color w:val="auto"/>
          <w:szCs w:val="22"/>
          <w:lang w:val="pt-PT"/>
        </w:rPr>
        <w:lastRenderedPageBreak/>
        <w:t xml:space="preserve">Deve estar atento a sinais de infeção enquanto estiver a utilizar </w:t>
      </w:r>
      <w:r w:rsidR="00D50CFA">
        <w:rPr>
          <w:rFonts w:cs="Times New Roman"/>
          <w:color w:val="auto"/>
          <w:szCs w:val="22"/>
          <w:lang w:val="pt-PT"/>
        </w:rPr>
        <w:t>Fymskina</w:t>
      </w:r>
      <w:r w:rsidRPr="00110D6C">
        <w:rPr>
          <w:rFonts w:cs="Times New Roman"/>
          <w:color w:val="auto"/>
          <w:szCs w:val="22"/>
          <w:lang w:val="pt-PT"/>
        </w:rPr>
        <w:t>. Isto inclui:</w:t>
      </w:r>
    </w:p>
    <w:p w14:paraId="79413E96" w14:textId="77777777" w:rsidR="0077031F" w:rsidRPr="00110D6C" w:rsidRDefault="00030085" w:rsidP="00023B56">
      <w:pPr>
        <w:pStyle w:val="Listenabsatz"/>
        <w:keepNext/>
        <w:widowControl/>
        <w:numPr>
          <w:ilvl w:val="0"/>
          <w:numId w:val="9"/>
        </w:numPr>
        <w:ind w:left="567" w:hanging="567"/>
        <w:rPr>
          <w:rFonts w:cs="Times New Roman"/>
          <w:color w:val="auto"/>
          <w:szCs w:val="22"/>
          <w:lang w:val="pt-PT"/>
        </w:rPr>
      </w:pPr>
      <w:r w:rsidRPr="00110D6C">
        <w:rPr>
          <w:rFonts w:cs="Times New Roman"/>
          <w:color w:val="auto"/>
          <w:szCs w:val="22"/>
          <w:lang w:val="pt-PT"/>
        </w:rPr>
        <w:t>febre, sintomas de tipo gripal, transpiração excessiva durante a noite, perda de peso</w:t>
      </w:r>
    </w:p>
    <w:p w14:paraId="570AFE12" w14:textId="77777777" w:rsidR="0077031F" w:rsidRPr="00110D6C" w:rsidRDefault="00030085" w:rsidP="00D74B6E">
      <w:pPr>
        <w:pStyle w:val="Listenabsatz"/>
        <w:widowControl/>
        <w:numPr>
          <w:ilvl w:val="0"/>
          <w:numId w:val="10"/>
        </w:numPr>
        <w:ind w:left="567" w:hanging="567"/>
        <w:rPr>
          <w:rFonts w:cs="Times New Roman"/>
          <w:color w:val="auto"/>
          <w:szCs w:val="22"/>
          <w:lang w:val="pt-PT"/>
        </w:rPr>
      </w:pPr>
      <w:r w:rsidRPr="00110D6C">
        <w:rPr>
          <w:rFonts w:cs="Times New Roman"/>
          <w:color w:val="auto"/>
          <w:szCs w:val="22"/>
          <w:lang w:val="pt-PT"/>
        </w:rPr>
        <w:t>sensação de cansaço ou</w:t>
      </w:r>
      <w:r w:rsidR="00E03ECE" w:rsidRPr="00110D6C">
        <w:rPr>
          <w:rFonts w:cs="Times New Roman"/>
          <w:color w:val="auto"/>
          <w:szCs w:val="22"/>
          <w:lang w:val="pt-PT"/>
        </w:rPr>
        <w:t xml:space="preserve"> </w:t>
      </w:r>
      <w:r w:rsidRPr="00110D6C">
        <w:rPr>
          <w:rFonts w:cs="Times New Roman"/>
          <w:color w:val="auto"/>
          <w:szCs w:val="22"/>
          <w:lang w:val="pt-PT"/>
        </w:rPr>
        <w:t>falta de ar, tosse</w:t>
      </w:r>
      <w:r w:rsidR="00E03ECE" w:rsidRPr="00110D6C">
        <w:rPr>
          <w:rFonts w:cs="Times New Roman"/>
          <w:color w:val="auto"/>
          <w:szCs w:val="22"/>
          <w:lang w:val="pt-PT"/>
        </w:rPr>
        <w:t xml:space="preserve"> </w:t>
      </w:r>
      <w:r w:rsidRPr="00110D6C">
        <w:rPr>
          <w:rFonts w:cs="Times New Roman"/>
          <w:color w:val="auto"/>
          <w:szCs w:val="22"/>
          <w:lang w:val="pt-PT"/>
        </w:rPr>
        <w:t>que não</w:t>
      </w:r>
      <w:r w:rsidR="00E03ECE" w:rsidRPr="00110D6C">
        <w:rPr>
          <w:rFonts w:cs="Times New Roman"/>
          <w:color w:val="auto"/>
          <w:szCs w:val="22"/>
          <w:lang w:val="pt-PT"/>
        </w:rPr>
        <w:t xml:space="preserve"> </w:t>
      </w:r>
      <w:r w:rsidRPr="00110D6C">
        <w:rPr>
          <w:rFonts w:cs="Times New Roman"/>
          <w:color w:val="auto"/>
          <w:szCs w:val="22"/>
          <w:lang w:val="pt-PT"/>
        </w:rPr>
        <w:t>desaparece</w:t>
      </w:r>
    </w:p>
    <w:p w14:paraId="5BC1E2DC" w14:textId="77777777" w:rsidR="0077031F" w:rsidRPr="00110D6C" w:rsidRDefault="00030085" w:rsidP="00D74B6E">
      <w:pPr>
        <w:pStyle w:val="Listenabsatz"/>
        <w:widowControl/>
        <w:numPr>
          <w:ilvl w:val="0"/>
          <w:numId w:val="10"/>
        </w:numPr>
        <w:ind w:left="567" w:hanging="567"/>
        <w:rPr>
          <w:rFonts w:cs="Times New Roman"/>
          <w:color w:val="auto"/>
          <w:szCs w:val="22"/>
          <w:lang w:val="pt-PT"/>
        </w:rPr>
      </w:pPr>
      <w:r w:rsidRPr="00110D6C">
        <w:rPr>
          <w:rFonts w:cs="Times New Roman"/>
          <w:color w:val="auto"/>
          <w:szCs w:val="22"/>
          <w:lang w:val="pt-PT"/>
        </w:rPr>
        <w:t>pele quente, vermelha e</w:t>
      </w:r>
      <w:r w:rsidR="00E03ECE" w:rsidRPr="00110D6C">
        <w:rPr>
          <w:rFonts w:cs="Times New Roman"/>
          <w:color w:val="auto"/>
          <w:szCs w:val="22"/>
          <w:lang w:val="pt-PT"/>
        </w:rPr>
        <w:t xml:space="preserve"> </w:t>
      </w:r>
      <w:r w:rsidRPr="00110D6C">
        <w:rPr>
          <w:rFonts w:cs="Times New Roman"/>
          <w:color w:val="auto"/>
          <w:szCs w:val="22"/>
          <w:lang w:val="pt-PT"/>
        </w:rPr>
        <w:t>dolorosa ou erupção cutânea</w:t>
      </w:r>
      <w:r w:rsidR="00E03ECE" w:rsidRPr="00110D6C">
        <w:rPr>
          <w:rFonts w:cs="Times New Roman"/>
          <w:color w:val="auto"/>
          <w:szCs w:val="22"/>
          <w:lang w:val="pt-PT"/>
        </w:rPr>
        <w:t xml:space="preserve"> </w:t>
      </w:r>
      <w:r w:rsidRPr="00110D6C">
        <w:rPr>
          <w:rFonts w:cs="Times New Roman"/>
          <w:color w:val="auto"/>
          <w:szCs w:val="22"/>
          <w:lang w:val="pt-PT"/>
        </w:rPr>
        <w:t>dolorosa com bolhas</w:t>
      </w:r>
    </w:p>
    <w:p w14:paraId="38290876" w14:textId="77777777" w:rsidR="0077031F" w:rsidRPr="00110D6C" w:rsidRDefault="00030085" w:rsidP="00D74B6E">
      <w:pPr>
        <w:pStyle w:val="Listenabsatz"/>
        <w:widowControl/>
        <w:numPr>
          <w:ilvl w:val="0"/>
          <w:numId w:val="10"/>
        </w:numPr>
        <w:ind w:left="567" w:hanging="567"/>
        <w:rPr>
          <w:rFonts w:cs="Times New Roman"/>
          <w:color w:val="auto"/>
          <w:szCs w:val="22"/>
          <w:lang w:val="pt-PT"/>
        </w:rPr>
      </w:pPr>
      <w:r w:rsidRPr="00110D6C">
        <w:rPr>
          <w:rFonts w:cs="Times New Roman"/>
          <w:color w:val="auto"/>
          <w:szCs w:val="22"/>
          <w:lang w:val="pt-PT"/>
        </w:rPr>
        <w:t>ardor ao urinar</w:t>
      </w:r>
    </w:p>
    <w:p w14:paraId="193657FC" w14:textId="77777777" w:rsidR="0077031F" w:rsidRPr="00110D6C" w:rsidRDefault="00030085" w:rsidP="00D74B6E">
      <w:pPr>
        <w:pStyle w:val="Listenabsatz"/>
        <w:widowControl/>
        <w:numPr>
          <w:ilvl w:val="0"/>
          <w:numId w:val="10"/>
        </w:numPr>
        <w:ind w:left="567" w:hanging="567"/>
        <w:rPr>
          <w:rFonts w:cs="Times New Roman"/>
          <w:color w:val="auto"/>
          <w:szCs w:val="22"/>
          <w:lang w:val="pt-PT"/>
        </w:rPr>
      </w:pPr>
      <w:r w:rsidRPr="00110D6C">
        <w:rPr>
          <w:rFonts w:cs="Times New Roman"/>
          <w:color w:val="auto"/>
          <w:szCs w:val="22"/>
          <w:lang w:val="pt-PT"/>
        </w:rPr>
        <w:t>diarreia</w:t>
      </w:r>
    </w:p>
    <w:p w14:paraId="54DA0C1A" w14:textId="77777777" w:rsidR="0077031F" w:rsidRPr="00110D6C" w:rsidRDefault="00030085" w:rsidP="00D74B6E">
      <w:pPr>
        <w:pStyle w:val="Listenabsatz"/>
        <w:widowControl/>
        <w:numPr>
          <w:ilvl w:val="0"/>
          <w:numId w:val="10"/>
        </w:numPr>
        <w:ind w:left="567" w:hanging="567"/>
        <w:rPr>
          <w:rFonts w:cs="Times New Roman"/>
          <w:color w:val="auto"/>
          <w:szCs w:val="22"/>
          <w:lang w:val="pt-PT"/>
        </w:rPr>
      </w:pPr>
      <w:r w:rsidRPr="00110D6C">
        <w:rPr>
          <w:rFonts w:cs="Times New Roman"/>
          <w:color w:val="auto"/>
          <w:szCs w:val="22"/>
          <w:lang w:val="pt-PT"/>
        </w:rPr>
        <w:t>perturbação visual ou perda de visão</w:t>
      </w:r>
    </w:p>
    <w:p w14:paraId="4C0F2C11" w14:textId="77777777" w:rsidR="0077031F" w:rsidRPr="00110D6C" w:rsidRDefault="00030085" w:rsidP="00D74B6E">
      <w:pPr>
        <w:pStyle w:val="Listenabsatz"/>
        <w:widowControl/>
        <w:numPr>
          <w:ilvl w:val="0"/>
          <w:numId w:val="10"/>
        </w:numPr>
        <w:ind w:left="567" w:hanging="567"/>
        <w:rPr>
          <w:rFonts w:cs="Times New Roman"/>
          <w:color w:val="auto"/>
          <w:szCs w:val="22"/>
          <w:lang w:val="pt-PT"/>
        </w:rPr>
      </w:pPr>
      <w:r w:rsidRPr="00110D6C">
        <w:rPr>
          <w:rFonts w:cs="Times New Roman"/>
          <w:color w:val="auto"/>
          <w:szCs w:val="22"/>
          <w:lang w:val="pt-PT"/>
        </w:rPr>
        <w:t>dores de cabeça, rigidez do pescoço, sensibilidade à luz, náuseas ou confusão.</w:t>
      </w:r>
    </w:p>
    <w:p w14:paraId="7D1A7438" w14:textId="77777777" w:rsidR="00E03ECE" w:rsidRPr="00110D6C" w:rsidRDefault="00E03ECE" w:rsidP="00A17623">
      <w:pPr>
        <w:widowControl/>
        <w:rPr>
          <w:rFonts w:cs="Times New Roman"/>
          <w:color w:val="auto"/>
          <w:szCs w:val="22"/>
          <w:lang w:val="pt-PT"/>
        </w:rPr>
      </w:pPr>
    </w:p>
    <w:p w14:paraId="7AE985B2" w14:textId="796534B4"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Fale imediatamente com o seu médico se notar algum destes sinais de infeção. Estes podem ser sinais de infeções, tais como infeções do tórax, infeções da pele, zona ou infeções oportunistas, que podem apresentar complicações graves. Fale com o seu médico se tiver qualquer tipo de infeção que não desaparece ou continua a aparecer. O seu médico pode decidir que não deve utilizar </w:t>
      </w:r>
      <w:r w:rsidR="00D50CFA">
        <w:rPr>
          <w:rFonts w:cs="Times New Roman"/>
          <w:color w:val="auto"/>
          <w:szCs w:val="22"/>
          <w:lang w:val="pt-PT"/>
        </w:rPr>
        <w:t>Fymskina</w:t>
      </w:r>
      <w:r w:rsidRPr="00110D6C">
        <w:rPr>
          <w:rFonts w:cs="Times New Roman"/>
          <w:color w:val="auto"/>
          <w:szCs w:val="22"/>
          <w:lang w:val="pt-PT"/>
        </w:rPr>
        <w:t xml:space="preserve"> até a infeção desaparecer. Contacte também o seu médico se tiver quaisquer cortes ou feridas abertas uma vez que podem infetar.</w:t>
      </w:r>
    </w:p>
    <w:p w14:paraId="6BBAF985" w14:textId="77777777" w:rsidR="00E03ECE" w:rsidRPr="00110D6C" w:rsidRDefault="00E03ECE" w:rsidP="00A17623">
      <w:pPr>
        <w:widowControl/>
        <w:rPr>
          <w:rFonts w:cs="Times New Roman"/>
          <w:bCs/>
          <w:color w:val="auto"/>
          <w:szCs w:val="22"/>
          <w:lang w:val="pt-PT"/>
        </w:rPr>
      </w:pPr>
    </w:p>
    <w:p w14:paraId="7F0346E5"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Descamação da pele - aumento da vermelhidão e descamação da pele numa maior área do corpo podem ser sintomas de psoríase eritrodérmica ou dermatite exfoliativa, que são doenças de pele graves. Deve falar com o seu médico imediatamente se notar algum destes sinais.</w:t>
      </w:r>
    </w:p>
    <w:p w14:paraId="3BC3A877" w14:textId="77777777" w:rsidR="00E03ECE" w:rsidRPr="00110D6C" w:rsidRDefault="00E03ECE" w:rsidP="00A17623">
      <w:pPr>
        <w:widowControl/>
        <w:rPr>
          <w:rFonts w:cs="Times New Roman"/>
          <w:bCs/>
          <w:color w:val="auto"/>
          <w:szCs w:val="22"/>
          <w:lang w:val="pt-PT"/>
        </w:rPr>
      </w:pPr>
      <w:bookmarkStart w:id="168" w:name="bookmark291"/>
    </w:p>
    <w:p w14:paraId="5C22BF03"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Outros efeitos indesejáveis</w:t>
      </w:r>
      <w:bookmarkEnd w:id="168"/>
    </w:p>
    <w:p w14:paraId="3C06B181" w14:textId="77777777" w:rsidR="00E03ECE" w:rsidRPr="00110D6C" w:rsidRDefault="00E03ECE" w:rsidP="00A17623">
      <w:pPr>
        <w:widowControl/>
        <w:rPr>
          <w:rFonts w:cs="Times New Roman"/>
          <w:bCs/>
          <w:color w:val="auto"/>
          <w:szCs w:val="22"/>
          <w:lang w:val="pt-PT"/>
        </w:rPr>
      </w:pPr>
    </w:p>
    <w:p w14:paraId="67D46C6A"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Efeitos indesejáveis frequentes </w:t>
      </w:r>
      <w:r w:rsidRPr="00110D6C">
        <w:rPr>
          <w:rFonts w:cs="Times New Roman"/>
          <w:color w:val="auto"/>
          <w:szCs w:val="22"/>
          <w:lang w:val="pt-PT"/>
        </w:rPr>
        <w:t xml:space="preserve">(podem afetar até </w:t>
      </w:r>
      <w:r w:rsidR="00B910F9" w:rsidRPr="00110D6C">
        <w:rPr>
          <w:rFonts w:cs="Times New Roman"/>
          <w:color w:val="auto"/>
          <w:szCs w:val="22"/>
          <w:lang w:val="pt-PT"/>
        </w:rPr>
        <w:t>1 </w:t>
      </w:r>
      <w:r w:rsidRPr="00110D6C">
        <w:rPr>
          <w:rFonts w:cs="Times New Roman"/>
          <w:color w:val="auto"/>
          <w:szCs w:val="22"/>
          <w:lang w:val="pt-PT"/>
        </w:rPr>
        <w:t>em cada 1</w:t>
      </w:r>
      <w:r w:rsidR="00B910F9" w:rsidRPr="00110D6C">
        <w:rPr>
          <w:rFonts w:cs="Times New Roman"/>
          <w:color w:val="auto"/>
          <w:szCs w:val="22"/>
          <w:lang w:val="pt-PT"/>
        </w:rPr>
        <w:t>0 </w:t>
      </w:r>
      <w:r w:rsidRPr="00110D6C">
        <w:rPr>
          <w:rFonts w:cs="Times New Roman"/>
          <w:color w:val="auto"/>
          <w:szCs w:val="22"/>
          <w:lang w:val="pt-PT"/>
        </w:rPr>
        <w:t>pessoas):</w:t>
      </w:r>
    </w:p>
    <w:p w14:paraId="5B501472" w14:textId="77777777" w:rsidR="0077031F" w:rsidRPr="00110D6C" w:rsidRDefault="00030085" w:rsidP="00D74B6E">
      <w:pPr>
        <w:pStyle w:val="Listenabsatz"/>
        <w:widowControl/>
        <w:numPr>
          <w:ilvl w:val="0"/>
          <w:numId w:val="10"/>
        </w:numPr>
        <w:ind w:left="567" w:hanging="567"/>
        <w:rPr>
          <w:rFonts w:cs="Times New Roman"/>
          <w:color w:val="auto"/>
          <w:szCs w:val="22"/>
          <w:lang w:val="pt-PT"/>
        </w:rPr>
      </w:pPr>
      <w:r w:rsidRPr="00110D6C">
        <w:rPr>
          <w:rFonts w:cs="Times New Roman"/>
          <w:color w:val="auto"/>
          <w:szCs w:val="22"/>
          <w:lang w:val="pt-PT"/>
        </w:rPr>
        <w:t>Diarreia</w:t>
      </w:r>
    </w:p>
    <w:p w14:paraId="2A2D2F82" w14:textId="77777777" w:rsidR="0077031F" w:rsidRPr="00110D6C" w:rsidRDefault="00030085" w:rsidP="00D74B6E">
      <w:pPr>
        <w:pStyle w:val="Listenabsatz"/>
        <w:widowControl/>
        <w:numPr>
          <w:ilvl w:val="0"/>
          <w:numId w:val="10"/>
        </w:numPr>
        <w:ind w:left="567" w:hanging="567"/>
        <w:rPr>
          <w:rFonts w:cs="Times New Roman"/>
          <w:color w:val="auto"/>
          <w:szCs w:val="22"/>
          <w:lang w:val="pt-PT"/>
        </w:rPr>
      </w:pPr>
      <w:r w:rsidRPr="00110D6C">
        <w:rPr>
          <w:rFonts w:cs="Times New Roman"/>
          <w:color w:val="auto"/>
          <w:szCs w:val="22"/>
          <w:lang w:val="pt-PT"/>
        </w:rPr>
        <w:t>Náuseas</w:t>
      </w:r>
    </w:p>
    <w:p w14:paraId="22845CC1" w14:textId="77777777" w:rsidR="0077031F" w:rsidRPr="00110D6C" w:rsidRDefault="00030085" w:rsidP="00D74B6E">
      <w:pPr>
        <w:pStyle w:val="Listenabsatz"/>
        <w:widowControl/>
        <w:numPr>
          <w:ilvl w:val="0"/>
          <w:numId w:val="10"/>
        </w:numPr>
        <w:ind w:left="567" w:hanging="567"/>
        <w:rPr>
          <w:rFonts w:cs="Times New Roman"/>
          <w:color w:val="auto"/>
          <w:szCs w:val="22"/>
          <w:lang w:val="pt-PT"/>
        </w:rPr>
      </w:pPr>
      <w:r w:rsidRPr="00110D6C">
        <w:rPr>
          <w:rFonts w:cs="Times New Roman"/>
          <w:color w:val="auto"/>
          <w:szCs w:val="22"/>
          <w:lang w:val="pt-PT"/>
        </w:rPr>
        <w:t>Vómito</w:t>
      </w:r>
    </w:p>
    <w:p w14:paraId="4AE71960" w14:textId="77777777" w:rsidR="0077031F" w:rsidRPr="00110D6C" w:rsidRDefault="00030085" w:rsidP="00D74B6E">
      <w:pPr>
        <w:pStyle w:val="Listenabsatz"/>
        <w:widowControl/>
        <w:numPr>
          <w:ilvl w:val="0"/>
          <w:numId w:val="10"/>
        </w:numPr>
        <w:ind w:left="567" w:hanging="567"/>
        <w:rPr>
          <w:rFonts w:cs="Times New Roman"/>
          <w:color w:val="auto"/>
          <w:szCs w:val="22"/>
          <w:lang w:val="pt-PT"/>
        </w:rPr>
      </w:pPr>
      <w:r w:rsidRPr="00110D6C">
        <w:rPr>
          <w:rFonts w:cs="Times New Roman"/>
          <w:color w:val="auto"/>
          <w:szCs w:val="22"/>
          <w:lang w:val="pt-PT"/>
        </w:rPr>
        <w:t>Sensação de cansaço</w:t>
      </w:r>
    </w:p>
    <w:p w14:paraId="1EC559BC" w14:textId="77777777" w:rsidR="0077031F" w:rsidRPr="00110D6C" w:rsidRDefault="00030085" w:rsidP="00D74B6E">
      <w:pPr>
        <w:pStyle w:val="Listenabsatz"/>
        <w:widowControl/>
        <w:numPr>
          <w:ilvl w:val="0"/>
          <w:numId w:val="10"/>
        </w:numPr>
        <w:ind w:left="567" w:hanging="567"/>
        <w:rPr>
          <w:rFonts w:cs="Times New Roman"/>
          <w:color w:val="auto"/>
          <w:szCs w:val="22"/>
          <w:lang w:val="pt-PT"/>
        </w:rPr>
      </w:pPr>
      <w:r w:rsidRPr="00110D6C">
        <w:rPr>
          <w:rFonts w:cs="Times New Roman"/>
          <w:color w:val="auto"/>
          <w:szCs w:val="22"/>
          <w:lang w:val="pt-PT"/>
        </w:rPr>
        <w:t>Sensação de tontura</w:t>
      </w:r>
    </w:p>
    <w:p w14:paraId="14103D51" w14:textId="77777777" w:rsidR="0077031F" w:rsidRPr="00110D6C" w:rsidRDefault="00030085" w:rsidP="00D74B6E">
      <w:pPr>
        <w:pStyle w:val="Listenabsatz"/>
        <w:widowControl/>
        <w:numPr>
          <w:ilvl w:val="0"/>
          <w:numId w:val="10"/>
        </w:numPr>
        <w:ind w:left="567" w:hanging="567"/>
        <w:rPr>
          <w:rFonts w:cs="Times New Roman"/>
          <w:color w:val="auto"/>
          <w:szCs w:val="22"/>
          <w:lang w:val="pt-PT"/>
        </w:rPr>
      </w:pPr>
      <w:r w:rsidRPr="00110D6C">
        <w:rPr>
          <w:rFonts w:cs="Times New Roman"/>
          <w:color w:val="auto"/>
          <w:szCs w:val="22"/>
          <w:lang w:val="pt-PT"/>
        </w:rPr>
        <w:t>Dor de cabeça</w:t>
      </w:r>
    </w:p>
    <w:p w14:paraId="4E0D12DC" w14:textId="77777777" w:rsidR="0077031F" w:rsidRPr="00110D6C" w:rsidRDefault="00030085" w:rsidP="00D74B6E">
      <w:pPr>
        <w:pStyle w:val="Listenabsatz"/>
        <w:widowControl/>
        <w:numPr>
          <w:ilvl w:val="0"/>
          <w:numId w:val="10"/>
        </w:numPr>
        <w:ind w:left="567" w:hanging="567"/>
        <w:rPr>
          <w:rFonts w:cs="Times New Roman"/>
          <w:color w:val="auto"/>
          <w:szCs w:val="22"/>
          <w:lang w:val="pt-PT"/>
        </w:rPr>
      </w:pPr>
      <w:r w:rsidRPr="00110D6C">
        <w:rPr>
          <w:rFonts w:cs="Times New Roman"/>
          <w:color w:val="auto"/>
          <w:szCs w:val="22"/>
          <w:lang w:val="pt-PT"/>
        </w:rPr>
        <w:t>Comichão (“prurido”)</w:t>
      </w:r>
    </w:p>
    <w:p w14:paraId="669951DE" w14:textId="77777777" w:rsidR="0077031F" w:rsidRPr="00110D6C" w:rsidRDefault="00030085" w:rsidP="00D74B6E">
      <w:pPr>
        <w:pStyle w:val="Listenabsatz"/>
        <w:widowControl/>
        <w:numPr>
          <w:ilvl w:val="0"/>
          <w:numId w:val="10"/>
        </w:numPr>
        <w:ind w:left="567" w:hanging="567"/>
        <w:rPr>
          <w:rFonts w:cs="Times New Roman"/>
          <w:color w:val="auto"/>
          <w:szCs w:val="22"/>
          <w:lang w:val="pt-PT"/>
        </w:rPr>
      </w:pPr>
      <w:r w:rsidRPr="00110D6C">
        <w:rPr>
          <w:rFonts w:cs="Times New Roman"/>
          <w:color w:val="auto"/>
          <w:szCs w:val="22"/>
          <w:lang w:val="pt-PT"/>
        </w:rPr>
        <w:t>Dor nos músculos, nas articulações ou nas costas</w:t>
      </w:r>
    </w:p>
    <w:p w14:paraId="22E6AA96" w14:textId="77777777" w:rsidR="0077031F" w:rsidRPr="00110D6C" w:rsidRDefault="00030085" w:rsidP="00D74B6E">
      <w:pPr>
        <w:pStyle w:val="Listenabsatz"/>
        <w:widowControl/>
        <w:numPr>
          <w:ilvl w:val="0"/>
          <w:numId w:val="10"/>
        </w:numPr>
        <w:ind w:left="567" w:hanging="567"/>
        <w:rPr>
          <w:rFonts w:cs="Times New Roman"/>
          <w:color w:val="auto"/>
          <w:szCs w:val="22"/>
          <w:lang w:val="pt-PT"/>
        </w:rPr>
      </w:pPr>
      <w:r w:rsidRPr="00110D6C">
        <w:rPr>
          <w:rFonts w:cs="Times New Roman"/>
          <w:color w:val="auto"/>
          <w:szCs w:val="22"/>
          <w:lang w:val="pt-PT"/>
        </w:rPr>
        <w:t>Dor de garganta</w:t>
      </w:r>
    </w:p>
    <w:p w14:paraId="062AF66A" w14:textId="77777777" w:rsidR="0077031F" w:rsidRPr="00110D6C" w:rsidRDefault="00030085" w:rsidP="00D74B6E">
      <w:pPr>
        <w:pStyle w:val="Listenabsatz"/>
        <w:widowControl/>
        <w:numPr>
          <w:ilvl w:val="0"/>
          <w:numId w:val="10"/>
        </w:numPr>
        <w:ind w:left="567" w:hanging="567"/>
        <w:rPr>
          <w:rFonts w:cs="Times New Roman"/>
          <w:color w:val="auto"/>
          <w:szCs w:val="22"/>
          <w:lang w:val="pt-PT"/>
        </w:rPr>
      </w:pPr>
      <w:r w:rsidRPr="00110D6C">
        <w:rPr>
          <w:rFonts w:cs="Times New Roman"/>
          <w:color w:val="auto"/>
          <w:szCs w:val="22"/>
          <w:lang w:val="pt-PT"/>
        </w:rPr>
        <w:t>Vermelhidão e dor no local de injeção</w:t>
      </w:r>
    </w:p>
    <w:p w14:paraId="393C03A5" w14:textId="77777777" w:rsidR="0077031F" w:rsidRPr="00110D6C" w:rsidRDefault="00030085" w:rsidP="00D74B6E">
      <w:pPr>
        <w:pStyle w:val="Listenabsatz"/>
        <w:widowControl/>
        <w:numPr>
          <w:ilvl w:val="0"/>
          <w:numId w:val="10"/>
        </w:numPr>
        <w:ind w:left="567" w:hanging="567"/>
        <w:rPr>
          <w:rFonts w:cs="Times New Roman"/>
          <w:color w:val="auto"/>
          <w:szCs w:val="22"/>
          <w:lang w:val="pt-PT"/>
        </w:rPr>
      </w:pPr>
      <w:r w:rsidRPr="00110D6C">
        <w:rPr>
          <w:rFonts w:cs="Times New Roman"/>
          <w:color w:val="auto"/>
          <w:szCs w:val="22"/>
          <w:lang w:val="pt-PT"/>
        </w:rPr>
        <w:t>Infeção dos seios perinasais</w:t>
      </w:r>
    </w:p>
    <w:p w14:paraId="4E64A130" w14:textId="77777777" w:rsidR="00E03ECE" w:rsidRPr="00110D6C" w:rsidRDefault="00E03ECE" w:rsidP="00A17623">
      <w:pPr>
        <w:widowControl/>
        <w:rPr>
          <w:rFonts w:cs="Times New Roman"/>
          <w:bCs/>
          <w:color w:val="auto"/>
          <w:szCs w:val="22"/>
          <w:lang w:val="pt-PT"/>
        </w:rPr>
      </w:pPr>
    </w:p>
    <w:p w14:paraId="05889CE3"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Efeitos indesejáveis pouco frequentes </w:t>
      </w:r>
      <w:r w:rsidRPr="00110D6C">
        <w:rPr>
          <w:rFonts w:cs="Times New Roman"/>
          <w:color w:val="auto"/>
          <w:szCs w:val="22"/>
          <w:lang w:val="pt-PT"/>
        </w:rPr>
        <w:t xml:space="preserve">(podem afetar até </w:t>
      </w:r>
      <w:r w:rsidR="00B910F9" w:rsidRPr="00110D6C">
        <w:rPr>
          <w:rFonts w:cs="Times New Roman"/>
          <w:color w:val="auto"/>
          <w:szCs w:val="22"/>
          <w:lang w:val="pt-PT"/>
        </w:rPr>
        <w:t>1 </w:t>
      </w:r>
      <w:r w:rsidRPr="00110D6C">
        <w:rPr>
          <w:rFonts w:cs="Times New Roman"/>
          <w:color w:val="auto"/>
          <w:szCs w:val="22"/>
          <w:lang w:val="pt-PT"/>
        </w:rPr>
        <w:t>em cada 10</w:t>
      </w:r>
      <w:r w:rsidR="00B910F9" w:rsidRPr="00110D6C">
        <w:rPr>
          <w:rFonts w:cs="Times New Roman"/>
          <w:color w:val="auto"/>
          <w:szCs w:val="22"/>
          <w:lang w:val="pt-PT"/>
        </w:rPr>
        <w:t>0 </w:t>
      </w:r>
      <w:r w:rsidRPr="00110D6C">
        <w:rPr>
          <w:rFonts w:cs="Times New Roman"/>
          <w:color w:val="auto"/>
          <w:szCs w:val="22"/>
          <w:lang w:val="pt-PT"/>
        </w:rPr>
        <w:t>pessoas):</w:t>
      </w:r>
    </w:p>
    <w:p w14:paraId="64F759E6" w14:textId="77777777" w:rsidR="0077031F" w:rsidRPr="00110D6C" w:rsidRDefault="00030085" w:rsidP="00D74B6E">
      <w:pPr>
        <w:pStyle w:val="Listenabsatz"/>
        <w:widowControl/>
        <w:numPr>
          <w:ilvl w:val="0"/>
          <w:numId w:val="10"/>
        </w:numPr>
        <w:ind w:left="567" w:hanging="567"/>
        <w:rPr>
          <w:rFonts w:cs="Times New Roman"/>
          <w:color w:val="auto"/>
          <w:szCs w:val="22"/>
          <w:lang w:val="pt-PT"/>
        </w:rPr>
      </w:pPr>
      <w:r w:rsidRPr="00110D6C">
        <w:rPr>
          <w:rFonts w:cs="Times New Roman"/>
          <w:color w:val="auto"/>
          <w:szCs w:val="22"/>
          <w:lang w:val="pt-PT"/>
        </w:rPr>
        <w:t>Infeções nos dentes</w:t>
      </w:r>
    </w:p>
    <w:p w14:paraId="0040B78E" w14:textId="77777777" w:rsidR="0077031F" w:rsidRPr="00110D6C" w:rsidRDefault="00030085" w:rsidP="00D74B6E">
      <w:pPr>
        <w:pStyle w:val="Listenabsatz"/>
        <w:widowControl/>
        <w:numPr>
          <w:ilvl w:val="0"/>
          <w:numId w:val="10"/>
        </w:numPr>
        <w:ind w:left="567" w:hanging="567"/>
        <w:rPr>
          <w:rFonts w:cs="Times New Roman"/>
          <w:color w:val="auto"/>
          <w:szCs w:val="22"/>
          <w:lang w:val="pt-PT"/>
        </w:rPr>
      </w:pPr>
      <w:r w:rsidRPr="00110D6C">
        <w:rPr>
          <w:rFonts w:cs="Times New Roman"/>
          <w:color w:val="auto"/>
          <w:szCs w:val="22"/>
          <w:lang w:val="pt-PT"/>
        </w:rPr>
        <w:t>Infeção fúngica vaginal</w:t>
      </w:r>
    </w:p>
    <w:p w14:paraId="4DCE84BF" w14:textId="77777777" w:rsidR="0077031F" w:rsidRPr="00110D6C" w:rsidRDefault="00030085" w:rsidP="00D74B6E">
      <w:pPr>
        <w:pStyle w:val="Listenabsatz"/>
        <w:widowControl/>
        <w:numPr>
          <w:ilvl w:val="0"/>
          <w:numId w:val="10"/>
        </w:numPr>
        <w:ind w:left="567" w:hanging="567"/>
        <w:rPr>
          <w:rFonts w:cs="Times New Roman"/>
          <w:color w:val="auto"/>
          <w:szCs w:val="22"/>
          <w:lang w:val="pt-PT"/>
        </w:rPr>
      </w:pPr>
      <w:r w:rsidRPr="00110D6C">
        <w:rPr>
          <w:rFonts w:cs="Times New Roman"/>
          <w:color w:val="auto"/>
          <w:szCs w:val="22"/>
          <w:lang w:val="pt-PT"/>
        </w:rPr>
        <w:t>Depressão</w:t>
      </w:r>
    </w:p>
    <w:p w14:paraId="06C77C24" w14:textId="77777777" w:rsidR="0077031F" w:rsidRPr="00110D6C" w:rsidRDefault="00030085" w:rsidP="00D74B6E">
      <w:pPr>
        <w:pStyle w:val="Listenabsatz"/>
        <w:widowControl/>
        <w:numPr>
          <w:ilvl w:val="0"/>
          <w:numId w:val="10"/>
        </w:numPr>
        <w:ind w:left="567" w:hanging="567"/>
        <w:rPr>
          <w:rFonts w:cs="Times New Roman"/>
          <w:color w:val="auto"/>
          <w:szCs w:val="22"/>
          <w:lang w:val="pt-PT"/>
        </w:rPr>
      </w:pPr>
      <w:r w:rsidRPr="00110D6C">
        <w:rPr>
          <w:rFonts w:cs="Times New Roman"/>
          <w:color w:val="auto"/>
          <w:szCs w:val="22"/>
          <w:lang w:val="pt-PT"/>
        </w:rPr>
        <w:t>Nariz entupido</w:t>
      </w:r>
    </w:p>
    <w:p w14:paraId="2DF23065" w14:textId="77777777" w:rsidR="0077031F" w:rsidRPr="00110D6C" w:rsidRDefault="00030085" w:rsidP="00D74B6E">
      <w:pPr>
        <w:pStyle w:val="Listenabsatz"/>
        <w:widowControl/>
        <w:numPr>
          <w:ilvl w:val="0"/>
          <w:numId w:val="10"/>
        </w:numPr>
        <w:ind w:left="567" w:hanging="567"/>
        <w:rPr>
          <w:rFonts w:cs="Times New Roman"/>
          <w:color w:val="auto"/>
          <w:szCs w:val="22"/>
          <w:lang w:val="pt-PT"/>
        </w:rPr>
      </w:pPr>
      <w:r w:rsidRPr="00110D6C">
        <w:rPr>
          <w:rFonts w:cs="Times New Roman"/>
          <w:color w:val="auto"/>
          <w:szCs w:val="22"/>
          <w:lang w:val="pt-PT"/>
        </w:rPr>
        <w:t>Hemorragia, nódoas negras, endurecimento, inchaço e comichão no local da injeção</w:t>
      </w:r>
    </w:p>
    <w:p w14:paraId="3F3758D3" w14:textId="77777777" w:rsidR="0077031F" w:rsidRPr="00110D6C" w:rsidRDefault="00030085" w:rsidP="00D74B6E">
      <w:pPr>
        <w:pStyle w:val="Listenabsatz"/>
        <w:widowControl/>
        <w:numPr>
          <w:ilvl w:val="0"/>
          <w:numId w:val="10"/>
        </w:numPr>
        <w:ind w:left="567" w:hanging="567"/>
        <w:rPr>
          <w:rFonts w:cs="Times New Roman"/>
          <w:color w:val="auto"/>
          <w:szCs w:val="22"/>
          <w:lang w:val="pt-PT"/>
        </w:rPr>
      </w:pPr>
      <w:r w:rsidRPr="00110D6C">
        <w:rPr>
          <w:rFonts w:cs="Times New Roman"/>
          <w:color w:val="auto"/>
          <w:szCs w:val="22"/>
          <w:lang w:val="pt-PT"/>
        </w:rPr>
        <w:t>Sensação de fraqueza</w:t>
      </w:r>
    </w:p>
    <w:p w14:paraId="49577117" w14:textId="77777777" w:rsidR="0077031F" w:rsidRPr="00110D6C" w:rsidRDefault="00030085" w:rsidP="00D74B6E">
      <w:pPr>
        <w:pStyle w:val="Listenabsatz"/>
        <w:widowControl/>
        <w:numPr>
          <w:ilvl w:val="0"/>
          <w:numId w:val="10"/>
        </w:numPr>
        <w:ind w:left="567" w:hanging="567"/>
        <w:rPr>
          <w:rFonts w:cs="Times New Roman"/>
          <w:color w:val="auto"/>
          <w:szCs w:val="22"/>
          <w:lang w:val="pt-PT"/>
        </w:rPr>
      </w:pPr>
      <w:r w:rsidRPr="00110D6C">
        <w:rPr>
          <w:rFonts w:cs="Times New Roman"/>
          <w:color w:val="auto"/>
          <w:szCs w:val="22"/>
          <w:lang w:val="pt-PT"/>
        </w:rPr>
        <w:t>Queda da pálpebra e flacidez dos músculos de um lado da cara (“paralisia facial” ou</w:t>
      </w:r>
      <w:r w:rsidR="00E03ECE" w:rsidRPr="00110D6C">
        <w:rPr>
          <w:rFonts w:cs="Times New Roman"/>
          <w:color w:val="auto"/>
          <w:szCs w:val="22"/>
          <w:lang w:val="pt-PT"/>
        </w:rPr>
        <w:t xml:space="preserve"> </w:t>
      </w:r>
      <w:r w:rsidRPr="00110D6C">
        <w:rPr>
          <w:rFonts w:cs="Times New Roman"/>
          <w:color w:val="auto"/>
          <w:szCs w:val="22"/>
          <w:lang w:val="pt-PT"/>
        </w:rPr>
        <w:t>“paralisia de Bell”), que é, habitualmente, temporário</w:t>
      </w:r>
    </w:p>
    <w:p w14:paraId="3A9A6269" w14:textId="77777777" w:rsidR="0077031F" w:rsidRPr="00110D6C" w:rsidRDefault="00030085" w:rsidP="00D74B6E">
      <w:pPr>
        <w:pStyle w:val="Listenabsatz"/>
        <w:widowControl/>
        <w:numPr>
          <w:ilvl w:val="0"/>
          <w:numId w:val="10"/>
        </w:numPr>
        <w:ind w:left="567" w:hanging="567"/>
        <w:rPr>
          <w:rFonts w:cs="Times New Roman"/>
          <w:color w:val="auto"/>
          <w:szCs w:val="22"/>
          <w:lang w:val="pt-PT"/>
        </w:rPr>
      </w:pPr>
      <w:r w:rsidRPr="00110D6C">
        <w:rPr>
          <w:rFonts w:cs="Times New Roman"/>
          <w:color w:val="auto"/>
          <w:szCs w:val="22"/>
          <w:lang w:val="pt-PT"/>
        </w:rPr>
        <w:t>Uma alteração na psoríase, com vermelhidão e novas e pequenas bolhas amarelas ou</w:t>
      </w:r>
      <w:r w:rsidR="00E03ECE" w:rsidRPr="00110D6C">
        <w:rPr>
          <w:rFonts w:cs="Times New Roman"/>
          <w:color w:val="auto"/>
          <w:szCs w:val="22"/>
          <w:lang w:val="pt-PT"/>
        </w:rPr>
        <w:t xml:space="preserve"> </w:t>
      </w:r>
      <w:r w:rsidRPr="00110D6C">
        <w:rPr>
          <w:rFonts w:cs="Times New Roman"/>
          <w:color w:val="auto"/>
          <w:szCs w:val="22"/>
          <w:lang w:val="pt-PT"/>
        </w:rPr>
        <w:t>brancas, por vezes acompanhada de febre (psoríase pustular)</w:t>
      </w:r>
    </w:p>
    <w:p w14:paraId="4FBE34EE" w14:textId="77777777" w:rsidR="0077031F" w:rsidRPr="00110D6C" w:rsidRDefault="00030085" w:rsidP="00D74B6E">
      <w:pPr>
        <w:pStyle w:val="Listenabsatz"/>
        <w:widowControl/>
        <w:numPr>
          <w:ilvl w:val="0"/>
          <w:numId w:val="10"/>
        </w:numPr>
        <w:ind w:left="567" w:hanging="567"/>
        <w:rPr>
          <w:rFonts w:cs="Times New Roman"/>
          <w:color w:val="auto"/>
          <w:szCs w:val="22"/>
          <w:lang w:val="pt-PT"/>
        </w:rPr>
      </w:pPr>
      <w:r w:rsidRPr="00110D6C">
        <w:rPr>
          <w:rFonts w:cs="Times New Roman"/>
          <w:color w:val="auto"/>
          <w:szCs w:val="22"/>
          <w:lang w:val="pt-PT"/>
        </w:rPr>
        <w:t>Descamação da pele (exfoliação da pele)</w:t>
      </w:r>
    </w:p>
    <w:p w14:paraId="4F015FAF" w14:textId="77777777" w:rsidR="0077031F" w:rsidRPr="00110D6C" w:rsidRDefault="00030085" w:rsidP="00D74B6E">
      <w:pPr>
        <w:pStyle w:val="Listenabsatz"/>
        <w:widowControl/>
        <w:numPr>
          <w:ilvl w:val="0"/>
          <w:numId w:val="10"/>
        </w:numPr>
        <w:ind w:left="567" w:hanging="567"/>
        <w:rPr>
          <w:rFonts w:cs="Times New Roman"/>
          <w:color w:val="auto"/>
          <w:szCs w:val="22"/>
          <w:lang w:val="pt-PT"/>
        </w:rPr>
      </w:pPr>
      <w:r w:rsidRPr="00110D6C">
        <w:rPr>
          <w:rFonts w:cs="Times New Roman"/>
          <w:color w:val="auto"/>
          <w:szCs w:val="22"/>
          <w:lang w:val="pt-PT"/>
        </w:rPr>
        <w:t>Acne</w:t>
      </w:r>
    </w:p>
    <w:p w14:paraId="02C09285" w14:textId="77777777" w:rsidR="00E03ECE" w:rsidRPr="00110D6C" w:rsidRDefault="00E03ECE" w:rsidP="00A17623">
      <w:pPr>
        <w:widowControl/>
        <w:rPr>
          <w:rFonts w:cs="Times New Roman"/>
          <w:bCs/>
          <w:color w:val="auto"/>
          <w:szCs w:val="22"/>
          <w:lang w:val="pt-PT"/>
        </w:rPr>
      </w:pPr>
    </w:p>
    <w:p w14:paraId="30C1B8E8"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Efeitos indesejáveis raros </w:t>
      </w:r>
      <w:r w:rsidRPr="00110D6C">
        <w:rPr>
          <w:rFonts w:cs="Times New Roman"/>
          <w:color w:val="auto"/>
          <w:szCs w:val="22"/>
          <w:lang w:val="pt-PT"/>
        </w:rPr>
        <w:t xml:space="preserve">(podem afetar até </w:t>
      </w:r>
      <w:r w:rsidR="00B910F9" w:rsidRPr="00110D6C">
        <w:rPr>
          <w:rFonts w:cs="Times New Roman"/>
          <w:color w:val="auto"/>
          <w:szCs w:val="22"/>
          <w:lang w:val="pt-PT"/>
        </w:rPr>
        <w:t>1 </w:t>
      </w:r>
      <w:r w:rsidRPr="00110D6C">
        <w:rPr>
          <w:rFonts w:cs="Times New Roman"/>
          <w:color w:val="auto"/>
          <w:szCs w:val="22"/>
          <w:lang w:val="pt-PT"/>
        </w:rPr>
        <w:t>em cada 100</w:t>
      </w:r>
      <w:r w:rsidR="00B910F9" w:rsidRPr="00110D6C">
        <w:rPr>
          <w:rFonts w:cs="Times New Roman"/>
          <w:color w:val="auto"/>
          <w:szCs w:val="22"/>
          <w:lang w:val="pt-PT"/>
        </w:rPr>
        <w:t>0 </w:t>
      </w:r>
      <w:r w:rsidRPr="00110D6C">
        <w:rPr>
          <w:rFonts w:cs="Times New Roman"/>
          <w:color w:val="auto"/>
          <w:szCs w:val="22"/>
          <w:lang w:val="pt-PT"/>
        </w:rPr>
        <w:t>pessoas):</w:t>
      </w:r>
    </w:p>
    <w:p w14:paraId="12DF65CB" w14:textId="77777777" w:rsidR="0077031F" w:rsidRPr="00110D6C" w:rsidRDefault="00030085" w:rsidP="00D74B6E">
      <w:pPr>
        <w:pStyle w:val="Listenabsatz"/>
        <w:widowControl/>
        <w:numPr>
          <w:ilvl w:val="0"/>
          <w:numId w:val="10"/>
        </w:numPr>
        <w:ind w:left="567" w:hanging="567"/>
        <w:rPr>
          <w:rFonts w:cs="Times New Roman"/>
          <w:color w:val="auto"/>
          <w:szCs w:val="22"/>
          <w:lang w:val="pt-PT"/>
        </w:rPr>
      </w:pPr>
      <w:r w:rsidRPr="00110D6C">
        <w:rPr>
          <w:rFonts w:cs="Times New Roman"/>
          <w:color w:val="auto"/>
          <w:szCs w:val="22"/>
          <w:lang w:val="pt-PT"/>
        </w:rPr>
        <w:t>Aumento da vermelhidão e descamação da pele numa maior área do corpo, que pode</w:t>
      </w:r>
      <w:r w:rsidR="00E03ECE" w:rsidRPr="00110D6C">
        <w:rPr>
          <w:rFonts w:cs="Times New Roman"/>
          <w:color w:val="auto"/>
          <w:szCs w:val="22"/>
          <w:lang w:val="pt-PT"/>
        </w:rPr>
        <w:t xml:space="preserve"> </w:t>
      </w:r>
      <w:r w:rsidRPr="00110D6C">
        <w:rPr>
          <w:rFonts w:cs="Times New Roman"/>
          <w:color w:val="auto"/>
          <w:szCs w:val="22"/>
          <w:lang w:val="pt-PT"/>
        </w:rPr>
        <w:t>provocar comichão ou dor (dermatite exfoliativa). Por vezes, podem desenvolver-se</w:t>
      </w:r>
      <w:r w:rsidR="00E03ECE" w:rsidRPr="00110D6C">
        <w:rPr>
          <w:rFonts w:cs="Times New Roman"/>
          <w:color w:val="auto"/>
          <w:szCs w:val="22"/>
          <w:lang w:val="pt-PT"/>
        </w:rPr>
        <w:t xml:space="preserve"> </w:t>
      </w:r>
      <w:r w:rsidRPr="00110D6C">
        <w:rPr>
          <w:rFonts w:cs="Times New Roman"/>
          <w:color w:val="auto"/>
          <w:szCs w:val="22"/>
          <w:lang w:val="pt-PT"/>
        </w:rPr>
        <w:t>sintomas semelhantes como alterações naturais no tipo de sintomas da psoríase (psoríase eritrodérmica)</w:t>
      </w:r>
    </w:p>
    <w:p w14:paraId="1F50C822" w14:textId="77777777" w:rsidR="0077031F" w:rsidRPr="00110D6C" w:rsidRDefault="00030085" w:rsidP="00D74B6E">
      <w:pPr>
        <w:pStyle w:val="Listenabsatz"/>
        <w:widowControl/>
        <w:numPr>
          <w:ilvl w:val="0"/>
          <w:numId w:val="11"/>
        </w:numPr>
        <w:ind w:left="567" w:hanging="567"/>
        <w:rPr>
          <w:rFonts w:cs="Times New Roman"/>
          <w:color w:val="auto"/>
          <w:szCs w:val="22"/>
          <w:lang w:val="pt-PT"/>
        </w:rPr>
      </w:pPr>
      <w:r w:rsidRPr="00110D6C">
        <w:rPr>
          <w:rFonts w:cs="Times New Roman"/>
          <w:color w:val="auto"/>
          <w:szCs w:val="22"/>
          <w:lang w:val="pt-PT"/>
        </w:rPr>
        <w:t>Inflamação de pequenos vasos sanguíneos, que pode conduzir a uma erupção na pele com</w:t>
      </w:r>
      <w:r w:rsidR="00E03ECE" w:rsidRPr="00110D6C">
        <w:rPr>
          <w:rFonts w:cs="Times New Roman"/>
          <w:color w:val="auto"/>
          <w:szCs w:val="22"/>
          <w:lang w:val="pt-PT"/>
        </w:rPr>
        <w:t xml:space="preserve"> </w:t>
      </w:r>
      <w:r w:rsidRPr="00110D6C">
        <w:rPr>
          <w:rFonts w:cs="Times New Roman"/>
          <w:color w:val="auto"/>
          <w:szCs w:val="22"/>
          <w:lang w:val="pt-PT"/>
        </w:rPr>
        <w:t>pequenas borbulhas vermelhas ou roxas, febre ou dores nas articulações (vasculite)</w:t>
      </w:r>
    </w:p>
    <w:p w14:paraId="791A7A58" w14:textId="77777777" w:rsidR="00E03ECE" w:rsidRPr="00110D6C" w:rsidRDefault="00E03ECE" w:rsidP="00A17623">
      <w:pPr>
        <w:widowControl/>
        <w:rPr>
          <w:rFonts w:cs="Times New Roman"/>
          <w:bCs/>
          <w:color w:val="auto"/>
          <w:szCs w:val="22"/>
          <w:lang w:val="pt-PT"/>
        </w:rPr>
      </w:pPr>
    </w:p>
    <w:p w14:paraId="07D47271" w14:textId="77777777" w:rsidR="0077031F" w:rsidRPr="00110D6C" w:rsidRDefault="00030085" w:rsidP="00E03ECE">
      <w:pPr>
        <w:keepNext/>
        <w:keepLines/>
        <w:widowControl/>
        <w:rPr>
          <w:rFonts w:cs="Times New Roman"/>
          <w:color w:val="auto"/>
          <w:szCs w:val="22"/>
          <w:lang w:val="pt-PT"/>
        </w:rPr>
      </w:pPr>
      <w:r w:rsidRPr="00110D6C">
        <w:rPr>
          <w:rFonts w:cs="Times New Roman"/>
          <w:b/>
          <w:bCs/>
          <w:color w:val="auto"/>
          <w:szCs w:val="22"/>
          <w:lang w:val="pt-PT"/>
        </w:rPr>
        <w:t xml:space="preserve">Efeitos indesejáveis muito raros </w:t>
      </w:r>
      <w:r w:rsidRPr="00110D6C">
        <w:rPr>
          <w:rFonts w:cs="Times New Roman"/>
          <w:color w:val="auto"/>
          <w:szCs w:val="22"/>
          <w:lang w:val="pt-PT"/>
        </w:rPr>
        <w:t xml:space="preserve">(podem afetar </w:t>
      </w:r>
      <w:r w:rsidR="00B910F9" w:rsidRPr="00110D6C">
        <w:rPr>
          <w:rFonts w:cs="Times New Roman"/>
          <w:color w:val="auto"/>
          <w:szCs w:val="22"/>
          <w:lang w:val="pt-PT"/>
        </w:rPr>
        <w:t>1 </w:t>
      </w:r>
      <w:r w:rsidRPr="00110D6C">
        <w:rPr>
          <w:rFonts w:cs="Times New Roman"/>
          <w:color w:val="auto"/>
          <w:szCs w:val="22"/>
          <w:lang w:val="pt-PT"/>
        </w:rPr>
        <w:t>em cada 1</w:t>
      </w:r>
      <w:r w:rsidR="00B910F9" w:rsidRPr="00110D6C">
        <w:rPr>
          <w:rFonts w:cs="Times New Roman"/>
          <w:color w:val="auto"/>
          <w:szCs w:val="22"/>
          <w:lang w:val="pt-PT"/>
        </w:rPr>
        <w:t>0 </w:t>
      </w:r>
      <w:r w:rsidRPr="00110D6C">
        <w:rPr>
          <w:rFonts w:cs="Times New Roman"/>
          <w:color w:val="auto"/>
          <w:szCs w:val="22"/>
          <w:lang w:val="pt-PT"/>
        </w:rPr>
        <w:t>00</w:t>
      </w:r>
      <w:r w:rsidR="00B910F9" w:rsidRPr="00110D6C">
        <w:rPr>
          <w:rFonts w:cs="Times New Roman"/>
          <w:color w:val="auto"/>
          <w:szCs w:val="22"/>
          <w:lang w:val="pt-PT"/>
        </w:rPr>
        <w:t>0 </w:t>
      </w:r>
      <w:r w:rsidRPr="00110D6C">
        <w:rPr>
          <w:rFonts w:cs="Times New Roman"/>
          <w:color w:val="auto"/>
          <w:szCs w:val="22"/>
          <w:lang w:val="pt-PT"/>
        </w:rPr>
        <w:t>pessoas):</w:t>
      </w:r>
    </w:p>
    <w:p w14:paraId="7C36FEE3" w14:textId="77777777" w:rsidR="0077031F" w:rsidRPr="00110D6C" w:rsidRDefault="00030085" w:rsidP="00D74B6E">
      <w:pPr>
        <w:pStyle w:val="Listenabsatz"/>
        <w:widowControl/>
        <w:numPr>
          <w:ilvl w:val="0"/>
          <w:numId w:val="11"/>
        </w:numPr>
        <w:ind w:left="567" w:hanging="567"/>
        <w:rPr>
          <w:rFonts w:cs="Times New Roman"/>
          <w:color w:val="auto"/>
          <w:szCs w:val="22"/>
          <w:lang w:val="pt-PT"/>
        </w:rPr>
      </w:pPr>
      <w:r w:rsidRPr="00110D6C">
        <w:rPr>
          <w:rFonts w:cs="Times New Roman"/>
          <w:color w:val="auto"/>
          <w:szCs w:val="22"/>
          <w:lang w:val="pt-PT"/>
        </w:rPr>
        <w:t>Bolhas na pele que podem provocar vermelhidão, comichão e dor (penfigóide bolhoso).</w:t>
      </w:r>
    </w:p>
    <w:p w14:paraId="64DD4040" w14:textId="77777777" w:rsidR="0077031F" w:rsidRPr="00110D6C" w:rsidRDefault="00030085" w:rsidP="00D74B6E">
      <w:pPr>
        <w:pStyle w:val="Listenabsatz"/>
        <w:widowControl/>
        <w:numPr>
          <w:ilvl w:val="0"/>
          <w:numId w:val="11"/>
        </w:numPr>
        <w:ind w:left="567" w:hanging="567"/>
        <w:rPr>
          <w:rFonts w:cs="Times New Roman"/>
          <w:color w:val="auto"/>
          <w:szCs w:val="22"/>
          <w:lang w:val="pt-PT"/>
        </w:rPr>
      </w:pPr>
      <w:r w:rsidRPr="00110D6C">
        <w:rPr>
          <w:rFonts w:cs="Times New Roman"/>
          <w:color w:val="auto"/>
          <w:szCs w:val="22"/>
          <w:lang w:val="pt-PT"/>
        </w:rPr>
        <w:t>Lúpus cutâneo ou síndrome do tipo lúpus (erupção cutânea avermelhada, saliente e</w:t>
      </w:r>
      <w:r w:rsidR="00E03ECE" w:rsidRPr="00110D6C">
        <w:rPr>
          <w:rFonts w:cs="Times New Roman"/>
          <w:color w:val="auto"/>
          <w:szCs w:val="22"/>
          <w:lang w:val="pt-PT"/>
        </w:rPr>
        <w:t xml:space="preserve"> </w:t>
      </w:r>
      <w:r w:rsidRPr="00110D6C">
        <w:rPr>
          <w:rFonts w:cs="Times New Roman"/>
          <w:color w:val="auto"/>
          <w:szCs w:val="22"/>
          <w:lang w:val="pt-PT"/>
        </w:rPr>
        <w:t>descamativa em áreas da pele expostas ao sol, possivelmente com dores articulares).</w:t>
      </w:r>
    </w:p>
    <w:p w14:paraId="16F6C5C6" w14:textId="77777777" w:rsidR="00E03ECE" w:rsidRPr="00110D6C" w:rsidRDefault="00E03ECE" w:rsidP="00A17623">
      <w:pPr>
        <w:widowControl/>
        <w:rPr>
          <w:rFonts w:cs="Times New Roman"/>
          <w:bCs/>
          <w:color w:val="auto"/>
          <w:szCs w:val="22"/>
          <w:lang w:val="pt-PT"/>
        </w:rPr>
      </w:pPr>
      <w:bookmarkStart w:id="169" w:name="bookmark293"/>
    </w:p>
    <w:p w14:paraId="140DED56"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Comunicação de efeitos indesejáveis</w:t>
      </w:r>
      <w:bookmarkEnd w:id="169"/>
    </w:p>
    <w:p w14:paraId="7556BCC1" w14:textId="5B041BC1"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Se tiver quaisquer efeitos indesejáveis, incluindo possíveis efeitos indesejáveis não indicados neste folheto, fale com o seu médico ou farmacêutico. Também poderá comunicar efeitos indesejáveis diretamente através </w:t>
      </w:r>
      <w:r w:rsidRPr="00110D6C">
        <w:rPr>
          <w:rFonts w:cs="Times New Roman"/>
          <w:color w:val="auto"/>
          <w:szCs w:val="22"/>
          <w:highlight w:val="lightGray"/>
          <w:lang w:val="pt-PT"/>
        </w:rPr>
        <w:t xml:space="preserve">do sistema nacional de notificação mencionado no </w:t>
      </w:r>
      <w:hyperlink r:id="rId18" w:history="1">
        <w:r w:rsidRPr="00D10811">
          <w:rPr>
            <w:rStyle w:val="Hyperlink"/>
            <w:rFonts w:cs="Times New Roman"/>
            <w:szCs w:val="22"/>
            <w:highlight w:val="lightGray"/>
            <w:lang w:val="pt-PT"/>
          </w:rPr>
          <w:t>Apêndice</w:t>
        </w:r>
        <w:r w:rsidR="00023B56" w:rsidRPr="00D10811">
          <w:rPr>
            <w:rStyle w:val="Hyperlink"/>
            <w:rFonts w:cs="Times New Roman"/>
            <w:szCs w:val="22"/>
            <w:highlight w:val="lightGray"/>
            <w:lang w:val="pt-PT"/>
          </w:rPr>
          <w:t> </w:t>
        </w:r>
        <w:r w:rsidRPr="00D10811">
          <w:rPr>
            <w:rStyle w:val="Hyperlink"/>
            <w:rFonts w:cs="Times New Roman"/>
            <w:szCs w:val="22"/>
            <w:highlight w:val="lightGray"/>
            <w:lang w:val="pt-PT"/>
          </w:rPr>
          <w:t>V</w:t>
        </w:r>
      </w:hyperlink>
      <w:r w:rsidRPr="00110D6C">
        <w:rPr>
          <w:rFonts w:cs="Times New Roman"/>
          <w:color w:val="auto"/>
          <w:szCs w:val="22"/>
          <w:u w:val="single"/>
          <w:lang w:val="pt-PT"/>
        </w:rPr>
        <w:t>.</w:t>
      </w:r>
      <w:r w:rsidR="00D10811">
        <w:rPr>
          <w:rFonts w:cs="Times New Roman"/>
          <w:color w:val="auto"/>
          <w:szCs w:val="22"/>
          <w:u w:val="single"/>
          <w:lang w:val="pt-PT"/>
        </w:rPr>
        <w:t xml:space="preserve"> </w:t>
      </w:r>
      <w:r w:rsidRPr="00110D6C">
        <w:rPr>
          <w:rFonts w:cs="Times New Roman"/>
          <w:color w:val="auto"/>
          <w:szCs w:val="22"/>
          <w:lang w:val="pt-PT"/>
        </w:rPr>
        <w:t>Ao comunicar efeitos indesejáveis, estará a ajudar a fornecer mais informações sobre a segurança deste medicamento.</w:t>
      </w:r>
    </w:p>
    <w:p w14:paraId="1B942104" w14:textId="77777777" w:rsidR="001E646E" w:rsidRPr="00110D6C" w:rsidRDefault="001E646E" w:rsidP="00A17623">
      <w:pPr>
        <w:widowControl/>
        <w:rPr>
          <w:rFonts w:cs="Times New Roman"/>
          <w:color w:val="auto"/>
          <w:szCs w:val="22"/>
          <w:lang w:val="pt-PT"/>
        </w:rPr>
      </w:pPr>
    </w:p>
    <w:p w14:paraId="1CC35552" w14:textId="77777777" w:rsidR="00F026D6" w:rsidRPr="00110D6C" w:rsidRDefault="00F026D6" w:rsidP="00A17623">
      <w:pPr>
        <w:widowControl/>
        <w:rPr>
          <w:rFonts w:cs="Times New Roman"/>
          <w:color w:val="auto"/>
          <w:szCs w:val="22"/>
          <w:lang w:val="pt-PT"/>
        </w:rPr>
      </w:pPr>
    </w:p>
    <w:p w14:paraId="0CACED7B" w14:textId="3AA3E78F" w:rsidR="0077031F" w:rsidRPr="00110D6C" w:rsidRDefault="00DC3C01" w:rsidP="00A17623">
      <w:pPr>
        <w:widowControl/>
        <w:ind w:left="567" w:hanging="567"/>
        <w:rPr>
          <w:rFonts w:cs="Times New Roman"/>
          <w:color w:val="auto"/>
          <w:szCs w:val="22"/>
          <w:lang w:val="pt-PT"/>
        </w:rPr>
      </w:pPr>
      <w:bookmarkStart w:id="170" w:name="bookmark295"/>
      <w:r w:rsidRPr="00110D6C">
        <w:rPr>
          <w:rFonts w:cs="Times New Roman"/>
          <w:b/>
          <w:bCs/>
          <w:color w:val="auto"/>
          <w:szCs w:val="22"/>
          <w:lang w:val="pt-PT"/>
        </w:rPr>
        <w:t>5.</w:t>
      </w:r>
      <w:r w:rsidRPr="00110D6C">
        <w:rPr>
          <w:rFonts w:cs="Times New Roman"/>
          <w:b/>
          <w:bCs/>
          <w:color w:val="auto"/>
          <w:szCs w:val="22"/>
          <w:lang w:val="pt-PT"/>
        </w:rPr>
        <w:tab/>
      </w:r>
      <w:r w:rsidR="00030085" w:rsidRPr="00110D6C">
        <w:rPr>
          <w:rFonts w:cs="Times New Roman"/>
          <w:b/>
          <w:bCs/>
          <w:color w:val="auto"/>
          <w:szCs w:val="22"/>
          <w:lang w:val="pt-PT"/>
        </w:rPr>
        <w:t xml:space="preserve">Como conservar </w:t>
      </w:r>
      <w:bookmarkEnd w:id="170"/>
      <w:r w:rsidR="00D50CFA">
        <w:rPr>
          <w:rFonts w:cs="Times New Roman"/>
          <w:b/>
          <w:bCs/>
          <w:color w:val="auto"/>
          <w:szCs w:val="22"/>
          <w:lang w:val="pt-PT"/>
        </w:rPr>
        <w:t>Fymskina</w:t>
      </w:r>
    </w:p>
    <w:p w14:paraId="611F2E1F" w14:textId="77777777" w:rsidR="0077031F" w:rsidRPr="00110D6C" w:rsidRDefault="00030085" w:rsidP="00D74B6E">
      <w:pPr>
        <w:pStyle w:val="Listenabsatz"/>
        <w:widowControl/>
        <w:numPr>
          <w:ilvl w:val="0"/>
          <w:numId w:val="11"/>
        </w:numPr>
        <w:ind w:left="567" w:hanging="567"/>
        <w:rPr>
          <w:rFonts w:cs="Times New Roman"/>
          <w:color w:val="auto"/>
          <w:szCs w:val="22"/>
          <w:lang w:val="pt-PT"/>
        </w:rPr>
      </w:pPr>
      <w:r w:rsidRPr="00110D6C">
        <w:rPr>
          <w:rFonts w:cs="Times New Roman"/>
          <w:color w:val="auto"/>
          <w:szCs w:val="22"/>
          <w:lang w:val="pt-PT"/>
        </w:rPr>
        <w:t>Manter este medicamento fora da vista e do alcance das crianças.</w:t>
      </w:r>
    </w:p>
    <w:p w14:paraId="04393C13" w14:textId="47E28A7D" w:rsidR="0077031F" w:rsidRPr="00110D6C" w:rsidRDefault="00030085" w:rsidP="00D74B6E">
      <w:pPr>
        <w:pStyle w:val="Listenabsatz"/>
        <w:widowControl/>
        <w:numPr>
          <w:ilvl w:val="0"/>
          <w:numId w:val="11"/>
        </w:numPr>
        <w:ind w:left="567" w:hanging="567"/>
        <w:rPr>
          <w:rFonts w:cs="Times New Roman"/>
          <w:color w:val="auto"/>
          <w:szCs w:val="22"/>
          <w:lang w:val="pt-PT"/>
        </w:rPr>
      </w:pPr>
      <w:r w:rsidRPr="00110D6C">
        <w:rPr>
          <w:rFonts w:cs="Times New Roman"/>
          <w:color w:val="auto"/>
          <w:szCs w:val="22"/>
          <w:lang w:val="pt-PT"/>
        </w:rPr>
        <w:t>Conservar no frigorífico (2</w:t>
      </w:r>
      <w:r w:rsidR="00D10811">
        <w:rPr>
          <w:rFonts w:cs="Times New Roman"/>
          <w:color w:val="auto"/>
          <w:szCs w:val="22"/>
          <w:lang w:val="pt-PT"/>
        </w:rPr>
        <w:t> </w:t>
      </w:r>
      <w:r w:rsidRPr="00110D6C">
        <w:rPr>
          <w:rFonts w:cs="Times New Roman"/>
          <w:color w:val="auto"/>
          <w:szCs w:val="22"/>
          <w:lang w:val="pt-PT"/>
        </w:rPr>
        <w:t>°C–8</w:t>
      </w:r>
      <w:r w:rsidR="00D10811">
        <w:rPr>
          <w:rFonts w:cs="Times New Roman"/>
          <w:color w:val="auto"/>
          <w:szCs w:val="22"/>
          <w:lang w:val="pt-PT"/>
        </w:rPr>
        <w:t> </w:t>
      </w:r>
      <w:r w:rsidRPr="00110D6C">
        <w:rPr>
          <w:rFonts w:cs="Times New Roman"/>
          <w:color w:val="auto"/>
          <w:szCs w:val="22"/>
          <w:lang w:val="pt-PT"/>
        </w:rPr>
        <w:t>°C). Não congelar.</w:t>
      </w:r>
    </w:p>
    <w:p w14:paraId="22C24C18" w14:textId="77777777" w:rsidR="0077031F" w:rsidRPr="00110D6C" w:rsidRDefault="00030085" w:rsidP="00D74B6E">
      <w:pPr>
        <w:pStyle w:val="Listenabsatz"/>
        <w:widowControl/>
        <w:numPr>
          <w:ilvl w:val="0"/>
          <w:numId w:val="11"/>
        </w:numPr>
        <w:ind w:left="567" w:hanging="567"/>
        <w:rPr>
          <w:rFonts w:cs="Times New Roman"/>
          <w:color w:val="auto"/>
          <w:szCs w:val="22"/>
          <w:lang w:val="pt-PT"/>
        </w:rPr>
      </w:pPr>
      <w:r w:rsidRPr="00110D6C">
        <w:rPr>
          <w:rFonts w:cs="Times New Roman"/>
          <w:color w:val="auto"/>
          <w:szCs w:val="22"/>
          <w:lang w:val="pt-PT"/>
        </w:rPr>
        <w:t>Manter a seringa pré-cheia dentro da embalagem exterior para proteger da luz.</w:t>
      </w:r>
    </w:p>
    <w:p w14:paraId="12EDE81F" w14:textId="503F5D3A" w:rsidR="0077031F" w:rsidRPr="00110D6C" w:rsidRDefault="00030085" w:rsidP="00D74B6E">
      <w:pPr>
        <w:pStyle w:val="Listenabsatz"/>
        <w:widowControl/>
        <w:numPr>
          <w:ilvl w:val="0"/>
          <w:numId w:val="11"/>
        </w:numPr>
        <w:ind w:left="567" w:hanging="567"/>
        <w:rPr>
          <w:rFonts w:cs="Times New Roman"/>
          <w:color w:val="auto"/>
          <w:szCs w:val="22"/>
          <w:lang w:val="pt-PT"/>
        </w:rPr>
      </w:pPr>
      <w:r w:rsidRPr="00110D6C">
        <w:rPr>
          <w:rFonts w:cs="Times New Roman"/>
          <w:color w:val="auto"/>
          <w:szCs w:val="22"/>
          <w:lang w:val="pt-PT"/>
        </w:rPr>
        <w:t xml:space="preserve">Se necessário, as seringas individuais pré-cheias de </w:t>
      </w:r>
      <w:r w:rsidR="00D50CFA">
        <w:rPr>
          <w:rFonts w:cs="Times New Roman"/>
          <w:color w:val="auto"/>
          <w:szCs w:val="22"/>
          <w:lang w:val="pt-PT"/>
        </w:rPr>
        <w:t>Fymskina</w:t>
      </w:r>
      <w:r w:rsidRPr="00110D6C">
        <w:rPr>
          <w:rFonts w:cs="Times New Roman"/>
          <w:color w:val="auto"/>
          <w:szCs w:val="22"/>
          <w:lang w:val="pt-PT"/>
        </w:rPr>
        <w:t xml:space="preserve"> podem também ser conservadas à</w:t>
      </w:r>
      <w:r w:rsidR="00F026D6" w:rsidRPr="00110D6C">
        <w:rPr>
          <w:rFonts w:cs="Times New Roman"/>
          <w:color w:val="auto"/>
          <w:szCs w:val="22"/>
          <w:lang w:val="pt-PT"/>
        </w:rPr>
        <w:t xml:space="preserve"> </w:t>
      </w:r>
      <w:r w:rsidRPr="00110D6C">
        <w:rPr>
          <w:rFonts w:cs="Times New Roman"/>
          <w:color w:val="auto"/>
          <w:szCs w:val="22"/>
          <w:lang w:val="pt-PT"/>
        </w:rPr>
        <w:t>temperatura ambiente até 30</w:t>
      </w:r>
      <w:r w:rsidR="00D10811">
        <w:rPr>
          <w:rFonts w:cs="Times New Roman"/>
          <w:color w:val="auto"/>
          <w:szCs w:val="22"/>
          <w:lang w:val="pt-PT"/>
        </w:rPr>
        <w:t> </w:t>
      </w:r>
      <w:r w:rsidRPr="00110D6C">
        <w:rPr>
          <w:rFonts w:cs="Times New Roman"/>
          <w:color w:val="auto"/>
          <w:szCs w:val="22"/>
          <w:lang w:val="pt-PT"/>
        </w:rPr>
        <w:t>°C por um período de tempo único máximo de até 3</w:t>
      </w:r>
      <w:r w:rsidR="00B910F9" w:rsidRPr="00110D6C">
        <w:rPr>
          <w:rFonts w:cs="Times New Roman"/>
          <w:color w:val="auto"/>
          <w:szCs w:val="22"/>
          <w:lang w:val="pt-PT"/>
        </w:rPr>
        <w:t>0 </w:t>
      </w:r>
      <w:r w:rsidRPr="00110D6C">
        <w:rPr>
          <w:rFonts w:cs="Times New Roman"/>
          <w:color w:val="auto"/>
          <w:szCs w:val="22"/>
          <w:lang w:val="pt-PT"/>
        </w:rPr>
        <w:t>dias, na embalagem de origem para proteger da luz. Tome nota da data quando a seringa pré-cheia é removida pela primeira vez do frigorífico e da data de eliminação no</w:t>
      </w:r>
      <w:r w:rsidR="00D10811">
        <w:rPr>
          <w:rFonts w:cs="Times New Roman"/>
          <w:color w:val="auto"/>
          <w:szCs w:val="22"/>
          <w:lang w:val="pt-PT"/>
        </w:rPr>
        <w:t>s</w:t>
      </w:r>
      <w:r w:rsidRPr="00110D6C">
        <w:rPr>
          <w:rFonts w:cs="Times New Roman"/>
          <w:color w:val="auto"/>
          <w:szCs w:val="22"/>
          <w:lang w:val="pt-PT"/>
        </w:rPr>
        <w:t xml:space="preserve"> espaço</w:t>
      </w:r>
      <w:r w:rsidR="00D10811">
        <w:rPr>
          <w:rFonts w:cs="Times New Roman"/>
          <w:color w:val="auto"/>
          <w:szCs w:val="22"/>
          <w:lang w:val="pt-PT"/>
        </w:rPr>
        <w:t>s</w:t>
      </w:r>
      <w:r w:rsidRPr="00110D6C">
        <w:rPr>
          <w:rFonts w:cs="Times New Roman"/>
          <w:color w:val="auto"/>
          <w:szCs w:val="22"/>
          <w:lang w:val="pt-PT"/>
        </w:rPr>
        <w:t xml:space="preserve"> para o efeito na embalagem exterior. A data de eliminação não deve exceder o prazo de validade original impresso na embalagem. Uma vez uma seringa conservada à temperatura ambiente (até 30</w:t>
      </w:r>
      <w:r w:rsidR="00D10811">
        <w:rPr>
          <w:rFonts w:cs="Times New Roman"/>
          <w:color w:val="auto"/>
          <w:szCs w:val="22"/>
          <w:lang w:val="pt-PT"/>
        </w:rPr>
        <w:t> </w:t>
      </w:r>
      <w:r w:rsidRPr="00110D6C">
        <w:rPr>
          <w:rFonts w:cs="Times New Roman"/>
          <w:color w:val="auto"/>
          <w:szCs w:val="22"/>
          <w:lang w:val="pt-PT"/>
        </w:rPr>
        <w:t>°C), não deve voltar ao frigorífico. Elimine a seringa se não foi utilizada dentro do espaço de 3</w:t>
      </w:r>
      <w:r w:rsidR="00B910F9" w:rsidRPr="00110D6C">
        <w:rPr>
          <w:rFonts w:cs="Times New Roman"/>
          <w:color w:val="auto"/>
          <w:szCs w:val="22"/>
          <w:lang w:val="pt-PT"/>
        </w:rPr>
        <w:t>0 </w:t>
      </w:r>
      <w:r w:rsidRPr="00110D6C">
        <w:rPr>
          <w:rFonts w:cs="Times New Roman"/>
          <w:color w:val="auto"/>
          <w:szCs w:val="22"/>
          <w:lang w:val="pt-PT"/>
        </w:rPr>
        <w:t>dias conservada à temperatura ambiente ou dentro do prazo de validade original, aquele que ocorrer primeiro.</w:t>
      </w:r>
    </w:p>
    <w:p w14:paraId="4BEEB7F7" w14:textId="29E84A65" w:rsidR="0077031F" w:rsidRPr="00110D6C" w:rsidRDefault="00030085" w:rsidP="00D74B6E">
      <w:pPr>
        <w:pStyle w:val="Listenabsatz"/>
        <w:widowControl/>
        <w:numPr>
          <w:ilvl w:val="0"/>
          <w:numId w:val="11"/>
        </w:numPr>
        <w:ind w:left="567" w:hanging="567"/>
        <w:rPr>
          <w:rFonts w:cs="Times New Roman"/>
          <w:color w:val="auto"/>
          <w:szCs w:val="22"/>
          <w:lang w:val="pt-PT"/>
        </w:rPr>
      </w:pPr>
      <w:r w:rsidRPr="00110D6C">
        <w:rPr>
          <w:rFonts w:cs="Times New Roman"/>
          <w:color w:val="auto"/>
          <w:szCs w:val="22"/>
          <w:lang w:val="pt-PT"/>
        </w:rPr>
        <w:t xml:space="preserve">Não agite a seringa pré-cheia de </w:t>
      </w:r>
      <w:r w:rsidR="00D50CFA">
        <w:rPr>
          <w:rFonts w:cs="Times New Roman"/>
          <w:color w:val="auto"/>
          <w:szCs w:val="22"/>
          <w:lang w:val="pt-PT"/>
        </w:rPr>
        <w:t>Fymskina</w:t>
      </w:r>
      <w:r w:rsidRPr="00110D6C">
        <w:rPr>
          <w:rFonts w:cs="Times New Roman"/>
          <w:color w:val="auto"/>
          <w:szCs w:val="22"/>
          <w:lang w:val="pt-PT"/>
        </w:rPr>
        <w:t>. Uma agitação vigorosa prolongada pode danificar o medicamento.</w:t>
      </w:r>
    </w:p>
    <w:p w14:paraId="20145C3E" w14:textId="77777777" w:rsidR="00F026D6" w:rsidRPr="00110D6C" w:rsidRDefault="00F026D6" w:rsidP="00A17623">
      <w:pPr>
        <w:widowControl/>
        <w:rPr>
          <w:rFonts w:cs="Times New Roman"/>
          <w:bCs/>
          <w:color w:val="auto"/>
          <w:szCs w:val="22"/>
          <w:lang w:val="pt-PT"/>
        </w:rPr>
      </w:pPr>
      <w:bookmarkStart w:id="171" w:name="bookmark297"/>
    </w:p>
    <w:p w14:paraId="48238460"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Não utilize este medicamento:</w:t>
      </w:r>
      <w:bookmarkEnd w:id="171"/>
    </w:p>
    <w:p w14:paraId="159A2627" w14:textId="77777777" w:rsidR="0077031F" w:rsidRPr="00110D6C" w:rsidRDefault="00030085" w:rsidP="00D74B6E">
      <w:pPr>
        <w:pStyle w:val="Listenabsatz"/>
        <w:widowControl/>
        <w:numPr>
          <w:ilvl w:val="0"/>
          <w:numId w:val="11"/>
        </w:numPr>
        <w:ind w:left="567" w:hanging="567"/>
        <w:rPr>
          <w:rFonts w:cs="Times New Roman"/>
          <w:color w:val="auto"/>
          <w:szCs w:val="22"/>
          <w:lang w:val="pt-PT"/>
        </w:rPr>
      </w:pPr>
      <w:r w:rsidRPr="00110D6C">
        <w:rPr>
          <w:rFonts w:cs="Times New Roman"/>
          <w:color w:val="auto"/>
          <w:szCs w:val="22"/>
          <w:lang w:val="pt-PT"/>
        </w:rPr>
        <w:t>Após o prazo de validade impresso no rótulo e na embalagem exterior, após “VAL”. O prazo de</w:t>
      </w:r>
      <w:r w:rsidR="00F026D6" w:rsidRPr="00110D6C">
        <w:rPr>
          <w:rFonts w:cs="Times New Roman"/>
          <w:color w:val="auto"/>
          <w:szCs w:val="22"/>
          <w:lang w:val="pt-PT"/>
        </w:rPr>
        <w:t xml:space="preserve"> </w:t>
      </w:r>
      <w:r w:rsidRPr="00110D6C">
        <w:rPr>
          <w:rFonts w:cs="Times New Roman"/>
          <w:color w:val="auto"/>
          <w:szCs w:val="22"/>
          <w:lang w:val="pt-PT"/>
        </w:rPr>
        <w:t>validade corresponde ao último dia do mês indicado.</w:t>
      </w:r>
    </w:p>
    <w:p w14:paraId="55B66063" w14:textId="4F7AD3BD" w:rsidR="0077031F" w:rsidRPr="00110D6C" w:rsidRDefault="00030085" w:rsidP="00D74B6E">
      <w:pPr>
        <w:pStyle w:val="Listenabsatz"/>
        <w:widowControl/>
        <w:numPr>
          <w:ilvl w:val="0"/>
          <w:numId w:val="11"/>
        </w:numPr>
        <w:ind w:left="567" w:hanging="567"/>
        <w:rPr>
          <w:rFonts w:cs="Times New Roman"/>
          <w:color w:val="auto"/>
          <w:szCs w:val="22"/>
          <w:lang w:val="pt-PT"/>
        </w:rPr>
      </w:pPr>
      <w:r w:rsidRPr="00110D6C">
        <w:rPr>
          <w:rFonts w:cs="Times New Roman"/>
          <w:color w:val="auto"/>
          <w:szCs w:val="22"/>
          <w:lang w:val="pt-PT"/>
        </w:rPr>
        <w:t>Se o líquido estiver descolorado, turvo ou se observar outras partículas estranhas em suspensão</w:t>
      </w:r>
      <w:r w:rsidR="00F026D6" w:rsidRPr="00110D6C">
        <w:rPr>
          <w:rFonts w:cs="Times New Roman"/>
          <w:color w:val="auto"/>
          <w:szCs w:val="22"/>
          <w:lang w:val="pt-PT"/>
        </w:rPr>
        <w:t xml:space="preserve"> </w:t>
      </w:r>
      <w:r w:rsidRPr="00110D6C">
        <w:rPr>
          <w:rFonts w:cs="Times New Roman"/>
          <w:color w:val="auto"/>
          <w:szCs w:val="22"/>
          <w:lang w:val="pt-PT"/>
        </w:rPr>
        <w:t xml:space="preserve">(ver a secção </w:t>
      </w:r>
      <w:r w:rsidR="00B910F9" w:rsidRPr="00110D6C">
        <w:rPr>
          <w:rFonts w:cs="Times New Roman"/>
          <w:color w:val="auto"/>
          <w:szCs w:val="22"/>
          <w:lang w:val="pt-PT"/>
        </w:rPr>
        <w:t>6 </w:t>
      </w:r>
      <w:r w:rsidRPr="00110D6C">
        <w:rPr>
          <w:rFonts w:cs="Times New Roman"/>
          <w:color w:val="auto"/>
          <w:szCs w:val="22"/>
          <w:lang w:val="pt-PT"/>
        </w:rPr>
        <w:t xml:space="preserve">“Qual o aspeto de </w:t>
      </w:r>
      <w:r w:rsidR="00D50CFA">
        <w:rPr>
          <w:rFonts w:cs="Times New Roman"/>
          <w:color w:val="auto"/>
          <w:szCs w:val="22"/>
          <w:lang w:val="pt-PT"/>
        </w:rPr>
        <w:t>Fymskina</w:t>
      </w:r>
      <w:r w:rsidRPr="00110D6C">
        <w:rPr>
          <w:rFonts w:cs="Times New Roman"/>
          <w:color w:val="auto"/>
          <w:szCs w:val="22"/>
          <w:lang w:val="pt-PT"/>
        </w:rPr>
        <w:t xml:space="preserve"> e conteúdo da embalagem”).</w:t>
      </w:r>
    </w:p>
    <w:p w14:paraId="509C94F9" w14:textId="77777777" w:rsidR="0077031F" w:rsidRPr="00110D6C" w:rsidRDefault="00030085" w:rsidP="00D74B6E">
      <w:pPr>
        <w:pStyle w:val="Listenabsatz"/>
        <w:widowControl/>
        <w:numPr>
          <w:ilvl w:val="0"/>
          <w:numId w:val="11"/>
        </w:numPr>
        <w:ind w:left="567" w:hanging="567"/>
        <w:rPr>
          <w:rFonts w:cs="Times New Roman"/>
          <w:color w:val="auto"/>
          <w:szCs w:val="22"/>
          <w:lang w:val="pt-PT"/>
        </w:rPr>
      </w:pPr>
      <w:r w:rsidRPr="00110D6C">
        <w:rPr>
          <w:rFonts w:cs="Times New Roman"/>
          <w:color w:val="auto"/>
          <w:szCs w:val="22"/>
          <w:lang w:val="pt-PT"/>
        </w:rPr>
        <w:t>Se sabe ou pensa que o medicamento tenha sido exposto a temperaturas extremas (tal como</w:t>
      </w:r>
      <w:r w:rsidR="00F026D6" w:rsidRPr="00110D6C">
        <w:rPr>
          <w:rFonts w:cs="Times New Roman"/>
          <w:color w:val="auto"/>
          <w:szCs w:val="22"/>
          <w:lang w:val="pt-PT"/>
        </w:rPr>
        <w:t xml:space="preserve"> </w:t>
      </w:r>
      <w:r w:rsidRPr="00110D6C">
        <w:rPr>
          <w:rFonts w:cs="Times New Roman"/>
          <w:color w:val="auto"/>
          <w:szCs w:val="22"/>
          <w:lang w:val="pt-PT"/>
        </w:rPr>
        <w:t>acidentalmente congelado ou aquecido).</w:t>
      </w:r>
    </w:p>
    <w:p w14:paraId="220BFA96" w14:textId="77777777" w:rsidR="0077031F" w:rsidRPr="00110D6C" w:rsidRDefault="00030085" w:rsidP="00D74B6E">
      <w:pPr>
        <w:pStyle w:val="Listenabsatz"/>
        <w:widowControl/>
        <w:numPr>
          <w:ilvl w:val="0"/>
          <w:numId w:val="11"/>
        </w:numPr>
        <w:ind w:left="567" w:hanging="567"/>
        <w:rPr>
          <w:rFonts w:cs="Times New Roman"/>
          <w:color w:val="auto"/>
          <w:szCs w:val="22"/>
          <w:lang w:val="pt-PT"/>
        </w:rPr>
      </w:pPr>
      <w:r w:rsidRPr="00110D6C">
        <w:rPr>
          <w:rFonts w:cs="Times New Roman"/>
          <w:color w:val="auto"/>
          <w:szCs w:val="22"/>
          <w:lang w:val="pt-PT"/>
        </w:rPr>
        <w:t>Se o medicamento foi vigorosamente agitado.</w:t>
      </w:r>
    </w:p>
    <w:p w14:paraId="40991612" w14:textId="77777777" w:rsidR="00F026D6" w:rsidRPr="00110D6C" w:rsidRDefault="00F026D6" w:rsidP="00A17623">
      <w:pPr>
        <w:widowControl/>
        <w:rPr>
          <w:rFonts w:cs="Times New Roman"/>
          <w:color w:val="auto"/>
          <w:szCs w:val="22"/>
          <w:lang w:val="pt-PT"/>
        </w:rPr>
      </w:pPr>
    </w:p>
    <w:p w14:paraId="4BF0989D" w14:textId="3619EBB4" w:rsidR="0077031F" w:rsidRPr="00110D6C" w:rsidRDefault="00D50CFA" w:rsidP="00A17623">
      <w:pPr>
        <w:widowControl/>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destina-se apenas para administração única. Qualquer produto não utilizado que fique na seringa deve ser deitado fora. Não deite fora quaisquer medicamentos na canalização ou no lixo doméstico. Pergunte ao seu farmacêutico como deitar fora os medicamentos que já não utiliza. Estas medidas ajudarão a proteger o ambiente.</w:t>
      </w:r>
    </w:p>
    <w:p w14:paraId="681BA456" w14:textId="77777777" w:rsidR="00F026D6" w:rsidRPr="00110D6C" w:rsidRDefault="00F026D6" w:rsidP="00A17623">
      <w:pPr>
        <w:widowControl/>
        <w:rPr>
          <w:rFonts w:cs="Times New Roman"/>
          <w:color w:val="auto"/>
          <w:szCs w:val="22"/>
          <w:lang w:val="pt-PT"/>
        </w:rPr>
      </w:pPr>
    </w:p>
    <w:p w14:paraId="077C6744" w14:textId="77777777" w:rsidR="00F026D6" w:rsidRPr="00110D6C" w:rsidRDefault="00F026D6" w:rsidP="00A17623">
      <w:pPr>
        <w:widowControl/>
        <w:rPr>
          <w:rFonts w:cs="Times New Roman"/>
          <w:color w:val="auto"/>
          <w:szCs w:val="22"/>
          <w:lang w:val="pt-PT"/>
        </w:rPr>
      </w:pPr>
    </w:p>
    <w:p w14:paraId="4A923E05" w14:textId="77777777" w:rsidR="0077031F" w:rsidRPr="00110D6C" w:rsidRDefault="00DC3C01" w:rsidP="00A17623">
      <w:pPr>
        <w:widowControl/>
        <w:ind w:left="567" w:hanging="567"/>
        <w:rPr>
          <w:rFonts w:cs="Times New Roman"/>
          <w:color w:val="auto"/>
          <w:szCs w:val="22"/>
          <w:lang w:val="pt-PT"/>
        </w:rPr>
      </w:pPr>
      <w:bookmarkStart w:id="172" w:name="bookmark299"/>
      <w:r w:rsidRPr="00110D6C">
        <w:rPr>
          <w:rFonts w:cs="Times New Roman"/>
          <w:b/>
          <w:bCs/>
          <w:color w:val="auto"/>
          <w:szCs w:val="22"/>
          <w:lang w:val="pt-PT"/>
        </w:rPr>
        <w:t>6.</w:t>
      </w:r>
      <w:r w:rsidRPr="00110D6C">
        <w:rPr>
          <w:rFonts w:cs="Times New Roman"/>
          <w:b/>
          <w:bCs/>
          <w:color w:val="auto"/>
          <w:szCs w:val="22"/>
          <w:lang w:val="pt-PT"/>
        </w:rPr>
        <w:tab/>
      </w:r>
      <w:r w:rsidR="00030085" w:rsidRPr="00110D6C">
        <w:rPr>
          <w:rFonts w:cs="Times New Roman"/>
          <w:b/>
          <w:bCs/>
          <w:color w:val="auto"/>
          <w:szCs w:val="22"/>
          <w:lang w:val="pt-PT"/>
        </w:rPr>
        <w:t>Conteúdo da embalagem e outras informações</w:t>
      </w:r>
      <w:bookmarkEnd w:id="172"/>
    </w:p>
    <w:p w14:paraId="676226FF" w14:textId="77777777" w:rsidR="00F026D6" w:rsidRPr="00110D6C" w:rsidRDefault="00F026D6" w:rsidP="00A17623">
      <w:pPr>
        <w:widowControl/>
        <w:rPr>
          <w:rFonts w:cs="Times New Roman"/>
          <w:bCs/>
          <w:color w:val="auto"/>
          <w:szCs w:val="22"/>
          <w:lang w:val="pt-PT"/>
        </w:rPr>
      </w:pPr>
    </w:p>
    <w:p w14:paraId="3B7EF508" w14:textId="1B741D6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Qual a composição de </w:t>
      </w:r>
      <w:r w:rsidR="00D50CFA">
        <w:rPr>
          <w:rFonts w:cs="Times New Roman"/>
          <w:b/>
          <w:bCs/>
          <w:color w:val="auto"/>
          <w:szCs w:val="22"/>
          <w:lang w:val="pt-PT"/>
        </w:rPr>
        <w:t>Fymskina</w:t>
      </w:r>
    </w:p>
    <w:p w14:paraId="108AF911" w14:textId="77777777" w:rsidR="0077031F" w:rsidRPr="00110D6C" w:rsidRDefault="00030085" w:rsidP="00D74B6E">
      <w:pPr>
        <w:pStyle w:val="Listenabsatz"/>
        <w:widowControl/>
        <w:numPr>
          <w:ilvl w:val="0"/>
          <w:numId w:val="11"/>
        </w:numPr>
        <w:ind w:left="567" w:hanging="567"/>
        <w:rPr>
          <w:rFonts w:cs="Times New Roman"/>
          <w:color w:val="auto"/>
          <w:szCs w:val="22"/>
          <w:lang w:val="pt-PT"/>
        </w:rPr>
      </w:pPr>
      <w:r w:rsidRPr="00110D6C">
        <w:rPr>
          <w:rFonts w:cs="Times New Roman"/>
          <w:color w:val="auto"/>
          <w:szCs w:val="22"/>
          <w:lang w:val="pt-PT"/>
        </w:rPr>
        <w:t>A substância ativa é o ustecinumab. Cada seringa pré-cheia contém 4</w:t>
      </w:r>
      <w:r w:rsidR="00B910F9" w:rsidRPr="00110D6C">
        <w:rPr>
          <w:rFonts w:cs="Times New Roman"/>
          <w:color w:val="auto"/>
          <w:szCs w:val="22"/>
          <w:lang w:val="pt-PT"/>
        </w:rPr>
        <w:t>5 </w:t>
      </w:r>
      <w:r w:rsidRPr="00110D6C">
        <w:rPr>
          <w:rFonts w:cs="Times New Roman"/>
          <w:color w:val="auto"/>
          <w:szCs w:val="22"/>
          <w:lang w:val="pt-PT"/>
        </w:rPr>
        <w:t>mg de ustecinumab em</w:t>
      </w:r>
      <w:r w:rsidR="00F026D6" w:rsidRPr="00110D6C">
        <w:rPr>
          <w:rFonts w:cs="Times New Roman"/>
          <w:color w:val="auto"/>
          <w:szCs w:val="22"/>
          <w:lang w:val="pt-PT"/>
        </w:rPr>
        <w:t xml:space="preserve"> </w:t>
      </w:r>
      <w:r w:rsidRPr="00110D6C">
        <w:rPr>
          <w:rFonts w:cs="Times New Roman"/>
          <w:color w:val="auto"/>
          <w:szCs w:val="22"/>
          <w:lang w:val="pt-PT"/>
        </w:rPr>
        <w:t>0,</w:t>
      </w:r>
      <w:r w:rsidR="00B910F9" w:rsidRPr="00110D6C">
        <w:rPr>
          <w:rFonts w:cs="Times New Roman"/>
          <w:color w:val="auto"/>
          <w:szCs w:val="22"/>
          <w:lang w:val="pt-PT"/>
        </w:rPr>
        <w:t>5 </w:t>
      </w:r>
      <w:r w:rsidRPr="00110D6C">
        <w:rPr>
          <w:rFonts w:cs="Times New Roman"/>
          <w:color w:val="auto"/>
          <w:szCs w:val="22"/>
          <w:lang w:val="pt-PT"/>
        </w:rPr>
        <w:t>ml.</w:t>
      </w:r>
    </w:p>
    <w:p w14:paraId="3E81CDC1" w14:textId="3C723662" w:rsidR="0077031F" w:rsidRPr="00110D6C" w:rsidRDefault="00030085" w:rsidP="00D74B6E">
      <w:pPr>
        <w:pStyle w:val="Listenabsatz"/>
        <w:widowControl/>
        <w:numPr>
          <w:ilvl w:val="0"/>
          <w:numId w:val="11"/>
        </w:numPr>
        <w:ind w:left="567" w:hanging="567"/>
        <w:rPr>
          <w:rFonts w:cs="Times New Roman"/>
          <w:color w:val="auto"/>
          <w:szCs w:val="22"/>
          <w:lang w:val="pt-PT"/>
        </w:rPr>
      </w:pPr>
      <w:r w:rsidRPr="00110D6C">
        <w:rPr>
          <w:rFonts w:cs="Times New Roman"/>
          <w:color w:val="auto"/>
          <w:szCs w:val="22"/>
          <w:lang w:val="pt-PT"/>
        </w:rPr>
        <w:t>Os outros componentes são L-histidina, polissorbato 80</w:t>
      </w:r>
      <w:r w:rsidR="002F6714">
        <w:rPr>
          <w:rFonts w:cs="Times New Roman"/>
          <w:color w:val="auto"/>
          <w:szCs w:val="22"/>
          <w:lang w:val="pt-PT"/>
        </w:rPr>
        <w:t xml:space="preserve"> (E433)</w:t>
      </w:r>
      <w:r w:rsidRPr="00110D6C">
        <w:rPr>
          <w:rFonts w:cs="Times New Roman"/>
          <w:color w:val="auto"/>
          <w:szCs w:val="22"/>
          <w:lang w:val="pt-PT"/>
        </w:rPr>
        <w:t>, sacarose</w:t>
      </w:r>
      <w:r w:rsidR="00D10811">
        <w:rPr>
          <w:rFonts w:cs="Times New Roman"/>
          <w:color w:val="auto"/>
          <w:szCs w:val="22"/>
          <w:lang w:val="pt-PT"/>
        </w:rPr>
        <w:t>,</w:t>
      </w:r>
      <w:r w:rsidRPr="00110D6C">
        <w:rPr>
          <w:rFonts w:cs="Times New Roman"/>
          <w:color w:val="auto"/>
          <w:szCs w:val="22"/>
          <w:lang w:val="pt-PT"/>
        </w:rPr>
        <w:t xml:space="preserve"> água para preparações injetáveis</w:t>
      </w:r>
      <w:r w:rsidR="00D10811">
        <w:rPr>
          <w:rFonts w:cs="Times New Roman"/>
          <w:color w:val="auto"/>
          <w:szCs w:val="22"/>
          <w:lang w:val="pt-PT"/>
        </w:rPr>
        <w:t xml:space="preserve"> e ácido clorídrico (para ajuste do pH)</w:t>
      </w:r>
      <w:r w:rsidRPr="00110D6C">
        <w:rPr>
          <w:rFonts w:cs="Times New Roman"/>
          <w:color w:val="auto"/>
          <w:szCs w:val="22"/>
          <w:lang w:val="pt-PT"/>
        </w:rPr>
        <w:t>.</w:t>
      </w:r>
    </w:p>
    <w:p w14:paraId="14BF3105" w14:textId="77777777" w:rsidR="00F026D6" w:rsidRPr="00110D6C" w:rsidRDefault="00F026D6" w:rsidP="00A17623">
      <w:pPr>
        <w:widowControl/>
        <w:rPr>
          <w:rFonts w:cs="Times New Roman"/>
          <w:bCs/>
          <w:color w:val="auto"/>
          <w:szCs w:val="22"/>
          <w:lang w:val="pt-PT"/>
        </w:rPr>
      </w:pPr>
      <w:bookmarkStart w:id="173" w:name="bookmark302"/>
    </w:p>
    <w:p w14:paraId="05C8405F" w14:textId="049D2D4A"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Qual o aspeto de </w:t>
      </w:r>
      <w:r w:rsidR="00D50CFA">
        <w:rPr>
          <w:rFonts w:cs="Times New Roman"/>
          <w:b/>
          <w:bCs/>
          <w:color w:val="auto"/>
          <w:szCs w:val="22"/>
          <w:lang w:val="pt-PT"/>
        </w:rPr>
        <w:t>Fymskina</w:t>
      </w:r>
      <w:r w:rsidRPr="00110D6C">
        <w:rPr>
          <w:rFonts w:cs="Times New Roman"/>
          <w:b/>
          <w:bCs/>
          <w:color w:val="auto"/>
          <w:szCs w:val="22"/>
          <w:lang w:val="pt-PT"/>
        </w:rPr>
        <w:t xml:space="preserve"> e conteúdo da embalagem</w:t>
      </w:r>
      <w:bookmarkEnd w:id="173"/>
    </w:p>
    <w:p w14:paraId="6E5A2EC9" w14:textId="3FBEEEB9" w:rsidR="0077031F" w:rsidRPr="00110D6C" w:rsidRDefault="00D50CFA" w:rsidP="00A17623">
      <w:pPr>
        <w:widowControl/>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é uma solução injetável transparente, incolor a </w:t>
      </w:r>
      <w:r w:rsidR="00D10811">
        <w:rPr>
          <w:rFonts w:cs="Times New Roman"/>
          <w:color w:val="auto"/>
          <w:szCs w:val="22"/>
          <w:lang w:val="pt-PT"/>
        </w:rPr>
        <w:t xml:space="preserve">ligeiramente </w:t>
      </w:r>
      <w:r w:rsidR="00030085" w:rsidRPr="00110D6C">
        <w:rPr>
          <w:rFonts w:cs="Times New Roman"/>
          <w:color w:val="auto"/>
          <w:szCs w:val="22"/>
          <w:lang w:val="pt-PT"/>
        </w:rPr>
        <w:t>amarela</w:t>
      </w:r>
      <w:r w:rsidR="00D10811">
        <w:rPr>
          <w:rFonts w:cs="Times New Roman"/>
          <w:color w:val="auto"/>
          <w:szCs w:val="22"/>
          <w:lang w:val="pt-PT"/>
        </w:rPr>
        <w:t>-acastanhada</w:t>
      </w:r>
      <w:r w:rsidR="00030085" w:rsidRPr="00110D6C">
        <w:rPr>
          <w:rFonts w:cs="Times New Roman"/>
          <w:color w:val="auto"/>
          <w:szCs w:val="22"/>
          <w:lang w:val="pt-PT"/>
        </w:rPr>
        <w:t xml:space="preserve">. Apresenta-se numa embalagem de cartão contendo </w:t>
      </w:r>
      <w:r w:rsidR="00B910F9" w:rsidRPr="00110D6C">
        <w:rPr>
          <w:rFonts w:cs="Times New Roman"/>
          <w:color w:val="auto"/>
          <w:szCs w:val="22"/>
          <w:lang w:val="pt-PT"/>
        </w:rPr>
        <w:t>1 </w:t>
      </w:r>
      <w:r w:rsidR="00030085" w:rsidRPr="00110D6C">
        <w:rPr>
          <w:rFonts w:cs="Times New Roman"/>
          <w:color w:val="auto"/>
          <w:szCs w:val="22"/>
          <w:lang w:val="pt-PT"/>
        </w:rPr>
        <w:t xml:space="preserve">seringa pré-cheia de vidro de dose única de </w:t>
      </w:r>
      <w:r w:rsidR="00B910F9" w:rsidRPr="00110D6C">
        <w:rPr>
          <w:rFonts w:cs="Times New Roman"/>
          <w:color w:val="auto"/>
          <w:szCs w:val="22"/>
          <w:lang w:val="pt-PT"/>
        </w:rPr>
        <w:t>1 </w:t>
      </w:r>
      <w:r w:rsidR="00030085" w:rsidRPr="00110D6C">
        <w:rPr>
          <w:rFonts w:cs="Times New Roman"/>
          <w:color w:val="auto"/>
          <w:szCs w:val="22"/>
          <w:lang w:val="pt-PT"/>
        </w:rPr>
        <w:t>ml. Cada seringa pré-cheia contém 4</w:t>
      </w:r>
      <w:r w:rsidR="00B910F9" w:rsidRPr="00110D6C">
        <w:rPr>
          <w:rFonts w:cs="Times New Roman"/>
          <w:color w:val="auto"/>
          <w:szCs w:val="22"/>
          <w:lang w:val="pt-PT"/>
        </w:rPr>
        <w:t>5 </w:t>
      </w:r>
      <w:r w:rsidR="00030085" w:rsidRPr="00110D6C">
        <w:rPr>
          <w:rFonts w:cs="Times New Roman"/>
          <w:color w:val="auto"/>
          <w:szCs w:val="22"/>
          <w:lang w:val="pt-PT"/>
        </w:rPr>
        <w:t>mg de ustecinumab em 0,</w:t>
      </w:r>
      <w:r w:rsidR="00B910F9" w:rsidRPr="00110D6C">
        <w:rPr>
          <w:rFonts w:cs="Times New Roman"/>
          <w:color w:val="auto"/>
          <w:szCs w:val="22"/>
          <w:lang w:val="pt-PT"/>
        </w:rPr>
        <w:t>5 </w:t>
      </w:r>
      <w:r w:rsidR="00030085" w:rsidRPr="00110D6C">
        <w:rPr>
          <w:rFonts w:cs="Times New Roman"/>
          <w:color w:val="auto"/>
          <w:szCs w:val="22"/>
          <w:lang w:val="pt-PT"/>
        </w:rPr>
        <w:t>ml de solução injetável.</w:t>
      </w:r>
    </w:p>
    <w:p w14:paraId="14C1D0A7" w14:textId="77777777" w:rsidR="00F026D6" w:rsidRPr="00110D6C" w:rsidRDefault="00F026D6" w:rsidP="00A17623">
      <w:pPr>
        <w:widowControl/>
        <w:rPr>
          <w:rFonts w:cs="Times New Roman"/>
          <w:bCs/>
          <w:color w:val="auto"/>
          <w:szCs w:val="22"/>
          <w:lang w:val="pt-PT"/>
        </w:rPr>
      </w:pPr>
      <w:bookmarkStart w:id="174" w:name="bookmark304"/>
    </w:p>
    <w:p w14:paraId="6A6E656A" w14:textId="1AB81743"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Titular da Autorização de Introdução no Mercado</w:t>
      </w:r>
      <w:bookmarkEnd w:id="174"/>
      <w:ins w:id="175" w:author="translator" w:date="2025-06-25T11:22:00Z">
        <w:r w:rsidR="00EA3686">
          <w:rPr>
            <w:rFonts w:cs="Times New Roman"/>
            <w:b/>
            <w:bCs/>
            <w:color w:val="auto"/>
            <w:szCs w:val="22"/>
            <w:lang w:val="pt-PT"/>
          </w:rPr>
          <w:t xml:space="preserve"> e Fabricante</w:t>
        </w:r>
      </w:ins>
    </w:p>
    <w:p w14:paraId="37596F7B" w14:textId="77777777" w:rsidR="00D10811" w:rsidRPr="00492A01" w:rsidRDefault="00D10811" w:rsidP="00D10811">
      <w:pPr>
        <w:pStyle w:val="Textkrper"/>
        <w:rPr>
          <w:lang w:val="pt-PT"/>
        </w:rPr>
      </w:pPr>
      <w:r w:rsidRPr="00492A01">
        <w:rPr>
          <w:lang w:val="pt-PT"/>
        </w:rPr>
        <w:t>Formycon AG</w:t>
      </w:r>
    </w:p>
    <w:p w14:paraId="7D168E1B" w14:textId="77777777" w:rsidR="00D10811" w:rsidRPr="00492A01" w:rsidRDefault="00D10811" w:rsidP="00D10811">
      <w:pPr>
        <w:pStyle w:val="Textkrper"/>
        <w:rPr>
          <w:lang w:val="pt-PT"/>
        </w:rPr>
      </w:pPr>
      <w:r w:rsidRPr="00492A01">
        <w:rPr>
          <w:lang w:val="pt-PT"/>
        </w:rPr>
        <w:t>Fraunhoferstraße 15</w:t>
      </w:r>
    </w:p>
    <w:p w14:paraId="6556AC80" w14:textId="77777777" w:rsidR="00D10811" w:rsidRPr="00492A01" w:rsidRDefault="00D10811" w:rsidP="00D10811">
      <w:pPr>
        <w:pStyle w:val="Textkrper"/>
        <w:rPr>
          <w:lang w:val="pt-PT"/>
        </w:rPr>
      </w:pPr>
      <w:r w:rsidRPr="00492A01">
        <w:rPr>
          <w:lang w:val="pt-PT"/>
        </w:rPr>
        <w:t>82152 Martinsried/Planegg</w:t>
      </w:r>
    </w:p>
    <w:p w14:paraId="789654CB" w14:textId="77777777" w:rsidR="00D10811" w:rsidRDefault="00D10811" w:rsidP="00A17623">
      <w:pPr>
        <w:widowControl/>
        <w:rPr>
          <w:rFonts w:cs="Times New Roman"/>
          <w:color w:val="auto"/>
          <w:szCs w:val="22"/>
          <w:lang w:val="pt-PT"/>
        </w:rPr>
      </w:pPr>
      <w:r>
        <w:rPr>
          <w:rFonts w:cs="Times New Roman"/>
          <w:color w:val="auto"/>
          <w:szCs w:val="22"/>
          <w:lang w:val="pt-PT"/>
        </w:rPr>
        <w:t>Alemanha</w:t>
      </w:r>
    </w:p>
    <w:p w14:paraId="1F76E735" w14:textId="35FB5E75" w:rsidR="00F026D6" w:rsidRPr="00110D6C" w:rsidDel="00EA3686" w:rsidRDefault="00F026D6" w:rsidP="00A17623">
      <w:pPr>
        <w:widowControl/>
        <w:rPr>
          <w:del w:id="176" w:author="translator" w:date="2025-06-25T11:22:00Z"/>
          <w:rFonts w:cs="Times New Roman"/>
          <w:bCs/>
          <w:color w:val="auto"/>
          <w:szCs w:val="22"/>
          <w:lang w:val="pt-PT"/>
        </w:rPr>
      </w:pPr>
      <w:bookmarkStart w:id="177" w:name="bookmark306"/>
    </w:p>
    <w:p w14:paraId="2F908E15" w14:textId="17776701" w:rsidR="0077031F" w:rsidRPr="00110D6C" w:rsidDel="00EA3686" w:rsidRDefault="00030085" w:rsidP="00A17623">
      <w:pPr>
        <w:widowControl/>
        <w:rPr>
          <w:del w:id="178" w:author="translator" w:date="2025-06-25T11:22:00Z"/>
          <w:rFonts w:cs="Times New Roman"/>
          <w:color w:val="auto"/>
          <w:szCs w:val="22"/>
          <w:lang w:val="pt-PT"/>
        </w:rPr>
      </w:pPr>
      <w:del w:id="179" w:author="translator" w:date="2025-06-25T11:22:00Z">
        <w:r w:rsidRPr="00110D6C" w:rsidDel="00EA3686">
          <w:rPr>
            <w:rFonts w:cs="Times New Roman"/>
            <w:b/>
            <w:bCs/>
            <w:color w:val="auto"/>
            <w:szCs w:val="22"/>
            <w:lang w:val="pt-PT"/>
          </w:rPr>
          <w:delText>Fabricante</w:delText>
        </w:r>
        <w:bookmarkEnd w:id="177"/>
      </w:del>
    </w:p>
    <w:p w14:paraId="1954DBDD" w14:textId="47EC2ED5" w:rsidR="00D10811" w:rsidRPr="00492A01" w:rsidDel="00EA3686" w:rsidRDefault="00D10811" w:rsidP="00D10811">
      <w:pPr>
        <w:keepNext/>
        <w:widowControl/>
        <w:rPr>
          <w:del w:id="180" w:author="translator" w:date="2025-06-25T11:22:00Z"/>
          <w:lang w:val="it-IT"/>
        </w:rPr>
      </w:pPr>
      <w:del w:id="181" w:author="translator" w:date="2025-06-25T11:22:00Z">
        <w:r w:rsidRPr="00492A01" w:rsidDel="00EA3686">
          <w:rPr>
            <w:lang w:val="it-IT"/>
          </w:rPr>
          <w:delText>Fresenius Kabi Austria GmbH</w:delText>
        </w:r>
      </w:del>
    </w:p>
    <w:p w14:paraId="67835EBC" w14:textId="47F44567" w:rsidR="00D10811" w:rsidRPr="00492A01" w:rsidDel="00EA3686" w:rsidRDefault="00D10811" w:rsidP="00D10811">
      <w:pPr>
        <w:keepNext/>
        <w:widowControl/>
        <w:rPr>
          <w:del w:id="182" w:author="translator" w:date="2025-06-25T11:22:00Z"/>
          <w:lang w:val="it-IT"/>
        </w:rPr>
      </w:pPr>
      <w:del w:id="183" w:author="translator" w:date="2025-06-25T11:22:00Z">
        <w:r w:rsidRPr="00492A01" w:rsidDel="00EA3686">
          <w:rPr>
            <w:lang w:val="it-IT"/>
          </w:rPr>
          <w:delText>Hafnerstraße 36</w:delText>
        </w:r>
      </w:del>
    </w:p>
    <w:p w14:paraId="35D64E01" w14:textId="79B77315" w:rsidR="00D10811" w:rsidRPr="00A9610F" w:rsidDel="00EA3686" w:rsidRDefault="00D10811" w:rsidP="00D10811">
      <w:pPr>
        <w:keepNext/>
        <w:widowControl/>
        <w:rPr>
          <w:del w:id="184" w:author="translator" w:date="2025-06-25T11:22:00Z"/>
        </w:rPr>
      </w:pPr>
      <w:del w:id="185" w:author="translator" w:date="2025-06-25T11:22:00Z">
        <w:r w:rsidRPr="00A9610F" w:rsidDel="00EA3686">
          <w:delText>8055 Graz</w:delText>
        </w:r>
      </w:del>
    </w:p>
    <w:p w14:paraId="797B51EE" w14:textId="2295FC56" w:rsidR="00D10811" w:rsidRPr="00A9610F" w:rsidDel="00EA3686" w:rsidRDefault="00D10811" w:rsidP="00D10811">
      <w:pPr>
        <w:keepNext/>
        <w:widowControl/>
        <w:rPr>
          <w:del w:id="186" w:author="translator" w:date="2025-06-25T11:22:00Z"/>
        </w:rPr>
      </w:pPr>
      <w:del w:id="187" w:author="translator" w:date="2025-06-25T11:22:00Z">
        <w:r w:rsidDel="00EA3686">
          <w:delText>Á</w:delText>
        </w:r>
        <w:r w:rsidRPr="00A9610F" w:rsidDel="00EA3686">
          <w:delText>ustria</w:delText>
        </w:r>
      </w:del>
    </w:p>
    <w:p w14:paraId="23F582A7" w14:textId="77777777" w:rsidR="00F026D6" w:rsidRPr="00110D6C" w:rsidRDefault="00F026D6" w:rsidP="00A17623">
      <w:pPr>
        <w:widowControl/>
        <w:rPr>
          <w:rFonts w:cs="Times New Roman"/>
          <w:bCs/>
          <w:color w:val="auto"/>
          <w:szCs w:val="22"/>
          <w:lang w:val="pt-PT"/>
        </w:rPr>
      </w:pPr>
      <w:bookmarkStart w:id="188" w:name="bookmark308"/>
    </w:p>
    <w:p w14:paraId="0977221C" w14:textId="77777777" w:rsidR="006F7F0F" w:rsidRPr="00E124FE" w:rsidRDefault="006F7F0F" w:rsidP="006F7F0F">
      <w:pPr>
        <w:numPr>
          <w:ilvl w:val="12"/>
          <w:numId w:val="0"/>
        </w:numPr>
        <w:rPr>
          <w:szCs w:val="22"/>
        </w:rPr>
      </w:pPr>
      <w:r w:rsidRPr="00E124FE">
        <w:rPr>
          <w:szCs w:val="22"/>
        </w:rPr>
        <w:t xml:space="preserve">Para quaisquer informações sobre este medicamento, queira </w:t>
      </w:r>
      <w:r w:rsidRPr="00043C2E">
        <w:rPr>
          <w:szCs w:val="22"/>
          <w:lang w:val="pt-PT"/>
        </w:rPr>
        <w:t>contactar</w:t>
      </w:r>
      <w:r w:rsidRPr="00E124FE">
        <w:rPr>
          <w:szCs w:val="22"/>
        </w:rPr>
        <w:t xml:space="preserve"> o representante local do Titular da Autorização de Introdução no Mercado:</w:t>
      </w:r>
    </w:p>
    <w:p w14:paraId="3A643AEE" w14:textId="77777777" w:rsidR="006F7F0F" w:rsidRPr="00043C2E" w:rsidRDefault="006F7F0F" w:rsidP="006F7F0F">
      <w:pPr>
        <w:pStyle w:val="Textkrper"/>
        <w:rPr>
          <w:rFonts w:asciiTheme="majorBidi" w:hAnsiTheme="majorBidi" w:cstheme="majorBidi"/>
          <w:lang w:val="pt-PT"/>
        </w:rPr>
      </w:pPr>
    </w:p>
    <w:p w14:paraId="32357D20" w14:textId="77777777" w:rsidR="006F7F0F" w:rsidRPr="0097727A" w:rsidRDefault="006F7F0F" w:rsidP="006F7F0F">
      <w:pPr>
        <w:pStyle w:val="Textkrper"/>
        <w:rPr>
          <w:rFonts w:asciiTheme="majorBidi" w:hAnsiTheme="majorBidi" w:cstheme="majorBidi"/>
          <w:b/>
          <w:bCs/>
          <w:lang w:val="pt-PT"/>
        </w:rPr>
      </w:pPr>
      <w:r w:rsidRPr="0097727A">
        <w:rPr>
          <w:rFonts w:asciiTheme="majorBidi" w:hAnsiTheme="majorBidi" w:cstheme="majorBidi"/>
          <w:b/>
          <w:bCs/>
          <w:lang w:val="pt-PT"/>
        </w:rPr>
        <w:t>BE / BG / CZ / DK / EE / IE / IS / EL / ES / FR / HR / IT / CY / LV / LT / LU / HU / MT / NL / NO / AT / PL / PT / RO / SI / SK / FI / SE</w:t>
      </w:r>
    </w:p>
    <w:p w14:paraId="490E0519" w14:textId="77777777" w:rsidR="006F7F0F" w:rsidRPr="0097727A" w:rsidRDefault="006F7F0F" w:rsidP="006F7F0F">
      <w:pPr>
        <w:pStyle w:val="Textkrper"/>
        <w:rPr>
          <w:rFonts w:asciiTheme="majorBidi" w:hAnsiTheme="majorBidi" w:cstheme="majorBidi"/>
          <w:lang w:val="pt-PT"/>
        </w:rPr>
      </w:pPr>
      <w:r w:rsidRPr="0097727A">
        <w:rPr>
          <w:rFonts w:asciiTheme="majorBidi" w:hAnsiTheme="majorBidi" w:cstheme="majorBidi"/>
          <w:lang w:val="pt-PT"/>
        </w:rPr>
        <w:t>Formycon AG</w:t>
      </w:r>
    </w:p>
    <w:p w14:paraId="39E66D12" w14:textId="4C2A7BFF" w:rsidR="006F7F0F" w:rsidRPr="0097727A" w:rsidRDefault="002B784E" w:rsidP="002B784E">
      <w:pPr>
        <w:pStyle w:val="Textkrper"/>
        <w:rPr>
          <w:rFonts w:asciiTheme="majorBidi" w:hAnsiTheme="majorBidi" w:cstheme="majorBidi"/>
          <w:lang w:val="pt-PT"/>
        </w:rPr>
      </w:pPr>
      <w:r w:rsidRPr="002B784E">
        <w:rPr>
          <w:rFonts w:asciiTheme="majorBidi" w:hAnsiTheme="majorBidi" w:cstheme="majorBidi"/>
          <w:lang w:val="nl-NL"/>
        </w:rPr>
        <w:t>Tel</w:t>
      </w:r>
      <w:r w:rsidRPr="0097727A">
        <w:rPr>
          <w:rFonts w:asciiTheme="majorBidi" w:hAnsiTheme="majorBidi" w:cstheme="majorBidi"/>
          <w:lang w:val="pt-PT"/>
        </w:rPr>
        <w:t>/Tél/Te</w:t>
      </w:r>
      <w:r w:rsidRPr="002B784E">
        <w:rPr>
          <w:rFonts w:asciiTheme="majorBidi" w:hAnsiTheme="majorBidi" w:cstheme="majorBidi"/>
          <w:lang w:val="de-DE" w:bidi="pt-BR"/>
        </w:rPr>
        <w:t>л</w:t>
      </w:r>
      <w:r w:rsidRPr="0097727A">
        <w:rPr>
          <w:rFonts w:asciiTheme="majorBidi" w:hAnsiTheme="majorBidi" w:cstheme="majorBidi"/>
          <w:lang w:val="pt-PT"/>
        </w:rPr>
        <w:t>./Tlf/</w:t>
      </w:r>
      <w:r w:rsidRPr="002B784E">
        <w:rPr>
          <w:rFonts w:asciiTheme="majorBidi" w:hAnsiTheme="majorBidi" w:cstheme="majorBidi"/>
          <w:lang w:val="de-DE" w:bidi="pt-BR"/>
        </w:rPr>
        <w:t>Τηλ</w:t>
      </w:r>
      <w:r w:rsidRPr="0097727A">
        <w:rPr>
          <w:rFonts w:asciiTheme="majorBidi" w:hAnsiTheme="majorBidi" w:cstheme="majorBidi"/>
          <w:lang w:val="pt-PT"/>
        </w:rPr>
        <w:t>/Sími/Puh</w:t>
      </w:r>
      <w:r w:rsidR="006F7F0F" w:rsidRPr="0097727A">
        <w:rPr>
          <w:rFonts w:asciiTheme="majorBidi" w:hAnsiTheme="majorBidi" w:cstheme="majorBidi"/>
          <w:lang w:val="pt-PT"/>
        </w:rPr>
        <w:t>: + 49 89 864 667 100</w:t>
      </w:r>
    </w:p>
    <w:p w14:paraId="57F30EF9" w14:textId="77777777" w:rsidR="006F7F0F" w:rsidRPr="0097727A" w:rsidRDefault="006F7F0F" w:rsidP="006F7F0F">
      <w:pPr>
        <w:pStyle w:val="Textkrper"/>
        <w:rPr>
          <w:rFonts w:asciiTheme="majorBidi" w:hAnsiTheme="majorBidi" w:cstheme="majorBidi"/>
          <w:lang w:val="pt-PT"/>
        </w:rPr>
      </w:pPr>
    </w:p>
    <w:p w14:paraId="22925295" w14:textId="4986D5F6" w:rsidR="006F7F0F" w:rsidRPr="0097727A" w:rsidRDefault="00F708A1" w:rsidP="00F708A1">
      <w:pPr>
        <w:rPr>
          <w:lang w:val="pt-PT" w:bidi="de-DE"/>
        </w:rPr>
      </w:pPr>
      <w:r w:rsidRPr="0097727A">
        <w:rPr>
          <w:b/>
          <w:lang w:val="pt-PT" w:bidi="de-DE"/>
        </w:rPr>
        <w:t>Alemanha</w:t>
      </w:r>
    </w:p>
    <w:p w14:paraId="6276D5B9" w14:textId="77777777" w:rsidR="006F7F0F" w:rsidRPr="0097727A" w:rsidRDefault="006F7F0F" w:rsidP="006F7F0F">
      <w:pPr>
        <w:rPr>
          <w:lang w:val="pt-PT" w:bidi="de-DE"/>
        </w:rPr>
      </w:pPr>
      <w:r w:rsidRPr="0097727A">
        <w:rPr>
          <w:lang w:val="pt-PT" w:bidi="de-DE"/>
        </w:rPr>
        <w:t xml:space="preserve">ratiopharm GmbH </w:t>
      </w:r>
    </w:p>
    <w:p w14:paraId="03F211DF" w14:textId="77777777" w:rsidR="006F7F0F" w:rsidRDefault="006F7F0F" w:rsidP="006F7F0F">
      <w:pPr>
        <w:pStyle w:val="Textkrper"/>
        <w:rPr>
          <w:lang w:val="pt-PT" w:bidi="de-DE"/>
        </w:rPr>
      </w:pPr>
      <w:r w:rsidRPr="00043C2E">
        <w:rPr>
          <w:lang w:val="pt-PT" w:bidi="de-DE"/>
        </w:rPr>
        <w:t>Tel: +49 731 402 02</w:t>
      </w:r>
    </w:p>
    <w:p w14:paraId="28BE97E8" w14:textId="77777777" w:rsidR="006F7F0F" w:rsidRPr="00043C2E" w:rsidRDefault="006F7F0F" w:rsidP="006F7F0F">
      <w:pPr>
        <w:pStyle w:val="Textkrper"/>
        <w:rPr>
          <w:lang w:val="pt-PT" w:bidi="de-DE"/>
        </w:rPr>
      </w:pPr>
    </w:p>
    <w:p w14:paraId="1CA208E7"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Este folheto foi revisto pela última vez em</w:t>
      </w:r>
      <w:bookmarkEnd w:id="188"/>
    </w:p>
    <w:p w14:paraId="0F3C3D4B" w14:textId="77777777" w:rsidR="00F026D6" w:rsidRPr="00110D6C" w:rsidRDefault="00F026D6" w:rsidP="00A17623">
      <w:pPr>
        <w:widowControl/>
        <w:rPr>
          <w:rFonts w:cs="Times New Roman"/>
          <w:color w:val="auto"/>
          <w:szCs w:val="22"/>
          <w:lang w:val="pt-PT"/>
        </w:rPr>
      </w:pPr>
    </w:p>
    <w:p w14:paraId="150822A4" w14:textId="0B66CB87"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Está disponível informação pormenorizada sobre este medicamento no sítio da internet da Agência Europeia de Medicamentos: </w:t>
      </w:r>
      <w:hyperlink r:id="rId19" w:history="1">
        <w:r w:rsidR="00D10811" w:rsidRPr="00244D49">
          <w:rPr>
            <w:rStyle w:val="Hyperlink"/>
            <w:rFonts w:cs="Times New Roman"/>
            <w:szCs w:val="22"/>
            <w:lang w:val="pt-PT"/>
          </w:rPr>
          <w:t>https://www.ema.europa.eu</w:t>
        </w:r>
      </w:hyperlink>
      <w:r w:rsidRPr="00110D6C">
        <w:rPr>
          <w:rFonts w:cs="Times New Roman"/>
          <w:color w:val="auto"/>
          <w:szCs w:val="22"/>
          <w:lang w:val="pt-PT"/>
        </w:rPr>
        <w:t>.</w:t>
      </w:r>
    </w:p>
    <w:p w14:paraId="7425B07C" w14:textId="77777777" w:rsidR="00F026D6" w:rsidRPr="00110D6C" w:rsidRDefault="00F026D6">
      <w:pPr>
        <w:rPr>
          <w:rFonts w:cs="Times New Roman"/>
          <w:color w:val="auto"/>
          <w:szCs w:val="22"/>
          <w:lang w:val="pt-PT"/>
        </w:rPr>
      </w:pPr>
      <w:r w:rsidRPr="00110D6C">
        <w:rPr>
          <w:rFonts w:cs="Times New Roman"/>
          <w:color w:val="auto"/>
          <w:szCs w:val="22"/>
          <w:lang w:val="pt-PT"/>
        </w:rPr>
        <w:br w:type="page"/>
      </w:r>
    </w:p>
    <w:p w14:paraId="64F08D1D" w14:textId="77777777" w:rsidR="0077031F" w:rsidRPr="00110D6C" w:rsidRDefault="00030085" w:rsidP="00A17623">
      <w:pPr>
        <w:widowControl/>
        <w:rPr>
          <w:rFonts w:cs="Times New Roman"/>
          <w:color w:val="auto"/>
          <w:szCs w:val="22"/>
          <w:lang w:val="pt-PT"/>
        </w:rPr>
      </w:pPr>
      <w:bookmarkStart w:id="189" w:name="bookmark310"/>
      <w:r w:rsidRPr="00110D6C">
        <w:rPr>
          <w:rFonts w:cs="Times New Roman"/>
          <w:b/>
          <w:bCs/>
          <w:color w:val="auto"/>
          <w:szCs w:val="22"/>
          <w:lang w:val="pt-PT"/>
        </w:rPr>
        <w:lastRenderedPageBreak/>
        <w:t>Instruções para administração</w:t>
      </w:r>
      <w:bookmarkEnd w:id="189"/>
    </w:p>
    <w:p w14:paraId="7B628C57" w14:textId="77777777" w:rsidR="00F026D6" w:rsidRPr="00110D6C" w:rsidRDefault="00F026D6" w:rsidP="00A17623">
      <w:pPr>
        <w:widowControl/>
        <w:rPr>
          <w:rFonts w:cs="Times New Roman"/>
          <w:color w:val="auto"/>
          <w:szCs w:val="22"/>
          <w:lang w:val="pt-PT"/>
        </w:rPr>
      </w:pPr>
    </w:p>
    <w:p w14:paraId="0EAEDAA6" w14:textId="1E9345E6"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No início do tratamento, o seu prestador de cuidados de saúde ajudá-lo-á com a sua primeira injeção. No entanto, o seu médico pode decidir que é capaz de injetar </w:t>
      </w:r>
      <w:r w:rsidR="00D50CFA">
        <w:rPr>
          <w:rFonts w:cs="Times New Roman"/>
          <w:color w:val="auto"/>
          <w:szCs w:val="22"/>
          <w:lang w:val="pt-PT"/>
        </w:rPr>
        <w:t>Fymskina</w:t>
      </w:r>
      <w:r w:rsidRPr="00110D6C">
        <w:rPr>
          <w:rFonts w:cs="Times New Roman"/>
          <w:color w:val="auto"/>
          <w:szCs w:val="22"/>
          <w:lang w:val="pt-PT"/>
        </w:rPr>
        <w:t xml:space="preserve"> a si próprio. Se isto acontecer, irá receber treino sobre como injetar </w:t>
      </w:r>
      <w:r w:rsidR="00D50CFA">
        <w:rPr>
          <w:rFonts w:cs="Times New Roman"/>
          <w:color w:val="auto"/>
          <w:szCs w:val="22"/>
          <w:lang w:val="pt-PT"/>
        </w:rPr>
        <w:t>Fymskina</w:t>
      </w:r>
      <w:r w:rsidRPr="00110D6C">
        <w:rPr>
          <w:rFonts w:cs="Times New Roman"/>
          <w:color w:val="auto"/>
          <w:szCs w:val="22"/>
          <w:lang w:val="pt-PT"/>
        </w:rPr>
        <w:t>. Fale com o seu médico se tiver qualquer dúvida sobre como administrar a injeção a si mesmo.</w:t>
      </w:r>
      <w:r w:rsidR="00D10811">
        <w:rPr>
          <w:rFonts w:cs="Times New Roman"/>
          <w:color w:val="auto"/>
          <w:szCs w:val="22"/>
          <w:lang w:val="pt-PT"/>
        </w:rPr>
        <w:t xml:space="preserve"> </w:t>
      </w:r>
      <w:r w:rsidR="00D10811" w:rsidRPr="00492A01">
        <w:rPr>
          <w:rFonts w:cs="Times New Roman"/>
          <w:color w:val="auto"/>
          <w:szCs w:val="22"/>
          <w:lang w:val="pt-PT"/>
        </w:rPr>
        <w:t>Em crianças com 6 anos de idade ou mais, recomenda-se que Fymskina seja administrado por um profissional de saúde ou cuidador após devida formação</w:t>
      </w:r>
      <w:r w:rsidR="00D10811">
        <w:rPr>
          <w:rFonts w:cs="Times New Roman"/>
          <w:color w:val="auto"/>
          <w:szCs w:val="22"/>
          <w:lang w:val="pt-PT"/>
        </w:rPr>
        <w:t>.</w:t>
      </w:r>
    </w:p>
    <w:p w14:paraId="6506BB4A" w14:textId="12ED4447" w:rsidR="0077031F" w:rsidRPr="00110D6C" w:rsidRDefault="00030085" w:rsidP="00D74B6E">
      <w:pPr>
        <w:pStyle w:val="Listenabsatz"/>
        <w:widowControl/>
        <w:numPr>
          <w:ilvl w:val="0"/>
          <w:numId w:val="11"/>
        </w:numPr>
        <w:ind w:left="567" w:hanging="567"/>
        <w:rPr>
          <w:rFonts w:cs="Times New Roman"/>
          <w:color w:val="auto"/>
          <w:szCs w:val="22"/>
          <w:lang w:val="pt-PT"/>
        </w:rPr>
      </w:pPr>
      <w:r w:rsidRPr="00110D6C">
        <w:rPr>
          <w:rFonts w:cs="Times New Roman"/>
          <w:color w:val="auto"/>
          <w:szCs w:val="22"/>
          <w:lang w:val="pt-PT"/>
        </w:rPr>
        <w:t xml:space="preserve">Não misture </w:t>
      </w:r>
      <w:r w:rsidR="00D50CFA">
        <w:rPr>
          <w:rFonts w:cs="Times New Roman"/>
          <w:color w:val="auto"/>
          <w:szCs w:val="22"/>
          <w:lang w:val="pt-PT"/>
        </w:rPr>
        <w:t>Fymskina</w:t>
      </w:r>
      <w:r w:rsidRPr="00110D6C">
        <w:rPr>
          <w:rFonts w:cs="Times New Roman"/>
          <w:color w:val="auto"/>
          <w:szCs w:val="22"/>
          <w:lang w:val="pt-PT"/>
        </w:rPr>
        <w:t xml:space="preserve"> com outros líquidos injetáveis.</w:t>
      </w:r>
    </w:p>
    <w:p w14:paraId="4E4BED6F" w14:textId="3361195B" w:rsidR="0077031F" w:rsidRPr="00110D6C" w:rsidRDefault="00030085" w:rsidP="00D74B6E">
      <w:pPr>
        <w:pStyle w:val="Listenabsatz"/>
        <w:widowControl/>
        <w:numPr>
          <w:ilvl w:val="0"/>
          <w:numId w:val="11"/>
        </w:numPr>
        <w:ind w:left="567" w:hanging="567"/>
        <w:rPr>
          <w:rFonts w:cs="Times New Roman"/>
          <w:color w:val="auto"/>
          <w:szCs w:val="22"/>
          <w:lang w:val="pt-PT"/>
        </w:rPr>
      </w:pPr>
      <w:r w:rsidRPr="00110D6C">
        <w:rPr>
          <w:rFonts w:cs="Times New Roman"/>
          <w:color w:val="auto"/>
          <w:szCs w:val="22"/>
          <w:lang w:val="pt-PT"/>
        </w:rPr>
        <w:t xml:space="preserve">Não agite as seringas pré-cheias de </w:t>
      </w:r>
      <w:r w:rsidR="00D50CFA">
        <w:rPr>
          <w:rFonts w:cs="Times New Roman"/>
          <w:color w:val="auto"/>
          <w:szCs w:val="22"/>
          <w:lang w:val="pt-PT"/>
        </w:rPr>
        <w:t>Fymskina</w:t>
      </w:r>
      <w:r w:rsidRPr="00110D6C">
        <w:rPr>
          <w:rFonts w:cs="Times New Roman"/>
          <w:color w:val="auto"/>
          <w:szCs w:val="22"/>
          <w:lang w:val="pt-PT"/>
        </w:rPr>
        <w:t>, porque uma agitação forte pode danificar o</w:t>
      </w:r>
      <w:r w:rsidR="00E15739" w:rsidRPr="00110D6C">
        <w:rPr>
          <w:rFonts w:cs="Times New Roman"/>
          <w:color w:val="auto"/>
          <w:szCs w:val="22"/>
          <w:lang w:val="pt-PT"/>
        </w:rPr>
        <w:t xml:space="preserve"> </w:t>
      </w:r>
      <w:r w:rsidRPr="00110D6C">
        <w:rPr>
          <w:rFonts w:cs="Times New Roman"/>
          <w:color w:val="auto"/>
          <w:szCs w:val="22"/>
          <w:lang w:val="pt-PT"/>
        </w:rPr>
        <w:t>medicamento. Não utilize o medicamento se este tiver sido vigorosamente agitado.</w:t>
      </w:r>
    </w:p>
    <w:p w14:paraId="51E09636" w14:textId="77777777" w:rsidR="00E15739" w:rsidRPr="00110D6C" w:rsidRDefault="00E15739" w:rsidP="00A17623">
      <w:pPr>
        <w:widowControl/>
        <w:rPr>
          <w:rFonts w:cs="Times New Roman"/>
          <w:color w:val="auto"/>
          <w:szCs w:val="22"/>
          <w:lang w:val="pt-PT"/>
        </w:rPr>
      </w:pPr>
    </w:p>
    <w:p w14:paraId="2FEF7C1F"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 Figura</w:t>
      </w:r>
      <w:r w:rsidR="00023B56" w:rsidRPr="00110D6C">
        <w:rPr>
          <w:rFonts w:cs="Times New Roman"/>
          <w:color w:val="auto"/>
          <w:szCs w:val="22"/>
          <w:lang w:val="pt-PT"/>
        </w:rPr>
        <w:t> </w:t>
      </w:r>
      <w:r w:rsidR="00B910F9" w:rsidRPr="00110D6C">
        <w:rPr>
          <w:rFonts w:cs="Times New Roman"/>
          <w:color w:val="auto"/>
          <w:szCs w:val="22"/>
          <w:lang w:val="pt-PT"/>
        </w:rPr>
        <w:t>1</w:t>
      </w:r>
      <w:r w:rsidR="00023B56" w:rsidRPr="00110D6C">
        <w:rPr>
          <w:rFonts w:cs="Times New Roman"/>
          <w:color w:val="auto"/>
          <w:szCs w:val="22"/>
          <w:lang w:val="pt-PT"/>
        </w:rPr>
        <w:t xml:space="preserve"> </w:t>
      </w:r>
      <w:r w:rsidRPr="00110D6C">
        <w:rPr>
          <w:rFonts w:cs="Times New Roman"/>
          <w:color w:val="auto"/>
          <w:szCs w:val="22"/>
          <w:lang w:val="pt-PT"/>
        </w:rPr>
        <w:t>ilustra uma seringa pré-cheia.</w:t>
      </w:r>
    </w:p>
    <w:p w14:paraId="11797753" w14:textId="77777777" w:rsidR="00E15739" w:rsidRPr="00110D6C" w:rsidRDefault="00E15739" w:rsidP="00A17623">
      <w:pPr>
        <w:widowControl/>
        <w:rPr>
          <w:rFonts w:cs="Times New Roman"/>
          <w:color w:val="auto"/>
          <w:szCs w:val="22"/>
          <w:lang w:val="pt-PT"/>
        </w:rPr>
      </w:pPr>
    </w:p>
    <w:p w14:paraId="7BE35841" w14:textId="2F168F6D" w:rsidR="0077031F" w:rsidRPr="00110D6C" w:rsidRDefault="0077031F" w:rsidP="00E15739">
      <w:pPr>
        <w:widowControl/>
        <w:jc w:val="center"/>
        <w:rPr>
          <w:rFonts w:cs="Times New Roman"/>
          <w:color w:val="auto"/>
          <w:szCs w:val="22"/>
          <w:lang w:val="pt-PT"/>
        </w:rPr>
      </w:pPr>
    </w:p>
    <w:p w14:paraId="1058EA1E" w14:textId="2F2A3E46" w:rsidR="007D5E72" w:rsidRPr="00492A01" w:rsidRDefault="00133412" w:rsidP="007D5E72">
      <w:pPr>
        <w:pStyle w:val="Textkrper"/>
        <w:jc w:val="center"/>
        <w:rPr>
          <w:lang w:val="pt-PT"/>
        </w:rPr>
      </w:pPr>
      <w:r>
        <w:rPr>
          <w:noProof/>
        </w:rPr>
        <mc:AlternateContent>
          <mc:Choice Requires="wps">
            <w:drawing>
              <wp:anchor distT="45720" distB="45720" distL="114300" distR="114300" simplePos="0" relativeHeight="251660288" behindDoc="0" locked="0" layoutInCell="1" allowOverlap="1" wp14:anchorId="1552093D" wp14:editId="0CB24C6A">
                <wp:simplePos x="0" y="0"/>
                <wp:positionH relativeFrom="column">
                  <wp:posOffset>915035</wp:posOffset>
                </wp:positionH>
                <wp:positionV relativeFrom="paragraph">
                  <wp:posOffset>93345</wp:posOffset>
                </wp:positionV>
                <wp:extent cx="927735" cy="518160"/>
                <wp:effectExtent l="0" t="0" r="0" b="0"/>
                <wp:wrapNone/>
                <wp:docPr id="27" name="Caixa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518160"/>
                        </a:xfrm>
                        <a:prstGeom prst="rect">
                          <a:avLst/>
                        </a:prstGeom>
                        <a:noFill/>
                        <a:ln w="9525">
                          <a:noFill/>
                          <a:miter lim="800000"/>
                          <a:headEnd/>
                          <a:tailEnd/>
                        </a:ln>
                      </wps:spPr>
                      <wps:txbx>
                        <w:txbxContent>
                          <w:p w14:paraId="76B89197" w14:textId="77777777" w:rsidR="009C3A83" w:rsidRPr="00967AD6" w:rsidRDefault="009C3A83" w:rsidP="00F75FA4">
                            <w:pPr>
                              <w:jc w:val="center"/>
                              <w:rPr>
                                <w:rFonts w:asciiTheme="minorBidi" w:hAnsiTheme="minorBidi" w:cstheme="minorBidi"/>
                                <w:sz w:val="19"/>
                                <w:szCs w:val="19"/>
                                <w:lang w:val="pt-PT"/>
                              </w:rPr>
                            </w:pPr>
                            <w:r>
                              <w:rPr>
                                <w:rFonts w:asciiTheme="minorBidi" w:hAnsiTheme="minorBidi" w:cstheme="minorBidi"/>
                                <w:sz w:val="19"/>
                                <w:szCs w:val="19"/>
                              </w:rPr>
                              <w:t>Clips de ativação da proteção da agulha</w:t>
                            </w:r>
                          </w:p>
                          <w:p w14:paraId="33E0B791" w14:textId="5417014E" w:rsidR="009C3A83" w:rsidRPr="00CC1FC4" w:rsidRDefault="009C3A83" w:rsidP="007D5E72">
                            <w:pPr>
                              <w:jc w:val="center"/>
                              <w:rPr>
                                <w:rFonts w:asciiTheme="minorBidi" w:hAnsiTheme="minorBidi" w:cstheme="minorBidi"/>
                                <w:sz w:val="19"/>
                                <w:szCs w:val="19"/>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552093D" id="_x0000_t202" coordsize="21600,21600" o:spt="202" path="m,l,21600r21600,l21600,xe">
                <v:stroke joinstyle="miter"/>
                <v:path gradientshapeok="t" o:connecttype="rect"/>
              </v:shapetype>
              <v:shape id="Caixa de texto 27" o:spid="_x0000_s1026" type="#_x0000_t202" style="position:absolute;left:0;text-align:left;margin-left:72.05pt;margin-top:7.35pt;width:73.05pt;height:40.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" filled="f" stroked="f">
                <v:textbox inset="0,0,0,0">
                  <w:txbxContent>
                    <w:p w14:paraId="76B89197" w14:textId="77777777" w:rsidR="009C3A83" w:rsidRPr="00967AD6" w:rsidRDefault="009C3A83" w:rsidP="00F75FA4">
                      <w:pPr>
                        <w:jc w:val="center"/>
                        <w:rPr>
                          <w:rFonts w:asciiTheme="minorBidi" w:hAnsiTheme="minorBidi" w:cstheme="minorBidi"/>
                          <w:sz w:val="19"/>
                          <w:szCs w:val="19"/>
                          <w:lang w:val="pt-PT"/>
                        </w:rPr>
                      </w:pPr>
                      <w:r>
                        <w:rPr>
                          <w:rFonts w:asciiTheme="minorBidi" w:hAnsiTheme="minorBidi" w:cstheme="minorBidi"/>
                          <w:sz w:val="19"/>
                          <w:szCs w:val="19"/>
                        </w:rPr>
                        <w:t>Clips de ativação da proteção da agulha</w:t>
                      </w:r>
                    </w:p>
                    <w:p w14:paraId="33E0B791" w14:textId="5417014E" w:rsidR="009C3A83" w:rsidRPr="00CC1FC4" w:rsidRDefault="009C3A83" w:rsidP="007D5E72">
                      <w:pPr>
                        <w:jc w:val="center"/>
                        <w:rPr>
                          <w:rFonts w:asciiTheme="minorBidi" w:hAnsiTheme="minorBidi" w:cstheme="minorBidi"/>
                          <w:sz w:val="19"/>
                          <w:szCs w:val="19"/>
                        </w:rPr>
                      </w:pPr>
                    </w:p>
                  </w:txbxContent>
                </v:textbox>
              </v:shape>
            </w:pict>
          </mc:Fallback>
        </mc:AlternateContent>
      </w:r>
    </w:p>
    <w:p w14:paraId="7B1AAAFA" w14:textId="1596E8AE" w:rsidR="007D5E72" w:rsidRPr="00492A01" w:rsidRDefault="00133412" w:rsidP="00492A01">
      <w:pPr>
        <w:pStyle w:val="Textkrper"/>
        <w:jc w:val="center"/>
      </w:pPr>
      <w:r>
        <w:rPr>
          <w:noProof/>
        </w:rPr>
        <mc:AlternateContent>
          <mc:Choice Requires="wps">
            <w:drawing>
              <wp:anchor distT="45720" distB="45720" distL="114300" distR="114300" simplePos="0" relativeHeight="251665408" behindDoc="0" locked="0" layoutInCell="1" allowOverlap="1" wp14:anchorId="20FC0D56" wp14:editId="338BCF27">
                <wp:simplePos x="0" y="0"/>
                <wp:positionH relativeFrom="margin">
                  <wp:posOffset>1270635</wp:posOffset>
                </wp:positionH>
                <wp:positionV relativeFrom="paragraph">
                  <wp:posOffset>1567180</wp:posOffset>
                </wp:positionV>
                <wp:extent cx="873125" cy="550545"/>
                <wp:effectExtent l="0" t="0" r="0" b="0"/>
                <wp:wrapNone/>
                <wp:docPr id="26" name="Caixa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550545"/>
                        </a:xfrm>
                        <a:prstGeom prst="rect">
                          <a:avLst/>
                        </a:prstGeom>
                        <a:noFill/>
                        <a:ln w="9525">
                          <a:noFill/>
                          <a:miter lim="800000"/>
                          <a:headEnd/>
                          <a:tailEnd/>
                        </a:ln>
                      </wps:spPr>
                      <wps:txbx>
                        <w:txbxContent>
                          <w:p w14:paraId="57585D1F" w14:textId="77777777" w:rsidR="009C3A83" w:rsidRPr="00CC1FC4" w:rsidRDefault="009C3A83" w:rsidP="00364282">
                            <w:pPr>
                              <w:jc w:val="center"/>
                              <w:rPr>
                                <w:rFonts w:asciiTheme="minorBidi" w:hAnsiTheme="minorBidi" w:cstheme="minorBidi"/>
                                <w:sz w:val="19"/>
                                <w:szCs w:val="19"/>
                              </w:rPr>
                            </w:pPr>
                            <w:r>
                              <w:rPr>
                                <w:rFonts w:asciiTheme="minorBidi" w:hAnsiTheme="minorBidi" w:cstheme="minorBidi"/>
                                <w:sz w:val="19"/>
                                <w:szCs w:val="19"/>
                              </w:rPr>
                              <w:t>Abas da proteção da agulha</w:t>
                            </w:r>
                          </w:p>
                          <w:p w14:paraId="1115B1AE" w14:textId="70948EA2" w:rsidR="009C3A83" w:rsidRPr="00CC1FC4" w:rsidRDefault="009C3A83" w:rsidP="007D5E72">
                            <w:pPr>
                              <w:jc w:val="center"/>
                              <w:rPr>
                                <w:rFonts w:asciiTheme="minorBidi" w:hAnsiTheme="minorBidi" w:cstheme="minorBidi"/>
                                <w:sz w:val="19"/>
                                <w:szCs w:val="19"/>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FC0D56" id="Caixa de texto 26" o:spid="_x0000_s1027" type="#_x0000_t202" style="position:absolute;left:0;text-align:left;margin-left:100.05pt;margin-top:123.4pt;width:68.75pt;height:43.3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" filled="f" stroked="f">
                <v:textbox inset="0,0,0,0">
                  <w:txbxContent>
                    <w:p w14:paraId="57585D1F" w14:textId="77777777" w:rsidR="009C3A83" w:rsidRPr="00CC1FC4" w:rsidRDefault="009C3A83" w:rsidP="00364282">
                      <w:pPr>
                        <w:jc w:val="center"/>
                        <w:rPr>
                          <w:rFonts w:asciiTheme="minorBidi" w:hAnsiTheme="minorBidi" w:cstheme="minorBidi"/>
                          <w:sz w:val="19"/>
                          <w:szCs w:val="19"/>
                        </w:rPr>
                      </w:pPr>
                      <w:r>
                        <w:rPr>
                          <w:rFonts w:asciiTheme="minorBidi" w:hAnsiTheme="minorBidi" w:cstheme="minorBidi"/>
                          <w:sz w:val="19"/>
                          <w:szCs w:val="19"/>
                        </w:rPr>
                        <w:t>Abas da proteção da agulha</w:t>
                      </w:r>
                    </w:p>
                    <w:p w14:paraId="1115B1AE" w14:textId="70948EA2" w:rsidR="009C3A83" w:rsidRPr="00CC1FC4" w:rsidRDefault="009C3A83" w:rsidP="007D5E72">
                      <w:pPr>
                        <w:jc w:val="center"/>
                        <w:rPr>
                          <w:rFonts w:asciiTheme="minorBidi" w:hAnsiTheme="minorBidi" w:cstheme="minorBidi"/>
                          <w:sz w:val="19"/>
                          <w:szCs w:val="19"/>
                        </w:rPr>
                      </w:pPr>
                    </w:p>
                  </w:txbxContent>
                </v:textbox>
                <w10:wrap anchorx="margin"/>
              </v:shape>
            </w:pict>
          </mc:Fallback>
        </mc:AlternateContent>
      </w:r>
      <w:r w:rsidR="007D5E72">
        <w:rPr>
          <w:bCs/>
          <w:noProof/>
        </w:rPr>
        <w:drawing>
          <wp:inline distT="0" distB="0" distL="0" distR="0" wp14:anchorId="0CFC4833" wp14:editId="456A7F7B">
            <wp:extent cx="5195455" cy="2003367"/>
            <wp:effectExtent l="0" t="0" r="5715" b="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_1.jpg"/>
                    <pic:cNvPicPr/>
                  </pic:nvPicPr>
                  <pic:blipFill>
                    <a:blip r:embed="rId20">
                      <a:extLst>
                        <a:ext uri="{28A0092B-C50C-407E-A947-70E740481C1C}">
                          <a14:useLocalDpi xmlns:a14="http://schemas.microsoft.com/office/drawing/2010/main" val="0"/>
                        </a:ext>
                      </a:extLst>
                    </a:blip>
                    <a:stretch>
                      <a:fillRect/>
                    </a:stretch>
                  </pic:blipFill>
                  <pic:spPr>
                    <a:xfrm>
                      <a:off x="0" y="0"/>
                      <a:ext cx="5195455" cy="2003367"/>
                    </a:xfrm>
                    <a:prstGeom prst="rect">
                      <a:avLst/>
                    </a:prstGeom>
                  </pic:spPr>
                </pic:pic>
              </a:graphicData>
            </a:graphic>
          </wp:inline>
        </w:drawing>
      </w:r>
      <w:r>
        <w:rPr>
          <w:noProof/>
        </w:rPr>
        <mc:AlternateContent>
          <mc:Choice Requires="wps">
            <w:drawing>
              <wp:anchor distT="45720" distB="45720" distL="114300" distR="114300" simplePos="0" relativeHeight="251667456" behindDoc="0" locked="0" layoutInCell="1" allowOverlap="1" wp14:anchorId="0442FB7D" wp14:editId="7C4E47E2">
                <wp:simplePos x="0" y="0"/>
                <wp:positionH relativeFrom="margin">
                  <wp:posOffset>3815080</wp:posOffset>
                </wp:positionH>
                <wp:positionV relativeFrom="paragraph">
                  <wp:posOffset>1574800</wp:posOffset>
                </wp:positionV>
                <wp:extent cx="606425" cy="180340"/>
                <wp:effectExtent l="0" t="0" r="0" b="0"/>
                <wp:wrapNone/>
                <wp:docPr id="25" name="Caixa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180340"/>
                        </a:xfrm>
                        <a:prstGeom prst="rect">
                          <a:avLst/>
                        </a:prstGeom>
                        <a:noFill/>
                        <a:ln w="9525">
                          <a:noFill/>
                          <a:miter lim="800000"/>
                          <a:headEnd/>
                          <a:tailEnd/>
                        </a:ln>
                      </wps:spPr>
                      <wps:txbx>
                        <w:txbxContent>
                          <w:p w14:paraId="34FAAFDE" w14:textId="3243AE9D" w:rsidR="009C3A83" w:rsidRPr="00492A01" w:rsidRDefault="009C3A83" w:rsidP="007D5E72">
                            <w:pPr>
                              <w:jc w:val="center"/>
                              <w:rPr>
                                <w:rFonts w:asciiTheme="minorBidi" w:hAnsiTheme="minorBidi" w:cstheme="minorBidi"/>
                                <w:sz w:val="19"/>
                                <w:szCs w:val="19"/>
                                <w:lang w:val="pt-PT"/>
                              </w:rPr>
                            </w:pPr>
                            <w:r>
                              <w:rPr>
                                <w:rFonts w:asciiTheme="minorBidi" w:hAnsiTheme="minorBidi" w:cstheme="minorBidi"/>
                                <w:sz w:val="19"/>
                                <w:szCs w:val="19"/>
                                <w:lang w:val="pt-PT"/>
                              </w:rPr>
                              <w:t>Agulha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442FB7D" id="Caixa de texto 25" o:spid="_x0000_s1028" type="#_x0000_t202" style="position:absolute;left:0;text-align:left;margin-left:300.4pt;margin-top:124pt;width:47.75pt;height:14.2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" filled="f" stroked="f">
                <v:textbox inset="0,0,0,0">
                  <w:txbxContent>
                    <w:p w14:paraId="34FAAFDE" w14:textId="3243AE9D" w:rsidR="009C3A83" w:rsidRPr="00492A01" w:rsidRDefault="009C3A83" w:rsidP="007D5E72">
                      <w:pPr>
                        <w:jc w:val="center"/>
                        <w:rPr>
                          <w:rFonts w:asciiTheme="minorBidi" w:hAnsiTheme="minorBidi" w:cstheme="minorBidi"/>
                          <w:sz w:val="19"/>
                          <w:szCs w:val="19"/>
                          <w:lang w:val="pt-PT"/>
                        </w:rPr>
                      </w:pPr>
                      <w:r>
                        <w:rPr>
                          <w:rFonts w:asciiTheme="minorBidi" w:hAnsiTheme="minorBidi" w:cstheme="minorBidi"/>
                          <w:sz w:val="19"/>
                          <w:szCs w:val="19"/>
                          <w:lang w:val="pt-PT"/>
                        </w:rPr>
                        <w:t>Agulha</w:t>
                      </w:r>
                    </w:p>
                  </w:txbxContent>
                </v:textbox>
                <w10:wrap anchorx="margin"/>
              </v:shape>
            </w:pict>
          </mc:Fallback>
        </mc:AlternateContent>
      </w:r>
      <w:r>
        <w:rPr>
          <w:noProof/>
        </w:rPr>
        <mc:AlternateContent>
          <mc:Choice Requires="wps">
            <w:drawing>
              <wp:anchor distT="45720" distB="45720" distL="114300" distR="114300" simplePos="0" relativeHeight="251666432" behindDoc="0" locked="0" layoutInCell="1" allowOverlap="1" wp14:anchorId="152895D4" wp14:editId="1EC1AA99">
                <wp:simplePos x="0" y="0"/>
                <wp:positionH relativeFrom="margin">
                  <wp:posOffset>2646045</wp:posOffset>
                </wp:positionH>
                <wp:positionV relativeFrom="paragraph">
                  <wp:posOffset>1598930</wp:posOffset>
                </wp:positionV>
                <wp:extent cx="560705" cy="180340"/>
                <wp:effectExtent l="0" t="0" r="0" b="0"/>
                <wp:wrapNone/>
                <wp:docPr id="24" name="Caixa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180340"/>
                        </a:xfrm>
                        <a:prstGeom prst="rect">
                          <a:avLst/>
                        </a:prstGeom>
                        <a:noFill/>
                        <a:ln w="9525">
                          <a:noFill/>
                          <a:miter lim="800000"/>
                          <a:headEnd/>
                          <a:tailEnd/>
                        </a:ln>
                      </wps:spPr>
                      <wps:txbx>
                        <w:txbxContent>
                          <w:p w14:paraId="1039B65C" w14:textId="3C7A17DB" w:rsidR="009C3A83" w:rsidRPr="00492A01" w:rsidRDefault="009C3A83" w:rsidP="007D5E72">
                            <w:pPr>
                              <w:jc w:val="center"/>
                              <w:rPr>
                                <w:rFonts w:asciiTheme="minorBidi" w:hAnsiTheme="minorBidi" w:cstheme="minorBidi"/>
                                <w:sz w:val="19"/>
                                <w:szCs w:val="19"/>
                                <w:lang w:val="pt-PT"/>
                              </w:rPr>
                            </w:pPr>
                            <w:r>
                              <w:rPr>
                                <w:rFonts w:asciiTheme="minorBidi" w:hAnsiTheme="minorBidi" w:cstheme="minorBidi"/>
                                <w:sz w:val="19"/>
                                <w:szCs w:val="19"/>
                                <w:lang w:val="pt-PT"/>
                              </w:rPr>
                              <w:t>Rótulo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2895D4" id="Caixa de texto 24" o:spid="_x0000_s1029" type="#_x0000_t202" style="position:absolute;left:0;text-align:left;margin-left:208.35pt;margin-top:125.9pt;width:44.15pt;height:14.2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" filled="f" stroked="f">
                <v:textbox inset="0,0,0,0">
                  <w:txbxContent>
                    <w:p w14:paraId="1039B65C" w14:textId="3C7A17DB" w:rsidR="009C3A83" w:rsidRPr="00492A01" w:rsidRDefault="009C3A83" w:rsidP="007D5E72">
                      <w:pPr>
                        <w:jc w:val="center"/>
                        <w:rPr>
                          <w:rFonts w:asciiTheme="minorBidi" w:hAnsiTheme="minorBidi" w:cstheme="minorBidi"/>
                          <w:sz w:val="19"/>
                          <w:szCs w:val="19"/>
                          <w:lang w:val="pt-PT"/>
                        </w:rPr>
                      </w:pPr>
                      <w:r>
                        <w:rPr>
                          <w:rFonts w:asciiTheme="minorBidi" w:hAnsiTheme="minorBidi" w:cstheme="minorBidi"/>
                          <w:sz w:val="19"/>
                          <w:szCs w:val="19"/>
                          <w:lang w:val="pt-PT"/>
                        </w:rPr>
                        <w:t>Rótulo</w:t>
                      </w:r>
                    </w:p>
                  </w:txbxContent>
                </v:textbox>
                <w10:wrap anchorx="margin"/>
              </v:shape>
            </w:pict>
          </mc:Fallback>
        </mc:AlternateContent>
      </w:r>
      <w:r>
        <w:rPr>
          <w:noProof/>
        </w:rPr>
        <mc:AlternateContent>
          <mc:Choice Requires="wps">
            <w:drawing>
              <wp:anchor distT="45720" distB="45720" distL="114300" distR="114300" simplePos="0" relativeHeight="251664384" behindDoc="0" locked="0" layoutInCell="1" allowOverlap="1" wp14:anchorId="66F8848D" wp14:editId="73600D37">
                <wp:simplePos x="0" y="0"/>
                <wp:positionH relativeFrom="margin">
                  <wp:posOffset>174625</wp:posOffset>
                </wp:positionH>
                <wp:positionV relativeFrom="paragraph">
                  <wp:posOffset>1635760</wp:posOffset>
                </wp:positionV>
                <wp:extent cx="588010" cy="359410"/>
                <wp:effectExtent l="0" t="0" r="0" b="0"/>
                <wp:wrapNone/>
                <wp:docPr id="21" name="Caixa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359410"/>
                        </a:xfrm>
                        <a:prstGeom prst="rect">
                          <a:avLst/>
                        </a:prstGeom>
                        <a:noFill/>
                        <a:ln w="9525">
                          <a:noFill/>
                          <a:miter lim="800000"/>
                          <a:headEnd/>
                          <a:tailEnd/>
                        </a:ln>
                      </wps:spPr>
                      <wps:txbx>
                        <w:txbxContent>
                          <w:p w14:paraId="4A7FE859" w14:textId="77777777" w:rsidR="009C3A83" w:rsidRPr="00CC1FC4" w:rsidRDefault="009C3A83" w:rsidP="00364282">
                            <w:pPr>
                              <w:jc w:val="center"/>
                              <w:rPr>
                                <w:rFonts w:asciiTheme="minorBidi" w:hAnsiTheme="minorBidi" w:cstheme="minorBidi"/>
                                <w:sz w:val="19"/>
                                <w:szCs w:val="19"/>
                              </w:rPr>
                            </w:pPr>
                            <w:r>
                              <w:rPr>
                                <w:rFonts w:asciiTheme="minorBidi" w:hAnsiTheme="minorBidi" w:cstheme="minorBidi"/>
                                <w:sz w:val="19"/>
                                <w:szCs w:val="19"/>
                              </w:rPr>
                              <w:t>Cabeça do êmbolo</w:t>
                            </w:r>
                          </w:p>
                          <w:p w14:paraId="084E13EA" w14:textId="4A2715AC" w:rsidR="009C3A83" w:rsidRPr="00CC1FC4" w:rsidRDefault="009C3A83" w:rsidP="007D5E72">
                            <w:pPr>
                              <w:jc w:val="center"/>
                              <w:rPr>
                                <w:rFonts w:asciiTheme="minorBidi" w:hAnsiTheme="minorBidi" w:cstheme="minorBidi"/>
                                <w:sz w:val="19"/>
                                <w:szCs w:val="19"/>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6F8848D" id="Caixa de texto 21" o:spid="_x0000_s1030" type="#_x0000_t202" style="position:absolute;left:0;text-align:left;margin-left:13.75pt;margin-top:128.8pt;width:46.3pt;height:28.3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" filled="f" stroked="f">
                <v:textbox inset="0,0,0,0">
                  <w:txbxContent>
                    <w:p w14:paraId="4A7FE859" w14:textId="77777777" w:rsidR="009C3A83" w:rsidRPr="00CC1FC4" w:rsidRDefault="009C3A83" w:rsidP="00364282">
                      <w:pPr>
                        <w:jc w:val="center"/>
                        <w:rPr>
                          <w:rFonts w:asciiTheme="minorBidi" w:hAnsiTheme="minorBidi" w:cstheme="minorBidi"/>
                          <w:sz w:val="19"/>
                          <w:szCs w:val="19"/>
                        </w:rPr>
                      </w:pPr>
                      <w:r>
                        <w:rPr>
                          <w:rFonts w:asciiTheme="minorBidi" w:hAnsiTheme="minorBidi" w:cstheme="minorBidi"/>
                          <w:sz w:val="19"/>
                          <w:szCs w:val="19"/>
                        </w:rPr>
                        <w:t>Cabeça do êmbolo</w:t>
                      </w:r>
                    </w:p>
                    <w:p w14:paraId="084E13EA" w14:textId="4A2715AC" w:rsidR="009C3A83" w:rsidRPr="00CC1FC4" w:rsidRDefault="009C3A83" w:rsidP="007D5E72">
                      <w:pPr>
                        <w:jc w:val="center"/>
                        <w:rPr>
                          <w:rFonts w:asciiTheme="minorBidi" w:hAnsiTheme="minorBidi" w:cstheme="minorBidi"/>
                          <w:sz w:val="19"/>
                          <w:szCs w:val="19"/>
                        </w:rPr>
                      </w:pPr>
                    </w:p>
                  </w:txbxContent>
                </v:textbox>
                <w10:wrap anchorx="margin"/>
              </v:shape>
            </w:pict>
          </mc:Fallback>
        </mc:AlternateContent>
      </w:r>
      <w:r>
        <w:rPr>
          <w:noProof/>
        </w:rPr>
        <mc:AlternateContent>
          <mc:Choice Requires="wps">
            <w:drawing>
              <wp:anchor distT="45720" distB="45720" distL="114300" distR="114300" simplePos="0" relativeHeight="251663360" behindDoc="0" locked="0" layoutInCell="1" allowOverlap="1" wp14:anchorId="5D553E59" wp14:editId="3C44E465">
                <wp:simplePos x="0" y="0"/>
                <wp:positionH relativeFrom="margin">
                  <wp:posOffset>4578350</wp:posOffset>
                </wp:positionH>
                <wp:positionV relativeFrom="paragraph">
                  <wp:posOffset>8890</wp:posOffset>
                </wp:positionV>
                <wp:extent cx="560705" cy="325755"/>
                <wp:effectExtent l="0" t="0" r="0" b="0"/>
                <wp:wrapNone/>
                <wp:docPr id="20" name="Caixa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25755"/>
                        </a:xfrm>
                        <a:prstGeom prst="rect">
                          <a:avLst/>
                        </a:prstGeom>
                        <a:noFill/>
                        <a:ln w="9525">
                          <a:noFill/>
                          <a:miter lim="800000"/>
                          <a:headEnd/>
                          <a:tailEnd/>
                        </a:ln>
                      </wps:spPr>
                      <wps:txbx>
                        <w:txbxContent>
                          <w:p w14:paraId="7384638F" w14:textId="77777777" w:rsidR="009C3A83" w:rsidRPr="00CC1FC4" w:rsidRDefault="009C3A83" w:rsidP="00364282">
                            <w:pPr>
                              <w:jc w:val="center"/>
                              <w:rPr>
                                <w:rFonts w:asciiTheme="minorBidi" w:hAnsiTheme="minorBidi" w:cstheme="minorBidi"/>
                                <w:sz w:val="19"/>
                                <w:szCs w:val="19"/>
                              </w:rPr>
                            </w:pPr>
                            <w:r>
                              <w:rPr>
                                <w:rFonts w:asciiTheme="minorBidi" w:hAnsiTheme="minorBidi" w:cstheme="minorBidi"/>
                                <w:sz w:val="19"/>
                                <w:szCs w:val="19"/>
                              </w:rPr>
                              <w:t>Tampa da agulha</w:t>
                            </w:r>
                          </w:p>
                          <w:p w14:paraId="365EB839" w14:textId="381A72F1" w:rsidR="009C3A83" w:rsidRPr="00CC1FC4" w:rsidRDefault="009C3A83" w:rsidP="007D5E72">
                            <w:pPr>
                              <w:jc w:val="center"/>
                              <w:rPr>
                                <w:rFonts w:asciiTheme="minorBidi" w:hAnsiTheme="minorBidi" w:cstheme="minorBidi"/>
                                <w:sz w:val="19"/>
                                <w:szCs w:val="19"/>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D553E59" id="Caixa de texto 20" o:spid="_x0000_s1031" type="#_x0000_t202" style="position:absolute;left:0;text-align:left;margin-left:360.5pt;margin-top:.7pt;width:44.15pt;height:25.6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" filled="f" stroked="f">
                <v:textbox inset="0,0,0,0">
                  <w:txbxContent>
                    <w:p w14:paraId="7384638F" w14:textId="77777777" w:rsidR="009C3A83" w:rsidRPr="00CC1FC4" w:rsidRDefault="009C3A83" w:rsidP="00364282">
                      <w:pPr>
                        <w:jc w:val="center"/>
                        <w:rPr>
                          <w:rFonts w:asciiTheme="minorBidi" w:hAnsiTheme="minorBidi" w:cstheme="minorBidi"/>
                          <w:sz w:val="19"/>
                          <w:szCs w:val="19"/>
                        </w:rPr>
                      </w:pPr>
                      <w:r>
                        <w:rPr>
                          <w:rFonts w:asciiTheme="minorBidi" w:hAnsiTheme="minorBidi" w:cstheme="minorBidi"/>
                          <w:sz w:val="19"/>
                          <w:szCs w:val="19"/>
                        </w:rPr>
                        <w:t>Tampa da agulha</w:t>
                      </w:r>
                    </w:p>
                    <w:p w14:paraId="365EB839" w14:textId="381A72F1" w:rsidR="009C3A83" w:rsidRPr="00CC1FC4" w:rsidRDefault="009C3A83" w:rsidP="007D5E72">
                      <w:pPr>
                        <w:jc w:val="center"/>
                        <w:rPr>
                          <w:rFonts w:asciiTheme="minorBidi" w:hAnsiTheme="minorBidi" w:cstheme="minorBidi"/>
                          <w:sz w:val="19"/>
                          <w:szCs w:val="19"/>
                        </w:rPr>
                      </w:pPr>
                    </w:p>
                  </w:txbxContent>
                </v:textbox>
                <w10:wrap anchorx="margin"/>
              </v:shape>
            </w:pict>
          </mc:Fallback>
        </mc:AlternateContent>
      </w:r>
      <w:r>
        <w:rPr>
          <w:noProof/>
        </w:rPr>
        <mc:AlternateContent>
          <mc:Choice Requires="wps">
            <w:drawing>
              <wp:anchor distT="45720" distB="45720" distL="114300" distR="114300" simplePos="0" relativeHeight="251662336" behindDoc="0" locked="0" layoutInCell="1" allowOverlap="1" wp14:anchorId="498F46A8" wp14:editId="116551ED">
                <wp:simplePos x="0" y="0"/>
                <wp:positionH relativeFrom="margin">
                  <wp:posOffset>2877185</wp:posOffset>
                </wp:positionH>
                <wp:positionV relativeFrom="paragraph">
                  <wp:posOffset>8890</wp:posOffset>
                </wp:positionV>
                <wp:extent cx="560705" cy="325755"/>
                <wp:effectExtent l="0" t="0" r="0" b="0"/>
                <wp:wrapNone/>
                <wp:docPr id="18" name="Caixa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25755"/>
                        </a:xfrm>
                        <a:prstGeom prst="rect">
                          <a:avLst/>
                        </a:prstGeom>
                        <a:noFill/>
                        <a:ln w="9525">
                          <a:noFill/>
                          <a:miter lim="800000"/>
                          <a:headEnd/>
                          <a:tailEnd/>
                        </a:ln>
                      </wps:spPr>
                      <wps:txbx>
                        <w:txbxContent>
                          <w:p w14:paraId="6ACE2FBB" w14:textId="5FBB24E6" w:rsidR="009C3A83" w:rsidRPr="00492A01" w:rsidRDefault="009C3A83" w:rsidP="007D5E72">
                            <w:pPr>
                              <w:jc w:val="center"/>
                              <w:rPr>
                                <w:rFonts w:asciiTheme="minorBidi" w:hAnsiTheme="minorBidi" w:cstheme="minorBidi"/>
                                <w:sz w:val="19"/>
                                <w:szCs w:val="19"/>
                                <w:lang w:val="pt-PT"/>
                              </w:rPr>
                            </w:pPr>
                            <w:r>
                              <w:rPr>
                                <w:rFonts w:asciiTheme="minorBidi" w:hAnsiTheme="minorBidi" w:cstheme="minorBidi"/>
                                <w:sz w:val="19"/>
                                <w:szCs w:val="19"/>
                                <w:lang w:val="pt-PT"/>
                              </w:rPr>
                              <w:t>Visor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98F46A8" id="Caixa de texto 18" o:spid="_x0000_s1032" type="#_x0000_t202" style="position:absolute;left:0;text-align:left;margin-left:226.55pt;margin-top:.7pt;width:44.15pt;height:25.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" filled="f" stroked="f">
                <v:textbox inset="0,0,0,0">
                  <w:txbxContent>
                    <w:p w14:paraId="6ACE2FBB" w14:textId="5FBB24E6" w:rsidR="009C3A83" w:rsidRPr="00492A01" w:rsidRDefault="009C3A83" w:rsidP="007D5E72">
                      <w:pPr>
                        <w:jc w:val="center"/>
                        <w:rPr>
                          <w:rFonts w:asciiTheme="minorBidi" w:hAnsiTheme="minorBidi" w:cstheme="minorBidi"/>
                          <w:sz w:val="19"/>
                          <w:szCs w:val="19"/>
                          <w:lang w:val="pt-PT"/>
                        </w:rPr>
                      </w:pPr>
                      <w:r>
                        <w:rPr>
                          <w:rFonts w:asciiTheme="minorBidi" w:hAnsiTheme="minorBidi" w:cstheme="minorBidi"/>
                          <w:sz w:val="19"/>
                          <w:szCs w:val="19"/>
                          <w:lang w:val="pt-PT"/>
                        </w:rPr>
                        <w:t>Visor</w:t>
                      </w:r>
                    </w:p>
                  </w:txbxContent>
                </v:textbox>
                <w10:wrap anchorx="margin"/>
              </v:shape>
            </w:pict>
          </mc:Fallback>
        </mc:AlternateContent>
      </w:r>
      <w:r>
        <w:rPr>
          <w:noProof/>
        </w:rPr>
        <mc:AlternateContent>
          <mc:Choice Requires="wps">
            <w:drawing>
              <wp:anchor distT="45720" distB="45720" distL="114300" distR="114300" simplePos="0" relativeHeight="251661312" behindDoc="0" locked="0" layoutInCell="1" allowOverlap="1" wp14:anchorId="4383CC66" wp14:editId="42671E37">
                <wp:simplePos x="0" y="0"/>
                <wp:positionH relativeFrom="margin">
                  <wp:posOffset>2154555</wp:posOffset>
                </wp:positionH>
                <wp:positionV relativeFrom="paragraph">
                  <wp:posOffset>12065</wp:posOffset>
                </wp:positionV>
                <wp:extent cx="506730" cy="185420"/>
                <wp:effectExtent l="0" t="0" r="0" b="0"/>
                <wp:wrapNone/>
                <wp:docPr id="17" name="Caixa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185420"/>
                        </a:xfrm>
                        <a:prstGeom prst="rect">
                          <a:avLst/>
                        </a:prstGeom>
                        <a:noFill/>
                        <a:ln w="9525">
                          <a:noFill/>
                          <a:miter lim="800000"/>
                          <a:headEnd/>
                          <a:tailEnd/>
                        </a:ln>
                      </wps:spPr>
                      <wps:txbx>
                        <w:txbxContent>
                          <w:p w14:paraId="030A0EA6" w14:textId="33853E5C" w:rsidR="009C3A83" w:rsidRPr="00492A01" w:rsidRDefault="009C3A83" w:rsidP="007D5E72">
                            <w:pPr>
                              <w:jc w:val="center"/>
                              <w:rPr>
                                <w:rFonts w:asciiTheme="minorBidi" w:hAnsiTheme="minorBidi" w:cstheme="minorBidi"/>
                                <w:sz w:val="19"/>
                                <w:szCs w:val="19"/>
                                <w:lang w:val="pt-PT"/>
                              </w:rPr>
                            </w:pPr>
                            <w:r>
                              <w:rPr>
                                <w:rFonts w:asciiTheme="minorBidi" w:hAnsiTheme="minorBidi" w:cstheme="minorBidi"/>
                                <w:sz w:val="19"/>
                                <w:szCs w:val="19"/>
                                <w:lang w:val="pt-PT"/>
                              </w:rPr>
                              <w:t>Corpo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383CC66" id="Caixa de texto 17" o:spid="_x0000_s1033" type="#_x0000_t202" style="position:absolute;left:0;text-align:left;margin-left:169.65pt;margin-top:.95pt;width:39.9pt;height:14.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" filled="f" stroked="f">
                <v:textbox inset="0,0,0,0">
                  <w:txbxContent>
                    <w:p w14:paraId="030A0EA6" w14:textId="33853E5C" w:rsidR="009C3A83" w:rsidRPr="00492A01" w:rsidRDefault="009C3A83" w:rsidP="007D5E72">
                      <w:pPr>
                        <w:jc w:val="center"/>
                        <w:rPr>
                          <w:rFonts w:asciiTheme="minorBidi" w:hAnsiTheme="minorBidi" w:cstheme="minorBidi"/>
                          <w:sz w:val="19"/>
                          <w:szCs w:val="19"/>
                          <w:lang w:val="pt-PT"/>
                        </w:rPr>
                      </w:pPr>
                      <w:r>
                        <w:rPr>
                          <w:rFonts w:asciiTheme="minorBidi" w:hAnsiTheme="minorBidi" w:cstheme="minorBidi"/>
                          <w:sz w:val="19"/>
                          <w:szCs w:val="19"/>
                          <w:lang w:val="pt-PT"/>
                        </w:rPr>
                        <w:t>Corpo</w:t>
                      </w:r>
                    </w:p>
                  </w:txbxContent>
                </v:textbox>
                <w10:wrap anchorx="margin"/>
              </v:shape>
            </w:pict>
          </mc:Fallback>
        </mc:AlternateContent>
      </w:r>
      <w:r>
        <w:rPr>
          <w:noProof/>
        </w:rPr>
        <mc:AlternateContent>
          <mc:Choice Requires="wps">
            <w:drawing>
              <wp:anchor distT="45720" distB="45720" distL="114300" distR="114300" simplePos="0" relativeHeight="251659264" behindDoc="0" locked="0" layoutInCell="1" allowOverlap="1" wp14:anchorId="67A499A8" wp14:editId="3BF69BFD">
                <wp:simplePos x="0" y="0"/>
                <wp:positionH relativeFrom="column">
                  <wp:posOffset>308610</wp:posOffset>
                </wp:positionH>
                <wp:positionV relativeFrom="paragraph">
                  <wp:posOffset>635</wp:posOffset>
                </wp:positionV>
                <wp:extent cx="606425" cy="198755"/>
                <wp:effectExtent l="0" t="0" r="0" b="0"/>
                <wp:wrapNone/>
                <wp:docPr id="16" name="Caixa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198755"/>
                        </a:xfrm>
                        <a:prstGeom prst="rect">
                          <a:avLst/>
                        </a:prstGeom>
                        <a:noFill/>
                        <a:ln w="9525">
                          <a:noFill/>
                          <a:miter lim="800000"/>
                          <a:headEnd/>
                          <a:tailEnd/>
                        </a:ln>
                      </wps:spPr>
                      <wps:txbx>
                        <w:txbxContent>
                          <w:p w14:paraId="4EEF1789" w14:textId="7E1B49BF" w:rsidR="009C3A83" w:rsidRPr="00CC1FC4" w:rsidRDefault="009C3A83" w:rsidP="007D5E72">
                            <w:pPr>
                              <w:jc w:val="center"/>
                              <w:rPr>
                                <w:rFonts w:asciiTheme="minorBidi" w:hAnsiTheme="minorBidi" w:cstheme="minorBidi"/>
                                <w:sz w:val="19"/>
                                <w:szCs w:val="19"/>
                              </w:rPr>
                            </w:pPr>
                            <w:r>
                              <w:rPr>
                                <w:rFonts w:asciiTheme="minorBidi" w:hAnsiTheme="minorBidi" w:cstheme="minorBidi"/>
                                <w:sz w:val="19"/>
                                <w:szCs w:val="19"/>
                              </w:rPr>
                              <w:t>Êmbolo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7A499A8" id="Caixa de texto 16" o:spid="_x0000_s1034" type="#_x0000_t202" style="position:absolute;left:0;text-align:left;margin-left:24.3pt;margin-top:.05pt;width:47.75pt;height:15.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" filled="f" stroked="f">
                <v:textbox inset="0,0,0,0">
                  <w:txbxContent>
                    <w:p w14:paraId="4EEF1789" w14:textId="7E1B49BF" w:rsidR="009C3A83" w:rsidRPr="00CC1FC4" w:rsidRDefault="009C3A83" w:rsidP="007D5E72">
                      <w:pPr>
                        <w:jc w:val="center"/>
                        <w:rPr>
                          <w:rFonts w:asciiTheme="minorBidi" w:hAnsiTheme="minorBidi" w:cstheme="minorBidi"/>
                          <w:sz w:val="19"/>
                          <w:szCs w:val="19"/>
                        </w:rPr>
                      </w:pPr>
                      <w:r>
                        <w:rPr>
                          <w:rFonts w:asciiTheme="minorBidi" w:hAnsiTheme="minorBidi" w:cstheme="minorBidi"/>
                          <w:sz w:val="19"/>
                          <w:szCs w:val="19"/>
                        </w:rPr>
                        <w:t>Êmbolo</w:t>
                      </w:r>
                    </w:p>
                  </w:txbxContent>
                </v:textbox>
              </v:shape>
            </w:pict>
          </mc:Fallback>
        </mc:AlternateContent>
      </w:r>
    </w:p>
    <w:p w14:paraId="5BBDC327" w14:textId="77777777" w:rsidR="00E15739" w:rsidRPr="00110D6C" w:rsidRDefault="00E15739" w:rsidP="00E15739">
      <w:pPr>
        <w:widowControl/>
        <w:jc w:val="center"/>
        <w:rPr>
          <w:rFonts w:cs="Times New Roman"/>
          <w:color w:val="auto"/>
          <w:szCs w:val="22"/>
          <w:lang w:val="pt-PT"/>
        </w:rPr>
      </w:pPr>
    </w:p>
    <w:p w14:paraId="19F48DA8" w14:textId="77777777" w:rsidR="0077031F" w:rsidRPr="00110D6C" w:rsidRDefault="00030085" w:rsidP="00E15739">
      <w:pPr>
        <w:widowControl/>
        <w:jc w:val="center"/>
        <w:rPr>
          <w:rFonts w:cs="Times New Roman"/>
          <w:color w:val="auto"/>
          <w:szCs w:val="22"/>
          <w:lang w:val="pt-PT"/>
        </w:rPr>
      </w:pPr>
      <w:r w:rsidRPr="00110D6C">
        <w:rPr>
          <w:rFonts w:cs="Times New Roman"/>
          <w:color w:val="auto"/>
          <w:szCs w:val="22"/>
          <w:lang w:val="pt-PT"/>
        </w:rPr>
        <w:t>Figura</w:t>
      </w:r>
      <w:r w:rsidR="00023B56" w:rsidRPr="00110D6C">
        <w:rPr>
          <w:rFonts w:cs="Times New Roman"/>
          <w:color w:val="auto"/>
          <w:szCs w:val="22"/>
          <w:lang w:val="pt-PT"/>
        </w:rPr>
        <w:t> </w:t>
      </w:r>
      <w:r w:rsidRPr="00110D6C">
        <w:rPr>
          <w:rFonts w:cs="Times New Roman"/>
          <w:color w:val="auto"/>
          <w:szCs w:val="22"/>
          <w:lang w:val="pt-PT"/>
        </w:rPr>
        <w:t>1</w:t>
      </w:r>
    </w:p>
    <w:p w14:paraId="55EB1B61" w14:textId="77777777" w:rsidR="00E15739" w:rsidRPr="00110D6C" w:rsidRDefault="00E15739" w:rsidP="00E15739">
      <w:pPr>
        <w:widowControl/>
        <w:rPr>
          <w:rFonts w:cs="Times New Roman"/>
          <w:color w:val="auto"/>
          <w:szCs w:val="22"/>
          <w:lang w:val="pt-PT"/>
        </w:rPr>
      </w:pPr>
    </w:p>
    <w:p w14:paraId="37863EAB" w14:textId="77777777" w:rsidR="00E15739" w:rsidRPr="00110D6C" w:rsidRDefault="00E15739" w:rsidP="00E15739">
      <w:pPr>
        <w:widowControl/>
        <w:rPr>
          <w:rFonts w:cs="Times New Roman"/>
          <w:color w:val="auto"/>
          <w:szCs w:val="22"/>
          <w:lang w:val="pt-PT"/>
        </w:rPr>
      </w:pPr>
    </w:p>
    <w:p w14:paraId="341EE536" w14:textId="0DF54BC2" w:rsidR="0077031F" w:rsidRPr="00492A01" w:rsidRDefault="00364282" w:rsidP="00364282">
      <w:pPr>
        <w:widowControl/>
        <w:rPr>
          <w:rFonts w:cs="Times New Roman"/>
          <w:color w:val="auto"/>
          <w:szCs w:val="22"/>
          <w:lang w:val="pt-PT"/>
        </w:rPr>
      </w:pPr>
      <w:bookmarkStart w:id="190" w:name="bookmark312"/>
      <w:r w:rsidRPr="00364282">
        <w:rPr>
          <w:rFonts w:cs="Times New Roman"/>
          <w:b/>
          <w:bCs/>
          <w:color w:val="auto"/>
          <w:szCs w:val="22"/>
          <w:lang w:val="pt-PT"/>
        </w:rPr>
        <w:t>1.</w:t>
      </w:r>
      <w:r>
        <w:rPr>
          <w:rFonts w:cs="Times New Roman"/>
          <w:b/>
          <w:bCs/>
          <w:color w:val="auto"/>
          <w:szCs w:val="22"/>
          <w:lang w:val="pt-PT"/>
        </w:rPr>
        <w:tab/>
      </w:r>
      <w:r w:rsidR="00030085" w:rsidRPr="00492A01">
        <w:rPr>
          <w:rFonts w:cs="Times New Roman"/>
          <w:b/>
          <w:bCs/>
          <w:color w:val="auto"/>
          <w:szCs w:val="22"/>
          <w:lang w:val="pt-PT"/>
        </w:rPr>
        <w:t>Confirme o número de seringas pré-cheias e prepare os materiais:</w:t>
      </w:r>
      <w:bookmarkEnd w:id="190"/>
    </w:p>
    <w:p w14:paraId="204C2036"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Preparação para utilização da seringa pré-cheia:</w:t>
      </w:r>
    </w:p>
    <w:p w14:paraId="237C780F" w14:textId="77777777" w:rsidR="0077031F" w:rsidRPr="00110D6C" w:rsidRDefault="00030085" w:rsidP="00D74B6E">
      <w:pPr>
        <w:pStyle w:val="Listenabsatz"/>
        <w:widowControl/>
        <w:numPr>
          <w:ilvl w:val="0"/>
          <w:numId w:val="11"/>
        </w:numPr>
        <w:ind w:left="567" w:hanging="567"/>
        <w:rPr>
          <w:rFonts w:cs="Times New Roman"/>
          <w:color w:val="auto"/>
          <w:szCs w:val="22"/>
          <w:lang w:val="pt-PT"/>
        </w:rPr>
      </w:pPr>
      <w:r w:rsidRPr="00110D6C">
        <w:rPr>
          <w:rFonts w:cs="Times New Roman"/>
          <w:color w:val="auto"/>
          <w:szCs w:val="22"/>
          <w:lang w:val="pt-PT"/>
        </w:rPr>
        <w:t>Retire a seringa pré-cheia do frigorífico. Deixe a seringa pré-cheia em repouso fora da</w:t>
      </w:r>
      <w:r w:rsidR="00E15739" w:rsidRPr="00110D6C">
        <w:rPr>
          <w:rFonts w:cs="Times New Roman"/>
          <w:color w:val="auto"/>
          <w:szCs w:val="22"/>
          <w:lang w:val="pt-PT"/>
        </w:rPr>
        <w:t xml:space="preserve"> </w:t>
      </w:r>
      <w:r w:rsidRPr="00110D6C">
        <w:rPr>
          <w:rFonts w:cs="Times New Roman"/>
          <w:color w:val="auto"/>
          <w:szCs w:val="22"/>
          <w:lang w:val="pt-PT"/>
        </w:rPr>
        <w:t>embalagem durante cerca de meia hora. Isto permitirá que o líquido fique a uma temperatura confortável para a injeção (temperatura ambiente). Não retire a tampa da agulha da seringa enquanto aguarda que esta atinja a temperatura ambiente.</w:t>
      </w:r>
    </w:p>
    <w:p w14:paraId="79169304" w14:textId="77777777" w:rsidR="0077031F" w:rsidRPr="00110D6C" w:rsidRDefault="00030085" w:rsidP="00D74B6E">
      <w:pPr>
        <w:pStyle w:val="Listenabsatz"/>
        <w:widowControl/>
        <w:numPr>
          <w:ilvl w:val="0"/>
          <w:numId w:val="11"/>
        </w:numPr>
        <w:ind w:left="567" w:hanging="567"/>
        <w:rPr>
          <w:rFonts w:cs="Times New Roman"/>
          <w:color w:val="auto"/>
          <w:szCs w:val="22"/>
          <w:lang w:val="pt-PT"/>
        </w:rPr>
      </w:pPr>
      <w:r w:rsidRPr="00110D6C">
        <w:rPr>
          <w:rFonts w:cs="Times New Roman"/>
          <w:color w:val="auto"/>
          <w:szCs w:val="22"/>
          <w:lang w:val="pt-PT"/>
        </w:rPr>
        <w:t>Segure a seringa pré-cheia pelo corpo da seringa com a tampa da agulha virada para cima.</w:t>
      </w:r>
    </w:p>
    <w:p w14:paraId="7212E9CD" w14:textId="77777777" w:rsidR="0077031F" w:rsidRPr="00110D6C" w:rsidRDefault="00030085" w:rsidP="00D74B6E">
      <w:pPr>
        <w:pStyle w:val="Listenabsatz"/>
        <w:widowControl/>
        <w:numPr>
          <w:ilvl w:val="0"/>
          <w:numId w:val="11"/>
        </w:numPr>
        <w:ind w:left="567" w:hanging="567"/>
        <w:rPr>
          <w:rFonts w:cs="Times New Roman"/>
          <w:color w:val="auto"/>
          <w:szCs w:val="22"/>
          <w:lang w:val="pt-PT"/>
        </w:rPr>
      </w:pPr>
      <w:r w:rsidRPr="00110D6C">
        <w:rPr>
          <w:rFonts w:cs="Times New Roman"/>
          <w:color w:val="auto"/>
          <w:szCs w:val="22"/>
          <w:lang w:val="pt-PT"/>
        </w:rPr>
        <w:t>Não segure a seringa pela cabeça do êmbolo, pelo êmbolo, pelas abas da proteção da agulha nem pela tampa da agulha.</w:t>
      </w:r>
    </w:p>
    <w:p w14:paraId="5AA0464C" w14:textId="77777777" w:rsidR="0077031F" w:rsidRPr="00110D6C" w:rsidRDefault="00030085" w:rsidP="00D74B6E">
      <w:pPr>
        <w:pStyle w:val="Listenabsatz"/>
        <w:widowControl/>
        <w:numPr>
          <w:ilvl w:val="0"/>
          <w:numId w:val="11"/>
        </w:numPr>
        <w:ind w:left="567" w:hanging="567"/>
        <w:rPr>
          <w:rFonts w:cs="Times New Roman"/>
          <w:color w:val="auto"/>
          <w:szCs w:val="22"/>
          <w:lang w:val="pt-PT"/>
        </w:rPr>
      </w:pPr>
      <w:r w:rsidRPr="00110D6C">
        <w:rPr>
          <w:rFonts w:cs="Times New Roman"/>
          <w:color w:val="auto"/>
          <w:szCs w:val="22"/>
          <w:lang w:val="pt-PT"/>
        </w:rPr>
        <w:t>Não puxe o êmbolo em momento algum.</w:t>
      </w:r>
    </w:p>
    <w:p w14:paraId="51B5AFF1" w14:textId="77777777" w:rsidR="0077031F" w:rsidRPr="00110D6C" w:rsidRDefault="00030085" w:rsidP="00D74B6E">
      <w:pPr>
        <w:pStyle w:val="Listenabsatz"/>
        <w:widowControl/>
        <w:numPr>
          <w:ilvl w:val="0"/>
          <w:numId w:val="11"/>
        </w:numPr>
        <w:ind w:left="567" w:hanging="567"/>
        <w:rPr>
          <w:rFonts w:cs="Times New Roman"/>
          <w:color w:val="auto"/>
          <w:szCs w:val="22"/>
          <w:lang w:val="pt-PT"/>
        </w:rPr>
      </w:pPr>
      <w:r w:rsidRPr="00110D6C">
        <w:rPr>
          <w:rFonts w:cs="Times New Roman"/>
          <w:color w:val="auto"/>
          <w:szCs w:val="22"/>
          <w:lang w:val="pt-PT"/>
        </w:rPr>
        <w:t>Não retire a tampa da agulha da seringa pré-cheia até que lhe sejam dadas instruções para tal.</w:t>
      </w:r>
    </w:p>
    <w:p w14:paraId="422BA4B1" w14:textId="77777777" w:rsidR="0077031F" w:rsidRDefault="00030085" w:rsidP="00D74B6E">
      <w:pPr>
        <w:pStyle w:val="Listenabsatz"/>
        <w:widowControl/>
        <w:numPr>
          <w:ilvl w:val="0"/>
          <w:numId w:val="12"/>
        </w:numPr>
        <w:ind w:left="567" w:hanging="567"/>
        <w:rPr>
          <w:rFonts w:cs="Times New Roman"/>
          <w:color w:val="auto"/>
          <w:szCs w:val="22"/>
          <w:lang w:val="pt-PT"/>
        </w:rPr>
      </w:pPr>
      <w:r w:rsidRPr="00110D6C">
        <w:rPr>
          <w:rFonts w:cs="Times New Roman"/>
          <w:color w:val="auto"/>
          <w:szCs w:val="22"/>
          <w:lang w:val="pt-PT"/>
        </w:rPr>
        <w:t xml:space="preserve">Não toque nos </w:t>
      </w:r>
      <w:r w:rsidRPr="00110D6C">
        <w:rPr>
          <w:rFonts w:cs="Times New Roman"/>
          <w:i/>
          <w:iCs/>
          <w:color w:val="auto"/>
          <w:szCs w:val="22"/>
          <w:lang w:val="pt-PT"/>
        </w:rPr>
        <w:t>clips</w:t>
      </w:r>
      <w:r w:rsidRPr="00110D6C">
        <w:rPr>
          <w:rFonts w:cs="Times New Roman"/>
          <w:color w:val="auto"/>
          <w:szCs w:val="22"/>
          <w:lang w:val="pt-PT"/>
        </w:rPr>
        <w:t xml:space="preserve"> de ativação da proteção da agulha (indicados na Figura </w:t>
      </w:r>
      <w:r w:rsidR="00B910F9" w:rsidRPr="00110D6C">
        <w:rPr>
          <w:rFonts w:cs="Times New Roman"/>
          <w:color w:val="auto"/>
          <w:szCs w:val="22"/>
          <w:lang w:val="pt-PT"/>
        </w:rPr>
        <w:t>1 </w:t>
      </w:r>
      <w:r w:rsidRPr="00110D6C">
        <w:rPr>
          <w:rFonts w:cs="Times New Roman"/>
          <w:color w:val="auto"/>
          <w:szCs w:val="22"/>
          <w:lang w:val="pt-PT"/>
        </w:rPr>
        <w:t>por um asterisco)</w:t>
      </w:r>
      <w:r w:rsidR="00023B56" w:rsidRPr="00110D6C">
        <w:rPr>
          <w:rFonts w:cs="Times New Roman"/>
          <w:color w:val="auto"/>
          <w:szCs w:val="22"/>
          <w:lang w:val="pt-PT"/>
        </w:rPr>
        <w:t xml:space="preserve"> </w:t>
      </w:r>
      <w:r w:rsidRPr="00110D6C">
        <w:rPr>
          <w:rFonts w:cs="Times New Roman"/>
          <w:color w:val="auto"/>
          <w:szCs w:val="22"/>
          <w:lang w:val="pt-PT"/>
        </w:rPr>
        <w:t>para evitar a cobertura prematura da agulha pela aba de proteção da agulha.</w:t>
      </w:r>
    </w:p>
    <w:p w14:paraId="2AF1A17D" w14:textId="02ACA278" w:rsidR="00364282" w:rsidRPr="00640D00" w:rsidRDefault="00364282" w:rsidP="00640D00">
      <w:pPr>
        <w:pStyle w:val="Listenabsatz"/>
        <w:widowControl/>
        <w:numPr>
          <w:ilvl w:val="0"/>
          <w:numId w:val="12"/>
        </w:numPr>
        <w:ind w:left="567" w:hanging="567"/>
        <w:rPr>
          <w:rFonts w:cs="Times New Roman"/>
          <w:color w:val="auto"/>
          <w:szCs w:val="22"/>
          <w:lang w:val="pt-PT"/>
        </w:rPr>
      </w:pPr>
      <w:r w:rsidRPr="00640D00">
        <w:rPr>
          <w:rFonts w:cs="Times New Roman"/>
          <w:color w:val="auto"/>
          <w:szCs w:val="22"/>
          <w:lang w:val="pt-PT"/>
        </w:rPr>
        <w:t>Não utilize a seringa pré-cheia se esta tiver caído numa superfície dura.</w:t>
      </w:r>
    </w:p>
    <w:p w14:paraId="1F59E29C" w14:textId="77777777" w:rsidR="00E15739" w:rsidRPr="00110D6C" w:rsidRDefault="00E15739" w:rsidP="00E15739">
      <w:pPr>
        <w:widowControl/>
        <w:rPr>
          <w:rFonts w:cs="Times New Roman"/>
          <w:color w:val="auto"/>
          <w:szCs w:val="22"/>
          <w:lang w:val="pt-PT"/>
        </w:rPr>
      </w:pPr>
    </w:p>
    <w:p w14:paraId="56573903" w14:textId="77777777" w:rsidR="0077031F" w:rsidRPr="00110D6C" w:rsidRDefault="00030085" w:rsidP="00E15739">
      <w:pPr>
        <w:widowControl/>
        <w:rPr>
          <w:rFonts w:cs="Times New Roman"/>
          <w:color w:val="auto"/>
          <w:szCs w:val="22"/>
          <w:lang w:val="pt-PT"/>
        </w:rPr>
      </w:pPr>
      <w:r w:rsidRPr="00110D6C">
        <w:rPr>
          <w:rFonts w:cs="Times New Roman"/>
          <w:color w:val="auto"/>
          <w:szCs w:val="22"/>
          <w:lang w:val="pt-PT"/>
        </w:rPr>
        <w:t>Verifique a(s) seringa(s) pré-cheia(s) de modo a assegurar que:</w:t>
      </w:r>
    </w:p>
    <w:p w14:paraId="6B3306B9" w14:textId="77777777" w:rsidR="0077031F" w:rsidRPr="00110D6C" w:rsidRDefault="00030085" w:rsidP="00D74B6E">
      <w:pPr>
        <w:pStyle w:val="Listenabsatz"/>
        <w:widowControl/>
        <w:numPr>
          <w:ilvl w:val="0"/>
          <w:numId w:val="12"/>
        </w:numPr>
        <w:ind w:left="567" w:hanging="567"/>
        <w:rPr>
          <w:rFonts w:cs="Times New Roman"/>
          <w:color w:val="auto"/>
          <w:szCs w:val="22"/>
          <w:lang w:val="pt-PT"/>
        </w:rPr>
      </w:pPr>
      <w:r w:rsidRPr="00110D6C">
        <w:rPr>
          <w:rFonts w:cs="Times New Roman"/>
          <w:color w:val="auto"/>
          <w:szCs w:val="22"/>
          <w:lang w:val="pt-PT"/>
        </w:rPr>
        <w:t>O número de seringas pré-cheias e a dosagem estão corretos:</w:t>
      </w:r>
    </w:p>
    <w:p w14:paraId="1F95D0DC" w14:textId="72BCC685" w:rsidR="0077031F" w:rsidRPr="00110D6C" w:rsidRDefault="00030085" w:rsidP="00D74B6E">
      <w:pPr>
        <w:pStyle w:val="Listenabsatz"/>
        <w:widowControl/>
        <w:numPr>
          <w:ilvl w:val="0"/>
          <w:numId w:val="12"/>
        </w:numPr>
        <w:ind w:left="567" w:hanging="567"/>
        <w:rPr>
          <w:rFonts w:cs="Times New Roman"/>
          <w:color w:val="auto"/>
          <w:szCs w:val="22"/>
          <w:lang w:val="pt-PT"/>
        </w:rPr>
      </w:pPr>
      <w:r w:rsidRPr="00110D6C">
        <w:rPr>
          <w:rFonts w:cs="Times New Roman"/>
          <w:color w:val="auto"/>
          <w:szCs w:val="22"/>
          <w:lang w:val="pt-PT"/>
        </w:rPr>
        <w:t>Se a sua dose é de 4</w:t>
      </w:r>
      <w:r w:rsidR="00B910F9" w:rsidRPr="00110D6C">
        <w:rPr>
          <w:rFonts w:cs="Times New Roman"/>
          <w:color w:val="auto"/>
          <w:szCs w:val="22"/>
          <w:lang w:val="pt-PT"/>
        </w:rPr>
        <w:t>5 </w:t>
      </w:r>
      <w:r w:rsidRPr="00110D6C">
        <w:rPr>
          <w:rFonts w:cs="Times New Roman"/>
          <w:color w:val="auto"/>
          <w:szCs w:val="22"/>
          <w:lang w:val="pt-PT"/>
        </w:rPr>
        <w:t>mg, irá receber uma seringa pré-cheia de 4</w:t>
      </w:r>
      <w:r w:rsidR="00B910F9" w:rsidRPr="00110D6C">
        <w:rPr>
          <w:rFonts w:cs="Times New Roman"/>
          <w:color w:val="auto"/>
          <w:szCs w:val="22"/>
          <w:lang w:val="pt-PT"/>
        </w:rPr>
        <w:t>5 </w:t>
      </w:r>
      <w:r w:rsidRPr="00110D6C">
        <w:rPr>
          <w:rFonts w:cs="Times New Roman"/>
          <w:color w:val="auto"/>
          <w:szCs w:val="22"/>
          <w:lang w:val="pt-PT"/>
        </w:rPr>
        <w:t xml:space="preserve">mg de </w:t>
      </w:r>
      <w:r w:rsidR="00D50CFA">
        <w:rPr>
          <w:rFonts w:cs="Times New Roman"/>
          <w:color w:val="auto"/>
          <w:szCs w:val="22"/>
          <w:lang w:val="pt-PT"/>
        </w:rPr>
        <w:t>Fymskina</w:t>
      </w:r>
      <w:r w:rsidRPr="00110D6C">
        <w:rPr>
          <w:rFonts w:cs="Times New Roman"/>
          <w:color w:val="auto"/>
          <w:szCs w:val="22"/>
          <w:lang w:val="pt-PT"/>
        </w:rPr>
        <w:t>.</w:t>
      </w:r>
    </w:p>
    <w:p w14:paraId="517A3FE4" w14:textId="043E9531" w:rsidR="0077031F" w:rsidRPr="00110D6C" w:rsidRDefault="00030085" w:rsidP="00D74B6E">
      <w:pPr>
        <w:pStyle w:val="Listenabsatz"/>
        <w:widowControl/>
        <w:numPr>
          <w:ilvl w:val="0"/>
          <w:numId w:val="12"/>
        </w:numPr>
        <w:ind w:left="567" w:hanging="567"/>
        <w:rPr>
          <w:rFonts w:cs="Times New Roman"/>
          <w:color w:val="auto"/>
          <w:szCs w:val="22"/>
          <w:lang w:val="pt-PT"/>
        </w:rPr>
      </w:pPr>
      <w:r w:rsidRPr="00110D6C">
        <w:rPr>
          <w:rFonts w:cs="Times New Roman"/>
          <w:color w:val="auto"/>
          <w:szCs w:val="22"/>
          <w:lang w:val="pt-PT"/>
        </w:rPr>
        <w:t>Se a sua dose é de 9</w:t>
      </w:r>
      <w:r w:rsidR="00B910F9" w:rsidRPr="00110D6C">
        <w:rPr>
          <w:rFonts w:cs="Times New Roman"/>
          <w:color w:val="auto"/>
          <w:szCs w:val="22"/>
          <w:lang w:val="pt-PT"/>
        </w:rPr>
        <w:t>0 </w:t>
      </w:r>
      <w:r w:rsidRPr="00110D6C">
        <w:rPr>
          <w:rFonts w:cs="Times New Roman"/>
          <w:color w:val="auto"/>
          <w:szCs w:val="22"/>
          <w:lang w:val="pt-PT"/>
        </w:rPr>
        <w:t>mg, irá receber duas seringas pré-cheias de 4</w:t>
      </w:r>
      <w:r w:rsidR="00B910F9" w:rsidRPr="00110D6C">
        <w:rPr>
          <w:rFonts w:cs="Times New Roman"/>
          <w:color w:val="auto"/>
          <w:szCs w:val="22"/>
          <w:lang w:val="pt-PT"/>
        </w:rPr>
        <w:t>5 </w:t>
      </w:r>
      <w:r w:rsidRPr="00110D6C">
        <w:rPr>
          <w:rFonts w:cs="Times New Roman"/>
          <w:color w:val="auto"/>
          <w:szCs w:val="22"/>
          <w:lang w:val="pt-PT"/>
        </w:rPr>
        <w:t xml:space="preserve">mg de </w:t>
      </w:r>
      <w:r w:rsidR="00D50CFA">
        <w:rPr>
          <w:rFonts w:cs="Times New Roman"/>
          <w:color w:val="auto"/>
          <w:szCs w:val="22"/>
          <w:lang w:val="pt-PT"/>
        </w:rPr>
        <w:t>Fymskina</w:t>
      </w:r>
      <w:r w:rsidRPr="00110D6C">
        <w:rPr>
          <w:rFonts w:cs="Times New Roman"/>
          <w:color w:val="auto"/>
          <w:szCs w:val="22"/>
          <w:lang w:val="pt-PT"/>
        </w:rPr>
        <w:t xml:space="preserve"> e,</w:t>
      </w:r>
      <w:r w:rsidR="00E15739" w:rsidRPr="00110D6C">
        <w:rPr>
          <w:rFonts w:cs="Times New Roman"/>
          <w:color w:val="auto"/>
          <w:szCs w:val="22"/>
          <w:lang w:val="pt-PT"/>
        </w:rPr>
        <w:t xml:space="preserve"> </w:t>
      </w:r>
      <w:r w:rsidRPr="00110D6C">
        <w:rPr>
          <w:rFonts w:cs="Times New Roman"/>
          <w:color w:val="auto"/>
          <w:szCs w:val="22"/>
          <w:lang w:val="pt-PT"/>
        </w:rPr>
        <w:t>necessitará de administrar duas injeções a si mesmo. Escolha dois locais diferentes para estas injeções (p.</w:t>
      </w:r>
      <w:r w:rsidR="00844DFB">
        <w:rPr>
          <w:rFonts w:cs="Times New Roman"/>
          <w:color w:val="auto"/>
          <w:szCs w:val="22"/>
          <w:lang w:val="pt-PT"/>
        </w:rPr>
        <w:t xml:space="preserve"> </w:t>
      </w:r>
      <w:r w:rsidRPr="00110D6C">
        <w:rPr>
          <w:rFonts w:cs="Times New Roman"/>
          <w:color w:val="auto"/>
          <w:szCs w:val="22"/>
          <w:lang w:val="pt-PT"/>
        </w:rPr>
        <w:t>e</w:t>
      </w:r>
      <w:r w:rsidR="00844DFB">
        <w:rPr>
          <w:rFonts w:cs="Times New Roman"/>
          <w:color w:val="auto"/>
          <w:szCs w:val="22"/>
          <w:lang w:val="pt-PT"/>
        </w:rPr>
        <w:t>x</w:t>
      </w:r>
      <w:r w:rsidRPr="00110D6C">
        <w:rPr>
          <w:rFonts w:cs="Times New Roman"/>
          <w:color w:val="auto"/>
          <w:szCs w:val="22"/>
          <w:lang w:val="pt-PT"/>
        </w:rPr>
        <w:t>., uma injeção na coxa direita e a outra injeção na coxa esquerda) e administre as injeções uma imediatamente a seguir à outra.</w:t>
      </w:r>
    </w:p>
    <w:p w14:paraId="59F201F7" w14:textId="77777777" w:rsidR="0077031F" w:rsidRPr="00110D6C" w:rsidRDefault="00030085" w:rsidP="00D74B6E">
      <w:pPr>
        <w:pStyle w:val="Listenabsatz"/>
        <w:widowControl/>
        <w:numPr>
          <w:ilvl w:val="0"/>
          <w:numId w:val="12"/>
        </w:numPr>
        <w:ind w:left="567" w:hanging="567"/>
        <w:rPr>
          <w:rFonts w:cs="Times New Roman"/>
          <w:color w:val="auto"/>
          <w:szCs w:val="22"/>
          <w:lang w:val="pt-PT"/>
        </w:rPr>
      </w:pPr>
      <w:r w:rsidRPr="00110D6C">
        <w:rPr>
          <w:rFonts w:cs="Times New Roman"/>
          <w:color w:val="auto"/>
          <w:szCs w:val="22"/>
          <w:lang w:val="pt-PT"/>
        </w:rPr>
        <w:t>O medicamento é o correto.</w:t>
      </w:r>
    </w:p>
    <w:p w14:paraId="34424F67" w14:textId="77777777" w:rsidR="0077031F" w:rsidRPr="00110D6C" w:rsidRDefault="00030085" w:rsidP="00D74B6E">
      <w:pPr>
        <w:pStyle w:val="Listenabsatz"/>
        <w:widowControl/>
        <w:numPr>
          <w:ilvl w:val="0"/>
          <w:numId w:val="12"/>
        </w:numPr>
        <w:ind w:left="567" w:hanging="567"/>
        <w:rPr>
          <w:rFonts w:cs="Times New Roman"/>
          <w:color w:val="auto"/>
          <w:szCs w:val="22"/>
          <w:lang w:val="pt-PT"/>
        </w:rPr>
      </w:pPr>
      <w:r w:rsidRPr="00110D6C">
        <w:rPr>
          <w:rFonts w:cs="Times New Roman"/>
          <w:color w:val="auto"/>
          <w:szCs w:val="22"/>
          <w:lang w:val="pt-PT"/>
        </w:rPr>
        <w:t>O prazo de validade não expirou.</w:t>
      </w:r>
    </w:p>
    <w:p w14:paraId="6EECE0C1" w14:textId="77777777" w:rsidR="0077031F" w:rsidRPr="00110D6C" w:rsidRDefault="00030085" w:rsidP="00D74B6E">
      <w:pPr>
        <w:pStyle w:val="Listenabsatz"/>
        <w:widowControl/>
        <w:numPr>
          <w:ilvl w:val="0"/>
          <w:numId w:val="12"/>
        </w:numPr>
        <w:ind w:left="567" w:hanging="567"/>
        <w:rPr>
          <w:rFonts w:cs="Times New Roman"/>
          <w:color w:val="auto"/>
          <w:szCs w:val="22"/>
          <w:lang w:val="pt-PT"/>
        </w:rPr>
      </w:pPr>
      <w:r w:rsidRPr="00110D6C">
        <w:rPr>
          <w:rFonts w:cs="Times New Roman"/>
          <w:color w:val="auto"/>
          <w:szCs w:val="22"/>
          <w:lang w:val="pt-PT"/>
        </w:rPr>
        <w:t>A seringa pré-cheia não está danificada.</w:t>
      </w:r>
    </w:p>
    <w:p w14:paraId="1077511D" w14:textId="46FAA338" w:rsidR="0077031F" w:rsidRPr="00110D6C" w:rsidRDefault="00030085" w:rsidP="00D74B6E">
      <w:pPr>
        <w:pStyle w:val="Listenabsatz"/>
        <w:widowControl/>
        <w:numPr>
          <w:ilvl w:val="0"/>
          <w:numId w:val="12"/>
        </w:numPr>
        <w:ind w:left="567" w:hanging="567"/>
        <w:rPr>
          <w:rFonts w:cs="Times New Roman"/>
          <w:color w:val="auto"/>
          <w:szCs w:val="22"/>
          <w:lang w:val="pt-PT"/>
        </w:rPr>
      </w:pPr>
      <w:r w:rsidRPr="00110D6C">
        <w:rPr>
          <w:rFonts w:cs="Times New Roman"/>
          <w:color w:val="auto"/>
          <w:szCs w:val="22"/>
          <w:lang w:val="pt-PT"/>
        </w:rPr>
        <w:lastRenderedPageBreak/>
        <w:t xml:space="preserve">A solução na seringa pré-cheia é </w:t>
      </w:r>
      <w:r w:rsidR="00364282">
        <w:rPr>
          <w:rFonts w:cs="Times New Roman"/>
          <w:color w:val="auto"/>
          <w:szCs w:val="22"/>
          <w:lang w:val="pt-PT"/>
        </w:rPr>
        <w:t>transparente</w:t>
      </w:r>
      <w:r w:rsidR="00E15739" w:rsidRPr="00110D6C">
        <w:rPr>
          <w:rFonts w:cs="Times New Roman"/>
          <w:color w:val="auto"/>
          <w:szCs w:val="22"/>
          <w:lang w:val="pt-PT"/>
        </w:rPr>
        <w:t xml:space="preserve"> </w:t>
      </w:r>
      <w:r w:rsidRPr="00110D6C">
        <w:rPr>
          <w:rFonts w:cs="Times New Roman"/>
          <w:color w:val="auto"/>
          <w:szCs w:val="22"/>
          <w:lang w:val="pt-PT"/>
        </w:rPr>
        <w:t xml:space="preserve">e incolor a </w:t>
      </w:r>
      <w:r w:rsidR="00364282">
        <w:rPr>
          <w:rFonts w:cs="Times New Roman"/>
          <w:color w:val="auto"/>
          <w:szCs w:val="22"/>
          <w:lang w:val="pt-PT"/>
        </w:rPr>
        <w:t xml:space="preserve">ligeiramente </w:t>
      </w:r>
      <w:r w:rsidRPr="00110D6C">
        <w:rPr>
          <w:rFonts w:cs="Times New Roman"/>
          <w:color w:val="auto"/>
          <w:szCs w:val="22"/>
          <w:lang w:val="pt-PT"/>
        </w:rPr>
        <w:t>amarel</w:t>
      </w:r>
      <w:r w:rsidR="00364282">
        <w:rPr>
          <w:rFonts w:cs="Times New Roman"/>
          <w:color w:val="auto"/>
          <w:szCs w:val="22"/>
          <w:lang w:val="pt-PT"/>
        </w:rPr>
        <w:t>o-acastanhado</w:t>
      </w:r>
      <w:r w:rsidRPr="00110D6C">
        <w:rPr>
          <w:rFonts w:cs="Times New Roman"/>
          <w:color w:val="auto"/>
          <w:szCs w:val="22"/>
          <w:lang w:val="pt-PT"/>
        </w:rPr>
        <w:t>.</w:t>
      </w:r>
    </w:p>
    <w:p w14:paraId="4C6F88E5" w14:textId="77777777" w:rsidR="0077031F" w:rsidRPr="00110D6C" w:rsidRDefault="00030085" w:rsidP="00D74B6E">
      <w:pPr>
        <w:pStyle w:val="Listenabsatz"/>
        <w:widowControl/>
        <w:numPr>
          <w:ilvl w:val="0"/>
          <w:numId w:val="12"/>
        </w:numPr>
        <w:ind w:left="567" w:hanging="567"/>
        <w:rPr>
          <w:rFonts w:cs="Times New Roman"/>
          <w:color w:val="auto"/>
          <w:szCs w:val="22"/>
          <w:lang w:val="pt-PT"/>
        </w:rPr>
      </w:pPr>
      <w:r w:rsidRPr="00110D6C">
        <w:rPr>
          <w:rFonts w:cs="Times New Roman"/>
          <w:color w:val="auto"/>
          <w:szCs w:val="22"/>
          <w:lang w:val="pt-PT"/>
        </w:rPr>
        <w:t>A solução na seringa pré-cheia não está descolorada ou turva e que não contém nenhumas</w:t>
      </w:r>
      <w:r w:rsidR="00E15739" w:rsidRPr="00110D6C">
        <w:rPr>
          <w:rFonts w:cs="Times New Roman"/>
          <w:color w:val="auto"/>
          <w:szCs w:val="22"/>
          <w:lang w:val="pt-PT"/>
        </w:rPr>
        <w:t xml:space="preserve"> </w:t>
      </w:r>
      <w:r w:rsidRPr="00110D6C">
        <w:rPr>
          <w:rFonts w:cs="Times New Roman"/>
          <w:color w:val="auto"/>
          <w:szCs w:val="22"/>
          <w:lang w:val="pt-PT"/>
        </w:rPr>
        <w:t>partículas estranhas.</w:t>
      </w:r>
    </w:p>
    <w:p w14:paraId="6DE39E58" w14:textId="77777777" w:rsidR="0077031F" w:rsidRPr="00110D6C" w:rsidRDefault="00030085" w:rsidP="00D74B6E">
      <w:pPr>
        <w:pStyle w:val="Listenabsatz"/>
        <w:widowControl/>
        <w:numPr>
          <w:ilvl w:val="0"/>
          <w:numId w:val="12"/>
        </w:numPr>
        <w:ind w:left="567" w:hanging="567"/>
        <w:rPr>
          <w:rFonts w:cs="Times New Roman"/>
          <w:color w:val="auto"/>
          <w:szCs w:val="22"/>
          <w:lang w:val="pt-PT"/>
        </w:rPr>
      </w:pPr>
      <w:r w:rsidRPr="00110D6C">
        <w:rPr>
          <w:rFonts w:cs="Times New Roman"/>
          <w:color w:val="auto"/>
          <w:szCs w:val="22"/>
          <w:lang w:val="pt-PT"/>
        </w:rPr>
        <w:t>A solução na seringa pré-cheia não está congelada.</w:t>
      </w:r>
    </w:p>
    <w:p w14:paraId="07905BB9"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Junte todo o material que necessita e coloque-o sobre uma superfície limpa. Este inclui toalhetes antissépticos, uma bola de algodão ou gaze, e um recipiente apropriado.</w:t>
      </w:r>
    </w:p>
    <w:p w14:paraId="481B893F" w14:textId="77777777" w:rsidR="00E15739" w:rsidRPr="00110D6C" w:rsidRDefault="00E15739" w:rsidP="00A17623">
      <w:pPr>
        <w:widowControl/>
        <w:rPr>
          <w:rFonts w:cs="Times New Roman"/>
          <w:bCs/>
          <w:color w:val="auto"/>
          <w:szCs w:val="22"/>
          <w:lang w:val="pt-PT"/>
        </w:rPr>
      </w:pPr>
      <w:bookmarkStart w:id="191" w:name="bookmark314"/>
    </w:p>
    <w:p w14:paraId="636D02D6" w14:textId="18546321"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2.</w:t>
      </w:r>
      <w:r w:rsidR="00364282">
        <w:rPr>
          <w:rFonts w:cs="Times New Roman"/>
          <w:b/>
          <w:bCs/>
          <w:color w:val="auto"/>
          <w:szCs w:val="22"/>
          <w:lang w:val="pt-PT"/>
        </w:rPr>
        <w:tab/>
      </w:r>
      <w:r w:rsidRPr="00110D6C">
        <w:rPr>
          <w:rFonts w:cs="Times New Roman"/>
          <w:b/>
          <w:bCs/>
          <w:color w:val="auto"/>
          <w:szCs w:val="22"/>
          <w:lang w:val="pt-PT"/>
        </w:rPr>
        <w:t>Escolha e prepare o local de injeção:</w:t>
      </w:r>
      <w:bookmarkEnd w:id="191"/>
    </w:p>
    <w:p w14:paraId="6812BA7C"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Escolha um local para a injeção (ver</w:t>
      </w:r>
      <w:r w:rsidR="00934223" w:rsidRPr="00110D6C">
        <w:rPr>
          <w:rFonts w:cs="Times New Roman"/>
          <w:color w:val="auto"/>
          <w:szCs w:val="22"/>
          <w:lang w:val="pt-PT"/>
        </w:rPr>
        <w:t> </w:t>
      </w:r>
      <w:r w:rsidRPr="00110D6C">
        <w:rPr>
          <w:rFonts w:cs="Times New Roman"/>
          <w:color w:val="auto"/>
          <w:szCs w:val="22"/>
          <w:lang w:val="pt-PT"/>
        </w:rPr>
        <w:t>Figura</w:t>
      </w:r>
      <w:r w:rsidR="00934223" w:rsidRPr="00110D6C">
        <w:rPr>
          <w:rFonts w:cs="Times New Roman"/>
          <w:color w:val="auto"/>
          <w:szCs w:val="22"/>
          <w:lang w:val="pt-PT"/>
        </w:rPr>
        <w:t> </w:t>
      </w:r>
      <w:r w:rsidRPr="00110D6C">
        <w:rPr>
          <w:rFonts w:cs="Times New Roman"/>
          <w:color w:val="auto"/>
          <w:szCs w:val="22"/>
          <w:lang w:val="pt-PT"/>
        </w:rPr>
        <w:t>2):</w:t>
      </w:r>
    </w:p>
    <w:p w14:paraId="318912B8" w14:textId="2230845B" w:rsidR="0077031F" w:rsidRPr="00110D6C" w:rsidRDefault="00D50CFA" w:rsidP="00D74B6E">
      <w:pPr>
        <w:pStyle w:val="Listenabsatz"/>
        <w:widowControl/>
        <w:numPr>
          <w:ilvl w:val="0"/>
          <w:numId w:val="12"/>
        </w:numPr>
        <w:ind w:left="567" w:hanging="567"/>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é administrado por injeção por baixo da pele (“via subcutânea”).</w:t>
      </w:r>
    </w:p>
    <w:p w14:paraId="729FF75B" w14:textId="77777777" w:rsidR="0077031F" w:rsidRPr="00110D6C" w:rsidRDefault="00030085" w:rsidP="00D74B6E">
      <w:pPr>
        <w:pStyle w:val="Listenabsatz"/>
        <w:widowControl/>
        <w:numPr>
          <w:ilvl w:val="0"/>
          <w:numId w:val="12"/>
        </w:numPr>
        <w:ind w:left="567" w:hanging="567"/>
        <w:rPr>
          <w:rFonts w:cs="Times New Roman"/>
          <w:color w:val="auto"/>
          <w:szCs w:val="22"/>
          <w:lang w:val="pt-PT"/>
        </w:rPr>
      </w:pPr>
      <w:r w:rsidRPr="00110D6C">
        <w:rPr>
          <w:rFonts w:cs="Times New Roman"/>
          <w:color w:val="auto"/>
          <w:szCs w:val="22"/>
          <w:lang w:val="pt-PT"/>
        </w:rPr>
        <w:t>Os melhores locais para a injeção são a parte superior da coxa ou em volta da barriga (abdómen)</w:t>
      </w:r>
      <w:r w:rsidR="00E15739" w:rsidRPr="00110D6C">
        <w:rPr>
          <w:rFonts w:cs="Times New Roman"/>
          <w:color w:val="auto"/>
          <w:szCs w:val="22"/>
          <w:lang w:val="pt-PT"/>
        </w:rPr>
        <w:t xml:space="preserve"> </w:t>
      </w:r>
      <w:r w:rsidRPr="00110D6C">
        <w:rPr>
          <w:rFonts w:cs="Times New Roman"/>
          <w:color w:val="auto"/>
          <w:szCs w:val="22"/>
          <w:lang w:val="pt-PT"/>
        </w:rPr>
        <w:t xml:space="preserve">com pelo menos </w:t>
      </w:r>
      <w:r w:rsidR="00B910F9" w:rsidRPr="00110D6C">
        <w:rPr>
          <w:rFonts w:cs="Times New Roman"/>
          <w:color w:val="auto"/>
          <w:szCs w:val="22"/>
          <w:lang w:val="pt-PT"/>
        </w:rPr>
        <w:t>5 </w:t>
      </w:r>
      <w:r w:rsidRPr="00110D6C">
        <w:rPr>
          <w:rFonts w:cs="Times New Roman"/>
          <w:color w:val="auto"/>
          <w:szCs w:val="22"/>
          <w:lang w:val="pt-PT"/>
        </w:rPr>
        <w:t>cm de distância do umbigo.</w:t>
      </w:r>
    </w:p>
    <w:p w14:paraId="7DE14814" w14:textId="77777777" w:rsidR="0077031F" w:rsidRPr="00110D6C" w:rsidRDefault="00030085" w:rsidP="00D74B6E">
      <w:pPr>
        <w:pStyle w:val="Listenabsatz"/>
        <w:widowControl/>
        <w:numPr>
          <w:ilvl w:val="0"/>
          <w:numId w:val="12"/>
        </w:numPr>
        <w:ind w:left="567" w:hanging="567"/>
        <w:rPr>
          <w:rFonts w:cs="Times New Roman"/>
          <w:color w:val="auto"/>
          <w:szCs w:val="22"/>
          <w:lang w:val="pt-PT"/>
        </w:rPr>
      </w:pPr>
      <w:r w:rsidRPr="00110D6C">
        <w:rPr>
          <w:rFonts w:cs="Times New Roman"/>
          <w:color w:val="auto"/>
          <w:szCs w:val="22"/>
          <w:lang w:val="pt-PT"/>
        </w:rPr>
        <w:t>Se possível, não utilize áreas da pele que mostrem sinais de psoríase.</w:t>
      </w:r>
    </w:p>
    <w:p w14:paraId="4697285E" w14:textId="77777777" w:rsidR="0077031F" w:rsidRPr="00110D6C" w:rsidRDefault="00030085" w:rsidP="00D74B6E">
      <w:pPr>
        <w:pStyle w:val="Listenabsatz"/>
        <w:widowControl/>
        <w:numPr>
          <w:ilvl w:val="0"/>
          <w:numId w:val="12"/>
        </w:numPr>
        <w:ind w:left="567" w:hanging="567"/>
        <w:rPr>
          <w:rFonts w:cs="Times New Roman"/>
          <w:color w:val="auto"/>
          <w:szCs w:val="22"/>
          <w:lang w:val="pt-PT"/>
        </w:rPr>
      </w:pPr>
      <w:r w:rsidRPr="00110D6C">
        <w:rPr>
          <w:rFonts w:cs="Times New Roman"/>
          <w:color w:val="auto"/>
          <w:szCs w:val="22"/>
          <w:lang w:val="pt-PT"/>
        </w:rPr>
        <w:t>Se alguém o ajudar a administrar a injeção, essa pessoa também poderá escolher a parte superior</w:t>
      </w:r>
      <w:r w:rsidR="00E15739" w:rsidRPr="00110D6C">
        <w:rPr>
          <w:rFonts w:cs="Times New Roman"/>
          <w:color w:val="auto"/>
          <w:szCs w:val="22"/>
          <w:lang w:val="pt-PT"/>
        </w:rPr>
        <w:t xml:space="preserve"> </w:t>
      </w:r>
      <w:r w:rsidRPr="00110D6C">
        <w:rPr>
          <w:rFonts w:cs="Times New Roman"/>
          <w:color w:val="auto"/>
          <w:szCs w:val="22"/>
          <w:lang w:val="pt-PT"/>
        </w:rPr>
        <w:t>dos braços como um local de injeção.</w:t>
      </w:r>
    </w:p>
    <w:p w14:paraId="2FF476CA" w14:textId="77777777" w:rsidR="00E15739" w:rsidRPr="00110D6C" w:rsidRDefault="00E15739" w:rsidP="00E15739">
      <w:pPr>
        <w:widowControl/>
        <w:jc w:val="center"/>
        <w:rPr>
          <w:rFonts w:cs="Times New Roman"/>
          <w:color w:val="auto"/>
          <w:szCs w:val="22"/>
          <w:lang w:val="pt-PT"/>
        </w:rPr>
      </w:pPr>
    </w:p>
    <w:p w14:paraId="507DF8A7" w14:textId="3A525493" w:rsidR="0077031F" w:rsidRPr="00110D6C" w:rsidRDefault="00364282" w:rsidP="00E15739">
      <w:pPr>
        <w:widowControl/>
        <w:jc w:val="center"/>
        <w:rPr>
          <w:rFonts w:cs="Times New Roman"/>
          <w:color w:val="auto"/>
          <w:szCs w:val="22"/>
          <w:lang w:val="pt-PT"/>
        </w:rPr>
      </w:pPr>
      <w:r w:rsidRPr="00A9610F">
        <w:rPr>
          <w:noProof/>
          <w:lang w:val="en-GB" w:eastAsia="en-GB"/>
        </w:rPr>
        <w:drawing>
          <wp:inline distT="0" distB="0" distL="0" distR="0" wp14:anchorId="0C68CBE6" wp14:editId="2B62FD11">
            <wp:extent cx="3698544" cy="1825725"/>
            <wp:effectExtent l="0" t="0" r="0" b="3175"/>
            <wp:docPr id="19" name="Grafik 19" descr="Z:\Ustekinumab (FYB202)\Regulatory\12_Labeling EU\03_Product information\01_Prep_D120\Info\Pictogram for PI_sent by Milan\Pictogram from PIL-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Ustekinumab (FYB202)\Regulatory\12_Labeling EU\03_Product information\01_Prep_D120\Info\Pictogram for PI_sent by Milan\Pictogram from PIL-0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5548" cy="1848928"/>
                    </a:xfrm>
                    <a:prstGeom prst="rect">
                      <a:avLst/>
                    </a:prstGeom>
                    <a:noFill/>
                    <a:ln>
                      <a:noFill/>
                    </a:ln>
                  </pic:spPr>
                </pic:pic>
              </a:graphicData>
            </a:graphic>
          </wp:inline>
        </w:drawing>
      </w:r>
    </w:p>
    <w:p w14:paraId="0BB8ED45" w14:textId="697B44AA" w:rsidR="00E15739" w:rsidRPr="00110D6C" w:rsidRDefault="00364282" w:rsidP="00E15739">
      <w:pPr>
        <w:widowControl/>
        <w:jc w:val="center"/>
        <w:rPr>
          <w:rFonts w:cs="Times New Roman"/>
          <w:color w:val="auto"/>
          <w:szCs w:val="22"/>
          <w:lang w:val="pt-PT"/>
        </w:rPr>
      </w:pPr>
      <w:r>
        <w:rPr>
          <w:rFonts w:cs="Times New Roman"/>
          <w:color w:val="auto"/>
          <w:szCs w:val="22"/>
          <w:lang w:val="pt-PT"/>
        </w:rPr>
        <w:t>Figura 2:</w:t>
      </w:r>
      <w:r w:rsidR="00030085" w:rsidRPr="00110D6C">
        <w:rPr>
          <w:rFonts w:cs="Times New Roman"/>
          <w:color w:val="auto"/>
          <w:szCs w:val="22"/>
          <w:lang w:val="pt-PT"/>
        </w:rPr>
        <w:t xml:space="preserve"> Áreas a cinzento são locais de injeção recomendados</w:t>
      </w:r>
    </w:p>
    <w:p w14:paraId="5073384C" w14:textId="77777777" w:rsidR="00E15739" w:rsidRPr="00110D6C" w:rsidRDefault="00E15739" w:rsidP="00E15739">
      <w:pPr>
        <w:widowControl/>
        <w:jc w:val="center"/>
        <w:rPr>
          <w:rFonts w:cs="Times New Roman"/>
          <w:color w:val="auto"/>
          <w:szCs w:val="22"/>
          <w:lang w:val="pt-PT"/>
        </w:rPr>
      </w:pPr>
    </w:p>
    <w:p w14:paraId="0F5EA7BA"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Prepare o local de injeção:</w:t>
      </w:r>
    </w:p>
    <w:p w14:paraId="3D554DA2" w14:textId="77777777" w:rsidR="0077031F" w:rsidRPr="00110D6C" w:rsidRDefault="00030085" w:rsidP="00D74B6E">
      <w:pPr>
        <w:pStyle w:val="Listenabsatz"/>
        <w:widowControl/>
        <w:numPr>
          <w:ilvl w:val="0"/>
          <w:numId w:val="12"/>
        </w:numPr>
        <w:ind w:left="567" w:hanging="567"/>
        <w:rPr>
          <w:rFonts w:cs="Times New Roman"/>
          <w:color w:val="auto"/>
          <w:szCs w:val="22"/>
          <w:lang w:val="pt-PT"/>
        </w:rPr>
      </w:pPr>
      <w:r w:rsidRPr="00110D6C">
        <w:rPr>
          <w:rFonts w:cs="Times New Roman"/>
          <w:color w:val="auto"/>
          <w:szCs w:val="22"/>
          <w:lang w:val="pt-PT"/>
        </w:rPr>
        <w:t>Lave muito bem as suas mãos com sabão e água morna</w:t>
      </w:r>
    </w:p>
    <w:p w14:paraId="0C900923" w14:textId="77777777" w:rsidR="0077031F" w:rsidRPr="00110D6C" w:rsidRDefault="00030085" w:rsidP="00D74B6E">
      <w:pPr>
        <w:pStyle w:val="Listenabsatz"/>
        <w:widowControl/>
        <w:numPr>
          <w:ilvl w:val="0"/>
          <w:numId w:val="12"/>
        </w:numPr>
        <w:ind w:left="567" w:hanging="567"/>
        <w:rPr>
          <w:rFonts w:cs="Times New Roman"/>
          <w:color w:val="auto"/>
          <w:szCs w:val="22"/>
          <w:lang w:val="pt-PT"/>
        </w:rPr>
      </w:pPr>
      <w:r w:rsidRPr="00110D6C">
        <w:rPr>
          <w:rFonts w:cs="Times New Roman"/>
          <w:color w:val="auto"/>
          <w:szCs w:val="22"/>
          <w:lang w:val="pt-PT"/>
        </w:rPr>
        <w:t>Limpe a pele no local de injeção, com um toalhete antisséptico</w:t>
      </w:r>
    </w:p>
    <w:p w14:paraId="0CBB298F" w14:textId="77777777" w:rsidR="0077031F" w:rsidRPr="00110D6C" w:rsidRDefault="00030085" w:rsidP="00D74B6E">
      <w:pPr>
        <w:pStyle w:val="Listenabsatz"/>
        <w:widowControl/>
        <w:numPr>
          <w:ilvl w:val="0"/>
          <w:numId w:val="12"/>
        </w:numPr>
        <w:ind w:left="567" w:hanging="567"/>
        <w:rPr>
          <w:rFonts w:cs="Times New Roman"/>
          <w:color w:val="auto"/>
          <w:szCs w:val="22"/>
          <w:lang w:val="pt-PT"/>
        </w:rPr>
      </w:pPr>
      <w:r w:rsidRPr="00110D6C">
        <w:rPr>
          <w:rFonts w:cs="Times New Roman"/>
          <w:b/>
          <w:bCs/>
          <w:color w:val="auto"/>
          <w:szCs w:val="22"/>
          <w:lang w:val="pt-PT"/>
        </w:rPr>
        <w:t xml:space="preserve">Não </w:t>
      </w:r>
      <w:r w:rsidRPr="00110D6C">
        <w:rPr>
          <w:rFonts w:cs="Times New Roman"/>
          <w:color w:val="auto"/>
          <w:szCs w:val="22"/>
          <w:lang w:val="pt-PT"/>
        </w:rPr>
        <w:t>toque novamente nesta área antes de administrar a injeção</w:t>
      </w:r>
    </w:p>
    <w:p w14:paraId="0335FC04" w14:textId="77777777" w:rsidR="00E15739" w:rsidRPr="00110D6C" w:rsidRDefault="00E15739" w:rsidP="00A17623">
      <w:pPr>
        <w:widowControl/>
        <w:rPr>
          <w:rFonts w:cs="Times New Roman"/>
          <w:bCs/>
          <w:color w:val="auto"/>
          <w:szCs w:val="22"/>
          <w:lang w:val="pt-PT"/>
        </w:rPr>
      </w:pPr>
      <w:bookmarkStart w:id="192" w:name="bookmark316"/>
    </w:p>
    <w:p w14:paraId="4911C73F" w14:textId="77777777" w:rsidR="00E15739" w:rsidRPr="00110D6C" w:rsidRDefault="00E15739" w:rsidP="00A17623">
      <w:pPr>
        <w:widowControl/>
        <w:rPr>
          <w:rFonts w:cs="Times New Roman"/>
          <w:bCs/>
          <w:color w:val="auto"/>
          <w:szCs w:val="22"/>
          <w:lang w:val="pt-PT"/>
        </w:rPr>
      </w:pPr>
    </w:p>
    <w:p w14:paraId="4A1592A8" w14:textId="542DF659" w:rsidR="0077031F" w:rsidRPr="00110D6C" w:rsidRDefault="00030085" w:rsidP="00E15739">
      <w:pPr>
        <w:widowControl/>
        <w:ind w:left="567" w:hanging="567"/>
        <w:rPr>
          <w:rFonts w:cs="Times New Roman"/>
          <w:color w:val="auto"/>
          <w:szCs w:val="22"/>
          <w:lang w:val="pt-PT"/>
        </w:rPr>
      </w:pPr>
      <w:r w:rsidRPr="00110D6C">
        <w:rPr>
          <w:rFonts w:cs="Times New Roman"/>
          <w:b/>
          <w:bCs/>
          <w:color w:val="auto"/>
          <w:szCs w:val="22"/>
          <w:lang w:val="pt-PT"/>
        </w:rPr>
        <w:t>3.</w:t>
      </w:r>
      <w:r w:rsidR="00E15739" w:rsidRPr="00110D6C">
        <w:rPr>
          <w:rFonts w:cs="Times New Roman"/>
          <w:b/>
          <w:bCs/>
          <w:color w:val="auto"/>
          <w:szCs w:val="22"/>
          <w:lang w:val="pt-PT"/>
        </w:rPr>
        <w:tab/>
      </w:r>
      <w:r w:rsidRPr="00110D6C">
        <w:rPr>
          <w:rFonts w:cs="Times New Roman"/>
          <w:b/>
          <w:bCs/>
          <w:color w:val="auto"/>
          <w:szCs w:val="22"/>
          <w:lang w:val="pt-PT"/>
        </w:rPr>
        <w:t>Retire a tampa da agulha (Figura 3)</w:t>
      </w:r>
      <w:bookmarkEnd w:id="192"/>
      <w:r w:rsidR="00844DFB">
        <w:rPr>
          <w:rFonts w:cs="Times New Roman"/>
          <w:b/>
          <w:bCs/>
          <w:color w:val="auto"/>
          <w:szCs w:val="22"/>
          <w:lang w:val="pt-PT"/>
        </w:rPr>
        <w:t>:</w:t>
      </w:r>
    </w:p>
    <w:p w14:paraId="38A80E8C" w14:textId="77777777" w:rsidR="0077031F" w:rsidRPr="00110D6C" w:rsidRDefault="00030085" w:rsidP="00D74B6E">
      <w:pPr>
        <w:pStyle w:val="Listenabsatz"/>
        <w:widowControl/>
        <w:numPr>
          <w:ilvl w:val="0"/>
          <w:numId w:val="12"/>
        </w:numPr>
        <w:ind w:left="567" w:hanging="567"/>
        <w:rPr>
          <w:rFonts w:cs="Times New Roman"/>
          <w:color w:val="auto"/>
          <w:szCs w:val="22"/>
          <w:lang w:val="pt-PT"/>
        </w:rPr>
      </w:pPr>
      <w:r w:rsidRPr="00110D6C">
        <w:rPr>
          <w:rFonts w:cs="Times New Roman"/>
          <w:color w:val="auto"/>
          <w:szCs w:val="22"/>
          <w:lang w:val="pt-PT"/>
        </w:rPr>
        <w:t xml:space="preserve">A tampa da agulha </w:t>
      </w:r>
      <w:r w:rsidRPr="00110D6C">
        <w:rPr>
          <w:rFonts w:cs="Times New Roman"/>
          <w:b/>
          <w:bCs/>
          <w:color w:val="auto"/>
          <w:szCs w:val="22"/>
          <w:lang w:val="pt-PT"/>
        </w:rPr>
        <w:t xml:space="preserve">não </w:t>
      </w:r>
      <w:r w:rsidRPr="00110D6C">
        <w:rPr>
          <w:rFonts w:cs="Times New Roman"/>
          <w:color w:val="auto"/>
          <w:szCs w:val="22"/>
          <w:lang w:val="pt-PT"/>
        </w:rPr>
        <w:t>deve ser retirada até que esteja pronto para injetar a dose.</w:t>
      </w:r>
    </w:p>
    <w:p w14:paraId="2242F0B2" w14:textId="77777777" w:rsidR="0077031F" w:rsidRPr="00110D6C" w:rsidRDefault="00030085" w:rsidP="00D74B6E">
      <w:pPr>
        <w:pStyle w:val="Listenabsatz"/>
        <w:widowControl/>
        <w:numPr>
          <w:ilvl w:val="0"/>
          <w:numId w:val="12"/>
        </w:numPr>
        <w:ind w:left="567" w:hanging="567"/>
        <w:rPr>
          <w:rFonts w:cs="Times New Roman"/>
          <w:color w:val="auto"/>
          <w:szCs w:val="22"/>
          <w:lang w:val="pt-PT"/>
        </w:rPr>
      </w:pPr>
      <w:r w:rsidRPr="00110D6C">
        <w:rPr>
          <w:rFonts w:cs="Times New Roman"/>
          <w:color w:val="auto"/>
          <w:szCs w:val="22"/>
          <w:lang w:val="pt-PT"/>
        </w:rPr>
        <w:t>Pegue na seringa pré-cheia, segure no corpo da seringa com uma mão.</w:t>
      </w:r>
    </w:p>
    <w:p w14:paraId="7D189C5A" w14:textId="77777777" w:rsidR="0077031F" w:rsidRPr="00110D6C" w:rsidRDefault="00030085" w:rsidP="00D74B6E">
      <w:pPr>
        <w:pStyle w:val="Listenabsatz"/>
        <w:widowControl/>
        <w:numPr>
          <w:ilvl w:val="0"/>
          <w:numId w:val="13"/>
        </w:numPr>
        <w:ind w:left="567" w:hanging="567"/>
        <w:rPr>
          <w:rFonts w:cs="Times New Roman"/>
          <w:color w:val="auto"/>
          <w:szCs w:val="22"/>
          <w:lang w:val="pt-PT"/>
        </w:rPr>
      </w:pPr>
      <w:r w:rsidRPr="00110D6C">
        <w:rPr>
          <w:rFonts w:cs="Times New Roman"/>
          <w:color w:val="auto"/>
          <w:szCs w:val="22"/>
          <w:lang w:val="pt-PT"/>
        </w:rPr>
        <w:t>Puxe a tampa da agulha na horizontal e deite-a fora. Não toque no êmbolo enquanto retira a</w:t>
      </w:r>
      <w:r w:rsidR="00E15739" w:rsidRPr="00110D6C">
        <w:rPr>
          <w:rFonts w:cs="Times New Roman"/>
          <w:color w:val="auto"/>
          <w:szCs w:val="22"/>
          <w:lang w:val="pt-PT"/>
        </w:rPr>
        <w:t xml:space="preserve"> </w:t>
      </w:r>
      <w:r w:rsidRPr="00110D6C">
        <w:rPr>
          <w:rFonts w:cs="Times New Roman"/>
          <w:color w:val="auto"/>
          <w:szCs w:val="22"/>
          <w:lang w:val="pt-PT"/>
        </w:rPr>
        <w:t>tampa.</w:t>
      </w:r>
    </w:p>
    <w:p w14:paraId="343311AC" w14:textId="77777777" w:rsidR="00E15739" w:rsidRPr="00110D6C" w:rsidRDefault="00E15739" w:rsidP="00E15739">
      <w:pPr>
        <w:widowControl/>
        <w:jc w:val="center"/>
        <w:rPr>
          <w:rFonts w:cs="Times New Roman"/>
          <w:color w:val="auto"/>
          <w:szCs w:val="22"/>
          <w:lang w:val="pt-PT"/>
        </w:rPr>
      </w:pPr>
    </w:p>
    <w:p w14:paraId="2639B965" w14:textId="6365ADAE" w:rsidR="0077031F" w:rsidRPr="00110D6C" w:rsidRDefault="0077031F" w:rsidP="00E15739">
      <w:pPr>
        <w:widowControl/>
        <w:jc w:val="center"/>
        <w:rPr>
          <w:rFonts w:cs="Times New Roman"/>
          <w:color w:val="auto"/>
          <w:szCs w:val="22"/>
          <w:lang w:val="pt-PT"/>
        </w:rPr>
      </w:pPr>
    </w:p>
    <w:p w14:paraId="0F8A1D3A" w14:textId="26D70CC7" w:rsidR="00E15739" w:rsidRDefault="00364282" w:rsidP="00E15739">
      <w:pPr>
        <w:widowControl/>
        <w:jc w:val="center"/>
        <w:rPr>
          <w:rFonts w:cs="Times New Roman"/>
          <w:color w:val="auto"/>
          <w:szCs w:val="22"/>
          <w:lang w:val="pt-PT"/>
        </w:rPr>
      </w:pPr>
      <w:r w:rsidRPr="00A9610F">
        <w:rPr>
          <w:noProof/>
          <w:lang w:val="en-GB" w:eastAsia="en-GB"/>
        </w:rPr>
        <w:drawing>
          <wp:inline distT="0" distB="0" distL="0" distR="0" wp14:anchorId="2311EC69" wp14:editId="01A741E1">
            <wp:extent cx="3063922" cy="1509669"/>
            <wp:effectExtent l="0" t="0" r="3175"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63922" cy="1509669"/>
                    </a:xfrm>
                    <a:prstGeom prst="rect">
                      <a:avLst/>
                    </a:prstGeom>
                    <a:noFill/>
                  </pic:spPr>
                </pic:pic>
              </a:graphicData>
            </a:graphic>
          </wp:inline>
        </w:drawing>
      </w:r>
    </w:p>
    <w:p w14:paraId="0B27EA88" w14:textId="77777777" w:rsidR="00364282" w:rsidRPr="00110D6C" w:rsidRDefault="00364282" w:rsidP="00E15739">
      <w:pPr>
        <w:widowControl/>
        <w:jc w:val="center"/>
        <w:rPr>
          <w:rFonts w:cs="Times New Roman"/>
          <w:color w:val="auto"/>
          <w:szCs w:val="22"/>
          <w:lang w:val="pt-PT"/>
        </w:rPr>
      </w:pPr>
    </w:p>
    <w:p w14:paraId="40900320" w14:textId="77777777" w:rsidR="0077031F" w:rsidRPr="00110D6C" w:rsidRDefault="00030085" w:rsidP="00E15739">
      <w:pPr>
        <w:widowControl/>
        <w:jc w:val="center"/>
        <w:rPr>
          <w:rFonts w:cs="Times New Roman"/>
          <w:color w:val="auto"/>
          <w:szCs w:val="22"/>
          <w:lang w:val="pt-PT"/>
        </w:rPr>
      </w:pPr>
      <w:r w:rsidRPr="00110D6C">
        <w:rPr>
          <w:rFonts w:cs="Times New Roman"/>
          <w:color w:val="auto"/>
          <w:szCs w:val="22"/>
          <w:lang w:val="pt-PT"/>
        </w:rPr>
        <w:t>Figura</w:t>
      </w:r>
      <w:r w:rsidR="00934223" w:rsidRPr="00110D6C">
        <w:rPr>
          <w:rFonts w:cs="Times New Roman"/>
          <w:color w:val="auto"/>
          <w:szCs w:val="22"/>
          <w:lang w:val="pt-PT"/>
        </w:rPr>
        <w:t> </w:t>
      </w:r>
      <w:r w:rsidRPr="00110D6C">
        <w:rPr>
          <w:rFonts w:cs="Times New Roman"/>
          <w:color w:val="auto"/>
          <w:szCs w:val="22"/>
          <w:lang w:val="pt-PT"/>
        </w:rPr>
        <w:t>3</w:t>
      </w:r>
    </w:p>
    <w:p w14:paraId="6FD4C048" w14:textId="77777777" w:rsidR="0077031F" w:rsidRPr="00110D6C" w:rsidRDefault="00030085" w:rsidP="00D74B6E">
      <w:pPr>
        <w:pStyle w:val="Listenabsatz"/>
        <w:widowControl/>
        <w:numPr>
          <w:ilvl w:val="0"/>
          <w:numId w:val="13"/>
        </w:numPr>
        <w:ind w:left="567" w:hanging="567"/>
        <w:rPr>
          <w:rFonts w:cs="Times New Roman"/>
          <w:color w:val="auto"/>
          <w:szCs w:val="22"/>
          <w:lang w:val="pt-PT"/>
        </w:rPr>
      </w:pPr>
      <w:r w:rsidRPr="00110D6C">
        <w:rPr>
          <w:rFonts w:cs="Times New Roman"/>
          <w:color w:val="auto"/>
          <w:szCs w:val="22"/>
          <w:lang w:val="pt-PT"/>
        </w:rPr>
        <w:t>Pode notar uma bolha de ar na seringa pré-cheia ou uma gota de líquido no final da agulha. Isto</w:t>
      </w:r>
      <w:r w:rsidR="00E15739" w:rsidRPr="00110D6C">
        <w:rPr>
          <w:rFonts w:cs="Times New Roman"/>
          <w:color w:val="auto"/>
          <w:szCs w:val="22"/>
          <w:lang w:val="pt-PT"/>
        </w:rPr>
        <w:t xml:space="preserve"> </w:t>
      </w:r>
      <w:r w:rsidRPr="00110D6C">
        <w:rPr>
          <w:rFonts w:cs="Times New Roman"/>
          <w:color w:val="auto"/>
          <w:szCs w:val="22"/>
          <w:lang w:val="pt-PT"/>
        </w:rPr>
        <w:t>é normal e não necessita de removê-las.</w:t>
      </w:r>
    </w:p>
    <w:p w14:paraId="4FE18C4E" w14:textId="77777777" w:rsidR="0077031F" w:rsidRPr="00110D6C" w:rsidRDefault="00030085" w:rsidP="00D74B6E">
      <w:pPr>
        <w:pStyle w:val="Listenabsatz"/>
        <w:widowControl/>
        <w:numPr>
          <w:ilvl w:val="0"/>
          <w:numId w:val="13"/>
        </w:numPr>
        <w:ind w:left="567" w:hanging="567"/>
        <w:rPr>
          <w:rFonts w:cs="Times New Roman"/>
          <w:color w:val="auto"/>
          <w:szCs w:val="22"/>
          <w:lang w:val="pt-PT"/>
        </w:rPr>
      </w:pPr>
      <w:r w:rsidRPr="00110D6C">
        <w:rPr>
          <w:rFonts w:cs="Times New Roman"/>
          <w:color w:val="auto"/>
          <w:szCs w:val="22"/>
          <w:lang w:val="pt-PT"/>
        </w:rPr>
        <w:lastRenderedPageBreak/>
        <w:t>Não toque na agulha nem permita que esta toque em nenhuma superfície.</w:t>
      </w:r>
    </w:p>
    <w:p w14:paraId="1AD079CF" w14:textId="77777777" w:rsidR="0077031F" w:rsidRPr="00110D6C" w:rsidRDefault="00030085" w:rsidP="00D74B6E">
      <w:pPr>
        <w:pStyle w:val="Listenabsatz"/>
        <w:widowControl/>
        <w:numPr>
          <w:ilvl w:val="0"/>
          <w:numId w:val="13"/>
        </w:numPr>
        <w:ind w:left="567" w:hanging="567"/>
        <w:rPr>
          <w:rFonts w:cs="Times New Roman"/>
          <w:color w:val="auto"/>
          <w:szCs w:val="22"/>
          <w:lang w:val="pt-PT"/>
        </w:rPr>
      </w:pPr>
      <w:r w:rsidRPr="00110D6C">
        <w:rPr>
          <w:rFonts w:cs="Times New Roman"/>
          <w:color w:val="auto"/>
          <w:szCs w:val="22"/>
          <w:lang w:val="pt-PT"/>
        </w:rPr>
        <w:t>Não utilize a seringa pré-cheia se a deixar cair sem a tampa da agulha. Se isto acontecer,</w:t>
      </w:r>
      <w:r w:rsidR="00E15739" w:rsidRPr="00110D6C">
        <w:rPr>
          <w:rFonts w:cs="Times New Roman"/>
          <w:color w:val="auto"/>
          <w:szCs w:val="22"/>
          <w:lang w:val="pt-PT"/>
        </w:rPr>
        <w:t xml:space="preserve"> </w:t>
      </w:r>
      <w:r w:rsidRPr="00110D6C">
        <w:rPr>
          <w:rFonts w:cs="Times New Roman"/>
          <w:color w:val="auto"/>
          <w:szCs w:val="22"/>
          <w:lang w:val="pt-PT"/>
        </w:rPr>
        <w:t>contacte, por favor, o seu médico ou farmacêutico.</w:t>
      </w:r>
    </w:p>
    <w:p w14:paraId="4ADDBC23" w14:textId="77777777" w:rsidR="0077031F" w:rsidRPr="00110D6C" w:rsidRDefault="00030085" w:rsidP="00D74B6E">
      <w:pPr>
        <w:pStyle w:val="Listenabsatz"/>
        <w:widowControl/>
        <w:numPr>
          <w:ilvl w:val="0"/>
          <w:numId w:val="13"/>
        </w:numPr>
        <w:ind w:left="567" w:hanging="567"/>
        <w:rPr>
          <w:rFonts w:cs="Times New Roman"/>
          <w:color w:val="auto"/>
          <w:szCs w:val="22"/>
          <w:lang w:val="pt-PT"/>
        </w:rPr>
      </w:pPr>
      <w:r w:rsidRPr="00110D6C">
        <w:rPr>
          <w:rFonts w:cs="Times New Roman"/>
          <w:color w:val="auto"/>
          <w:szCs w:val="22"/>
          <w:lang w:val="pt-PT"/>
        </w:rPr>
        <w:t>Injete a dose imediatamente após ter retirado a tampa da agulha.</w:t>
      </w:r>
    </w:p>
    <w:p w14:paraId="37875E8F" w14:textId="77777777" w:rsidR="00E15739" w:rsidRPr="00110D6C" w:rsidRDefault="00E15739" w:rsidP="00A17623">
      <w:pPr>
        <w:widowControl/>
        <w:rPr>
          <w:rFonts w:cs="Times New Roman"/>
          <w:bCs/>
          <w:color w:val="auto"/>
          <w:szCs w:val="22"/>
          <w:lang w:val="pt-PT"/>
        </w:rPr>
      </w:pPr>
      <w:bookmarkStart w:id="193" w:name="bookmark318"/>
    </w:p>
    <w:p w14:paraId="5F43779A" w14:textId="77777777" w:rsidR="00E15739" w:rsidRPr="00110D6C" w:rsidRDefault="00E15739" w:rsidP="00A17623">
      <w:pPr>
        <w:widowControl/>
        <w:rPr>
          <w:rFonts w:cs="Times New Roman"/>
          <w:bCs/>
          <w:color w:val="auto"/>
          <w:szCs w:val="22"/>
          <w:lang w:val="pt-PT"/>
        </w:rPr>
      </w:pPr>
    </w:p>
    <w:p w14:paraId="3A503F1D" w14:textId="0B2F487E" w:rsidR="0077031F" w:rsidRPr="00110D6C" w:rsidRDefault="00030085" w:rsidP="00E15739">
      <w:pPr>
        <w:keepNext/>
        <w:keepLines/>
        <w:widowControl/>
        <w:ind w:left="567" w:hanging="567"/>
        <w:rPr>
          <w:rFonts w:cs="Times New Roman"/>
          <w:color w:val="auto"/>
          <w:szCs w:val="22"/>
          <w:lang w:val="pt-PT"/>
        </w:rPr>
      </w:pPr>
      <w:r w:rsidRPr="00110D6C">
        <w:rPr>
          <w:rFonts w:cs="Times New Roman"/>
          <w:b/>
          <w:bCs/>
          <w:color w:val="auto"/>
          <w:szCs w:val="22"/>
          <w:lang w:val="pt-PT"/>
        </w:rPr>
        <w:t>4.</w:t>
      </w:r>
      <w:r w:rsidR="00E15739" w:rsidRPr="00110D6C">
        <w:rPr>
          <w:rFonts w:cs="Times New Roman"/>
          <w:b/>
          <w:bCs/>
          <w:color w:val="auto"/>
          <w:szCs w:val="22"/>
          <w:lang w:val="pt-PT"/>
        </w:rPr>
        <w:tab/>
      </w:r>
      <w:r w:rsidRPr="00110D6C">
        <w:rPr>
          <w:rFonts w:cs="Times New Roman"/>
          <w:b/>
          <w:bCs/>
          <w:color w:val="auto"/>
          <w:szCs w:val="22"/>
          <w:lang w:val="pt-PT"/>
        </w:rPr>
        <w:t>Injete a dose</w:t>
      </w:r>
      <w:bookmarkEnd w:id="193"/>
      <w:r w:rsidR="00844DFB">
        <w:rPr>
          <w:rFonts w:cs="Times New Roman"/>
          <w:b/>
          <w:bCs/>
          <w:color w:val="auto"/>
          <w:szCs w:val="22"/>
          <w:lang w:val="pt-PT"/>
        </w:rPr>
        <w:t>:</w:t>
      </w:r>
    </w:p>
    <w:p w14:paraId="33921227" w14:textId="77777777"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color w:val="auto"/>
          <w:szCs w:val="22"/>
          <w:lang w:val="pt-PT"/>
        </w:rPr>
        <w:t>Segure a seringa pré-cheia com uma mão entre o dedo médio e o indicador e coloque o dedo</w:t>
      </w:r>
      <w:r w:rsidR="00E15739" w:rsidRPr="00110D6C">
        <w:rPr>
          <w:rFonts w:cs="Times New Roman"/>
          <w:color w:val="auto"/>
          <w:szCs w:val="22"/>
          <w:lang w:val="pt-PT"/>
        </w:rPr>
        <w:t xml:space="preserve"> </w:t>
      </w:r>
      <w:r w:rsidRPr="00110D6C">
        <w:rPr>
          <w:rFonts w:cs="Times New Roman"/>
          <w:color w:val="auto"/>
          <w:szCs w:val="22"/>
          <w:lang w:val="pt-PT"/>
        </w:rPr>
        <w:t>polegar no topo da cabeça do êmbolo e utilize a outra mão para apertar suavemente a pele limpa entre o dedo indicador e o polegar. Não aperte firmemente.</w:t>
      </w:r>
    </w:p>
    <w:p w14:paraId="05CF3B1D" w14:textId="77777777"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color w:val="auto"/>
          <w:szCs w:val="22"/>
          <w:lang w:val="pt-PT"/>
        </w:rPr>
        <w:t>Não puxe o êmbolo em momento algum.</w:t>
      </w:r>
    </w:p>
    <w:p w14:paraId="7A1B6BF2" w14:textId="77777777"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color w:val="auto"/>
          <w:szCs w:val="22"/>
          <w:lang w:val="pt-PT"/>
        </w:rPr>
        <w:t>Num movimento único e rápido, insira a agulha através da pele até ao final (ver Figura 4).</w:t>
      </w:r>
    </w:p>
    <w:p w14:paraId="09092DC3" w14:textId="77777777" w:rsidR="00E15739" w:rsidRPr="00110D6C" w:rsidRDefault="00E15739" w:rsidP="00E15739">
      <w:pPr>
        <w:widowControl/>
        <w:jc w:val="center"/>
        <w:rPr>
          <w:rFonts w:cs="Times New Roman"/>
          <w:color w:val="auto"/>
          <w:szCs w:val="22"/>
          <w:lang w:val="pt-PT"/>
        </w:rPr>
      </w:pPr>
    </w:p>
    <w:p w14:paraId="402D3548" w14:textId="6C44A0B1" w:rsidR="0077031F" w:rsidRPr="00110D6C" w:rsidRDefault="00364282" w:rsidP="00E15739">
      <w:pPr>
        <w:widowControl/>
        <w:jc w:val="center"/>
        <w:rPr>
          <w:rFonts w:cs="Times New Roman"/>
          <w:color w:val="auto"/>
          <w:szCs w:val="22"/>
          <w:lang w:val="pt-PT"/>
        </w:rPr>
      </w:pPr>
      <w:r w:rsidRPr="00A9610F">
        <w:rPr>
          <w:noProof/>
          <w:lang w:val="en-GB" w:eastAsia="en-GB"/>
        </w:rPr>
        <w:drawing>
          <wp:inline distT="0" distB="0" distL="0" distR="0" wp14:anchorId="51386A9F" wp14:editId="7C5F270E">
            <wp:extent cx="4005617" cy="1975542"/>
            <wp:effectExtent l="0" t="0" r="0" b="5715"/>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25072" cy="1985137"/>
                    </a:xfrm>
                    <a:prstGeom prst="rect">
                      <a:avLst/>
                    </a:prstGeom>
                    <a:noFill/>
                  </pic:spPr>
                </pic:pic>
              </a:graphicData>
            </a:graphic>
          </wp:inline>
        </w:drawing>
      </w:r>
    </w:p>
    <w:p w14:paraId="2161E1C7" w14:textId="77777777" w:rsidR="00E15739" w:rsidRPr="00110D6C" w:rsidRDefault="00E15739" w:rsidP="00E15739">
      <w:pPr>
        <w:widowControl/>
        <w:jc w:val="center"/>
        <w:rPr>
          <w:rFonts w:cs="Times New Roman"/>
          <w:color w:val="auto"/>
          <w:szCs w:val="22"/>
          <w:lang w:val="pt-PT"/>
        </w:rPr>
      </w:pPr>
    </w:p>
    <w:p w14:paraId="431F41DF" w14:textId="77777777" w:rsidR="0077031F" w:rsidRPr="00110D6C" w:rsidRDefault="00030085" w:rsidP="00E15739">
      <w:pPr>
        <w:widowControl/>
        <w:jc w:val="center"/>
        <w:rPr>
          <w:rFonts w:cs="Times New Roman"/>
          <w:color w:val="auto"/>
          <w:szCs w:val="22"/>
          <w:lang w:val="pt-PT"/>
        </w:rPr>
      </w:pPr>
      <w:r w:rsidRPr="00110D6C">
        <w:rPr>
          <w:rFonts w:cs="Times New Roman"/>
          <w:color w:val="auto"/>
          <w:szCs w:val="22"/>
          <w:lang w:val="pt-PT"/>
        </w:rPr>
        <w:t>Figura</w:t>
      </w:r>
      <w:r w:rsidR="00934223" w:rsidRPr="00110D6C">
        <w:rPr>
          <w:rFonts w:cs="Times New Roman"/>
          <w:color w:val="auto"/>
          <w:szCs w:val="22"/>
          <w:lang w:val="pt-PT"/>
        </w:rPr>
        <w:t> </w:t>
      </w:r>
      <w:r w:rsidRPr="00110D6C">
        <w:rPr>
          <w:rFonts w:cs="Times New Roman"/>
          <w:color w:val="auto"/>
          <w:szCs w:val="22"/>
          <w:lang w:val="pt-PT"/>
        </w:rPr>
        <w:t>4</w:t>
      </w:r>
    </w:p>
    <w:p w14:paraId="212ED2CB" w14:textId="77777777" w:rsidR="00E15739" w:rsidRPr="00110D6C" w:rsidRDefault="00E15739" w:rsidP="00E15739">
      <w:pPr>
        <w:widowControl/>
        <w:jc w:val="center"/>
        <w:rPr>
          <w:rFonts w:cs="Times New Roman"/>
          <w:color w:val="auto"/>
          <w:szCs w:val="22"/>
          <w:lang w:val="pt-PT"/>
        </w:rPr>
      </w:pPr>
    </w:p>
    <w:p w14:paraId="1C5973DD" w14:textId="77777777"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color w:val="auto"/>
          <w:szCs w:val="22"/>
          <w:lang w:val="pt-PT"/>
        </w:rPr>
        <w:t>Injete todo o medicamento empurrando o êmbolo, até que a cabeça do êmbolo esteja</w:t>
      </w:r>
      <w:r w:rsidR="00E15739" w:rsidRPr="00110D6C">
        <w:rPr>
          <w:rFonts w:cs="Times New Roman"/>
          <w:color w:val="auto"/>
          <w:szCs w:val="22"/>
          <w:lang w:val="pt-PT"/>
        </w:rPr>
        <w:t xml:space="preserve"> </w:t>
      </w:r>
      <w:r w:rsidRPr="00110D6C">
        <w:rPr>
          <w:rFonts w:cs="Times New Roman"/>
          <w:color w:val="auto"/>
          <w:szCs w:val="22"/>
          <w:lang w:val="pt-PT"/>
        </w:rPr>
        <w:t>completamente entre as abas de proteção da agulha (ver Figura</w:t>
      </w:r>
      <w:r w:rsidR="00934223" w:rsidRPr="00110D6C">
        <w:rPr>
          <w:rFonts w:cs="Times New Roman"/>
          <w:color w:val="auto"/>
          <w:szCs w:val="22"/>
          <w:lang w:val="pt-PT"/>
        </w:rPr>
        <w:t> </w:t>
      </w:r>
      <w:r w:rsidRPr="00110D6C">
        <w:rPr>
          <w:rFonts w:cs="Times New Roman"/>
          <w:color w:val="auto"/>
          <w:szCs w:val="22"/>
          <w:lang w:val="pt-PT"/>
        </w:rPr>
        <w:t>5).</w:t>
      </w:r>
    </w:p>
    <w:p w14:paraId="2EBEAF04" w14:textId="77777777" w:rsidR="00E15739" w:rsidRPr="00110D6C" w:rsidRDefault="00E15739" w:rsidP="00E15739">
      <w:pPr>
        <w:widowControl/>
        <w:jc w:val="center"/>
        <w:rPr>
          <w:rFonts w:cs="Times New Roman"/>
          <w:color w:val="auto"/>
          <w:szCs w:val="22"/>
          <w:lang w:val="pt-PT"/>
        </w:rPr>
      </w:pPr>
    </w:p>
    <w:p w14:paraId="37BBC19F" w14:textId="1ECE0880" w:rsidR="00364282" w:rsidRPr="00EF1913" w:rsidRDefault="00364282" w:rsidP="00364282">
      <w:pPr>
        <w:pStyle w:val="Listenabsatz"/>
        <w:ind w:left="567"/>
      </w:pPr>
    </w:p>
    <w:p w14:paraId="644CFC1A" w14:textId="448198AE" w:rsidR="0077031F" w:rsidRPr="00110D6C" w:rsidRDefault="00133412" w:rsidP="00E15739">
      <w:pPr>
        <w:widowControl/>
        <w:jc w:val="center"/>
        <w:rPr>
          <w:rFonts w:cs="Times New Roman"/>
          <w:color w:val="auto"/>
          <w:szCs w:val="22"/>
          <w:lang w:val="pt-PT"/>
        </w:rPr>
      </w:pPr>
      <w:r>
        <w:rPr>
          <w:noProof/>
        </w:rPr>
        <mc:AlternateContent>
          <mc:Choice Requires="wps">
            <w:drawing>
              <wp:anchor distT="45720" distB="45720" distL="114300" distR="114300" simplePos="0" relativeHeight="251669504" behindDoc="0" locked="0" layoutInCell="1" allowOverlap="1" wp14:anchorId="6CC1CA27" wp14:editId="7D082465">
                <wp:simplePos x="0" y="0"/>
                <wp:positionH relativeFrom="margin">
                  <wp:posOffset>1605280</wp:posOffset>
                </wp:positionH>
                <wp:positionV relativeFrom="paragraph">
                  <wp:posOffset>197486</wp:posOffset>
                </wp:positionV>
                <wp:extent cx="839470" cy="400050"/>
                <wp:effectExtent l="0" t="0" r="0" b="0"/>
                <wp:wrapNone/>
                <wp:docPr id="15" name="Caixa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9470" cy="400050"/>
                        </a:xfrm>
                        <a:prstGeom prst="rect">
                          <a:avLst/>
                        </a:prstGeom>
                        <a:noFill/>
                        <a:ln w="9525">
                          <a:noFill/>
                          <a:miter lim="800000"/>
                          <a:headEnd/>
                          <a:tailEnd/>
                        </a:ln>
                      </wps:spPr>
                      <wps:txbx>
                        <w:txbxContent>
                          <w:p w14:paraId="586E8942" w14:textId="77777777" w:rsidR="009C3A83" w:rsidRPr="00013374" w:rsidRDefault="009C3A83" w:rsidP="00364282">
                            <w:pPr>
                              <w:rPr>
                                <w:rFonts w:asciiTheme="minorBidi" w:hAnsiTheme="minorBidi" w:cstheme="minorBidi"/>
                                <w:sz w:val="17"/>
                                <w:szCs w:val="17"/>
                              </w:rPr>
                            </w:pPr>
                            <w:r>
                              <w:rPr>
                                <w:rFonts w:asciiTheme="minorBidi" w:hAnsiTheme="minorBidi" w:cstheme="minorBidi"/>
                                <w:sz w:val="17"/>
                                <w:szCs w:val="17"/>
                              </w:rPr>
                              <w:t>Abas da proteção da agulha</w:t>
                            </w:r>
                          </w:p>
                          <w:p w14:paraId="4A15A611" w14:textId="4D7FFCC4" w:rsidR="009C3A83" w:rsidRPr="00ED1B30" w:rsidRDefault="009C3A83" w:rsidP="00364282">
                            <w:pPr>
                              <w:rPr>
                                <w:rFonts w:asciiTheme="minorBidi" w:hAnsiTheme="minorBidi" w:cstheme="minorBidi"/>
                                <w:sz w:val="19"/>
                                <w:szCs w:val="19"/>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CC1CA27" id="Caixa de texto 15" o:spid="_x0000_s1035" type="#_x0000_t202" style="position:absolute;left:0;text-align:left;margin-left:126.4pt;margin-top:15.55pt;width:66.1pt;height:31.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" filled="f" stroked="f">
                <v:textbox inset="0,0,0,0">
                  <w:txbxContent>
                    <w:p w14:paraId="586E8942" w14:textId="77777777" w:rsidR="009C3A83" w:rsidRPr="00013374" w:rsidRDefault="009C3A83" w:rsidP="00364282">
                      <w:pPr>
                        <w:rPr>
                          <w:rFonts w:asciiTheme="minorBidi" w:hAnsiTheme="minorBidi" w:cstheme="minorBidi"/>
                          <w:sz w:val="17"/>
                          <w:szCs w:val="17"/>
                        </w:rPr>
                      </w:pPr>
                      <w:r>
                        <w:rPr>
                          <w:rFonts w:asciiTheme="minorBidi" w:hAnsiTheme="minorBidi" w:cstheme="minorBidi"/>
                          <w:sz w:val="17"/>
                          <w:szCs w:val="17"/>
                        </w:rPr>
                        <w:t>Abas da proteção da agulha</w:t>
                      </w:r>
                    </w:p>
                    <w:p w14:paraId="4A15A611" w14:textId="4D7FFCC4" w:rsidR="009C3A83" w:rsidRPr="00ED1B30" w:rsidRDefault="009C3A83" w:rsidP="00364282">
                      <w:pPr>
                        <w:rPr>
                          <w:rFonts w:asciiTheme="minorBidi" w:hAnsiTheme="minorBidi" w:cstheme="minorBidi"/>
                          <w:sz w:val="19"/>
                          <w:szCs w:val="19"/>
                        </w:rPr>
                      </w:pPr>
                    </w:p>
                  </w:txbxContent>
                </v:textbox>
                <w10:wrap anchorx="margin"/>
              </v:shape>
            </w:pict>
          </mc:Fallback>
        </mc:AlternateContent>
      </w:r>
      <w:r w:rsidR="00364282">
        <w:rPr>
          <w:bCs/>
          <w:noProof/>
        </w:rPr>
        <w:drawing>
          <wp:inline distT="0" distB="0" distL="0" distR="0" wp14:anchorId="04B4868E" wp14:editId="1C9A95BC">
            <wp:extent cx="2133481" cy="1965600"/>
            <wp:effectExtent l="0" t="0" r="635" b="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_2.png"/>
                    <pic:cNvPicPr/>
                  </pic:nvPicPr>
                  <pic:blipFill>
                    <a:blip r:embed="rId24">
                      <a:extLst>
                        <a:ext uri="{28A0092B-C50C-407E-A947-70E740481C1C}">
                          <a14:useLocalDpi xmlns:a14="http://schemas.microsoft.com/office/drawing/2010/main" val="0"/>
                        </a:ext>
                      </a:extLst>
                    </a:blip>
                    <a:stretch>
                      <a:fillRect/>
                    </a:stretch>
                  </pic:blipFill>
                  <pic:spPr>
                    <a:xfrm>
                      <a:off x="0" y="0"/>
                      <a:ext cx="2133481" cy="1965600"/>
                    </a:xfrm>
                    <a:prstGeom prst="rect">
                      <a:avLst/>
                    </a:prstGeom>
                  </pic:spPr>
                </pic:pic>
              </a:graphicData>
            </a:graphic>
          </wp:inline>
        </w:drawing>
      </w:r>
    </w:p>
    <w:p w14:paraId="78704E81" w14:textId="77777777" w:rsidR="00E15739" w:rsidRPr="00110D6C" w:rsidRDefault="00E15739" w:rsidP="00E15739">
      <w:pPr>
        <w:widowControl/>
        <w:jc w:val="center"/>
        <w:rPr>
          <w:rFonts w:cs="Times New Roman"/>
          <w:color w:val="auto"/>
          <w:szCs w:val="22"/>
          <w:lang w:val="pt-PT"/>
        </w:rPr>
      </w:pPr>
    </w:p>
    <w:p w14:paraId="07809BA2" w14:textId="77777777" w:rsidR="0077031F" w:rsidRPr="00110D6C" w:rsidRDefault="00030085" w:rsidP="00E15739">
      <w:pPr>
        <w:widowControl/>
        <w:jc w:val="center"/>
        <w:rPr>
          <w:rFonts w:cs="Times New Roman"/>
          <w:color w:val="auto"/>
          <w:szCs w:val="22"/>
          <w:lang w:val="pt-PT"/>
        </w:rPr>
      </w:pPr>
      <w:r w:rsidRPr="00110D6C">
        <w:rPr>
          <w:rFonts w:cs="Times New Roman"/>
          <w:color w:val="auto"/>
          <w:szCs w:val="22"/>
          <w:lang w:val="pt-PT"/>
        </w:rPr>
        <w:t>Figura</w:t>
      </w:r>
      <w:r w:rsidR="00934223" w:rsidRPr="00110D6C">
        <w:rPr>
          <w:rFonts w:cs="Times New Roman"/>
          <w:color w:val="auto"/>
          <w:szCs w:val="22"/>
          <w:lang w:val="pt-PT"/>
        </w:rPr>
        <w:t> </w:t>
      </w:r>
      <w:r w:rsidRPr="00110D6C">
        <w:rPr>
          <w:rFonts w:cs="Times New Roman"/>
          <w:color w:val="auto"/>
          <w:szCs w:val="22"/>
          <w:lang w:val="pt-PT"/>
        </w:rPr>
        <w:t>5</w:t>
      </w:r>
    </w:p>
    <w:p w14:paraId="6BDF5790" w14:textId="77777777" w:rsidR="00E15739" w:rsidRPr="00110D6C" w:rsidRDefault="00E15739" w:rsidP="00E15739">
      <w:pPr>
        <w:widowControl/>
        <w:jc w:val="center"/>
        <w:rPr>
          <w:rFonts w:cs="Times New Roman"/>
          <w:color w:val="auto"/>
          <w:szCs w:val="22"/>
          <w:lang w:val="pt-PT"/>
        </w:rPr>
      </w:pPr>
    </w:p>
    <w:p w14:paraId="722F149D" w14:textId="77777777"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color w:val="auto"/>
          <w:szCs w:val="22"/>
          <w:lang w:val="pt-PT"/>
        </w:rPr>
        <w:t>Quando o êmbolo tiver sido empurrado até à posição máxima, continue a fazer pressão na</w:t>
      </w:r>
      <w:r w:rsidR="00E15739" w:rsidRPr="00110D6C">
        <w:rPr>
          <w:rFonts w:cs="Times New Roman"/>
          <w:color w:val="auto"/>
          <w:szCs w:val="22"/>
          <w:lang w:val="pt-PT"/>
        </w:rPr>
        <w:t xml:space="preserve"> </w:t>
      </w:r>
      <w:r w:rsidRPr="00110D6C">
        <w:rPr>
          <w:rFonts w:cs="Times New Roman"/>
          <w:color w:val="auto"/>
          <w:szCs w:val="22"/>
          <w:lang w:val="pt-PT"/>
        </w:rPr>
        <w:t>cabeça do êmbolo, retire a agulha da pele (ver Figura</w:t>
      </w:r>
      <w:r w:rsidR="00934223" w:rsidRPr="00110D6C">
        <w:rPr>
          <w:rFonts w:cs="Times New Roman"/>
          <w:color w:val="auto"/>
          <w:szCs w:val="22"/>
          <w:lang w:val="pt-PT"/>
        </w:rPr>
        <w:t> </w:t>
      </w:r>
      <w:r w:rsidRPr="00110D6C">
        <w:rPr>
          <w:rFonts w:cs="Times New Roman"/>
          <w:color w:val="auto"/>
          <w:szCs w:val="22"/>
          <w:lang w:val="pt-PT"/>
        </w:rPr>
        <w:t>6).</w:t>
      </w:r>
    </w:p>
    <w:p w14:paraId="1336BB0E" w14:textId="77777777" w:rsidR="00E15739" w:rsidRPr="00110D6C" w:rsidRDefault="00E15739" w:rsidP="00E15739">
      <w:pPr>
        <w:widowControl/>
        <w:jc w:val="center"/>
        <w:rPr>
          <w:rFonts w:cs="Times New Roman"/>
          <w:color w:val="auto"/>
          <w:szCs w:val="22"/>
          <w:lang w:val="pt-PT"/>
        </w:rPr>
      </w:pPr>
    </w:p>
    <w:p w14:paraId="35B2D0D8" w14:textId="59E5E141" w:rsidR="0077031F" w:rsidRPr="00110D6C" w:rsidRDefault="00364282" w:rsidP="00E15739">
      <w:pPr>
        <w:widowControl/>
        <w:jc w:val="center"/>
        <w:rPr>
          <w:rFonts w:cs="Times New Roman"/>
          <w:color w:val="auto"/>
          <w:szCs w:val="22"/>
          <w:lang w:val="pt-PT"/>
        </w:rPr>
      </w:pPr>
      <w:r w:rsidRPr="00A9610F">
        <w:rPr>
          <w:noProof/>
          <w:lang w:val="en-GB" w:eastAsia="en-GB"/>
        </w:rPr>
        <w:lastRenderedPageBreak/>
        <w:drawing>
          <wp:inline distT="0" distB="0" distL="0" distR="0" wp14:anchorId="42DAE224" wp14:editId="62226341">
            <wp:extent cx="2099144" cy="2060571"/>
            <wp:effectExtent l="0" t="0" r="0" b="0"/>
            <wp:docPr id="28" name="Bild 6" descr="Z:\Ustekinumab (FYB202)\Regulatory\12_Labeling EU\03_Product information\01_Prep_D120\Info\Pictogram for PI_sent by Milan\Pictogram from PIL-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Ustekinumab (FYB202)\Regulatory\12_Labeling EU\03_Product information\01_Prep_D120\Info\Pictogram for PI_sent by Milan\Pictogram from PIL-0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29112" cy="2089988"/>
                    </a:xfrm>
                    <a:prstGeom prst="rect">
                      <a:avLst/>
                    </a:prstGeom>
                    <a:noFill/>
                    <a:ln>
                      <a:noFill/>
                    </a:ln>
                  </pic:spPr>
                </pic:pic>
              </a:graphicData>
            </a:graphic>
          </wp:inline>
        </w:drawing>
      </w:r>
    </w:p>
    <w:p w14:paraId="2802B042" w14:textId="77777777" w:rsidR="00E15739" w:rsidRPr="00110D6C" w:rsidRDefault="00E15739" w:rsidP="00E15739">
      <w:pPr>
        <w:widowControl/>
        <w:jc w:val="center"/>
        <w:rPr>
          <w:rFonts w:cs="Times New Roman"/>
          <w:color w:val="auto"/>
          <w:szCs w:val="22"/>
          <w:lang w:val="pt-PT"/>
        </w:rPr>
      </w:pPr>
    </w:p>
    <w:p w14:paraId="0A3099E3" w14:textId="77777777" w:rsidR="0077031F" w:rsidRPr="00110D6C" w:rsidRDefault="00030085" w:rsidP="00E15739">
      <w:pPr>
        <w:widowControl/>
        <w:jc w:val="center"/>
        <w:rPr>
          <w:rFonts w:cs="Times New Roman"/>
          <w:color w:val="auto"/>
          <w:szCs w:val="22"/>
          <w:lang w:val="pt-PT"/>
        </w:rPr>
      </w:pPr>
      <w:r w:rsidRPr="00110D6C">
        <w:rPr>
          <w:rFonts w:cs="Times New Roman"/>
          <w:color w:val="auto"/>
          <w:szCs w:val="22"/>
          <w:lang w:val="pt-PT"/>
        </w:rPr>
        <w:t>Figura</w:t>
      </w:r>
      <w:r w:rsidR="00934223" w:rsidRPr="00110D6C">
        <w:rPr>
          <w:rFonts w:cs="Times New Roman"/>
          <w:color w:val="auto"/>
          <w:szCs w:val="22"/>
          <w:lang w:val="pt-PT"/>
        </w:rPr>
        <w:t> </w:t>
      </w:r>
      <w:r w:rsidRPr="00110D6C">
        <w:rPr>
          <w:rFonts w:cs="Times New Roman"/>
          <w:color w:val="auto"/>
          <w:szCs w:val="22"/>
          <w:lang w:val="pt-PT"/>
        </w:rPr>
        <w:t>6</w:t>
      </w:r>
    </w:p>
    <w:p w14:paraId="058C5F01" w14:textId="77777777"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color w:val="auto"/>
          <w:szCs w:val="22"/>
          <w:lang w:val="pt-PT"/>
        </w:rPr>
        <w:t>Retire, lentamente, o seu polegar da cabeça do êmbolo para permitir que a seringa vazia se</w:t>
      </w:r>
      <w:r w:rsidR="00E15739" w:rsidRPr="00110D6C">
        <w:rPr>
          <w:rFonts w:cs="Times New Roman"/>
          <w:color w:val="auto"/>
          <w:szCs w:val="22"/>
          <w:lang w:val="pt-PT"/>
        </w:rPr>
        <w:t xml:space="preserve"> </w:t>
      </w:r>
      <w:r w:rsidRPr="00110D6C">
        <w:rPr>
          <w:rFonts w:cs="Times New Roman"/>
          <w:color w:val="auto"/>
          <w:szCs w:val="22"/>
          <w:lang w:val="pt-PT"/>
        </w:rPr>
        <w:t>desloque até que toda a agulha esteja coberta pela proteção da agulha, como mostra a Figura</w:t>
      </w:r>
      <w:r w:rsidR="00934223" w:rsidRPr="00110D6C">
        <w:rPr>
          <w:rFonts w:cs="Times New Roman"/>
          <w:color w:val="auto"/>
          <w:szCs w:val="22"/>
          <w:lang w:val="pt-PT"/>
        </w:rPr>
        <w:t> </w:t>
      </w:r>
      <w:r w:rsidRPr="00110D6C">
        <w:rPr>
          <w:rFonts w:cs="Times New Roman"/>
          <w:color w:val="auto"/>
          <w:szCs w:val="22"/>
          <w:lang w:val="pt-PT"/>
        </w:rPr>
        <w:t>7.</w:t>
      </w:r>
    </w:p>
    <w:p w14:paraId="75254C0D" w14:textId="50D810A1" w:rsidR="0077031F" w:rsidRPr="00110D6C" w:rsidRDefault="00364282" w:rsidP="00E15739">
      <w:pPr>
        <w:widowControl/>
        <w:jc w:val="center"/>
        <w:rPr>
          <w:rFonts w:cs="Times New Roman"/>
          <w:color w:val="auto"/>
          <w:szCs w:val="22"/>
          <w:lang w:val="pt-PT"/>
        </w:rPr>
      </w:pPr>
      <w:r w:rsidRPr="00A9610F">
        <w:rPr>
          <w:noProof/>
          <w:lang w:val="en-GB" w:eastAsia="en-GB"/>
        </w:rPr>
        <w:drawing>
          <wp:inline distT="0" distB="0" distL="0" distR="0" wp14:anchorId="2F68434F" wp14:editId="4DEB0524">
            <wp:extent cx="2216612" cy="2178440"/>
            <wp:effectExtent l="0" t="0" r="0" b="0"/>
            <wp:docPr id="29" name="Grafik 29" descr="Z:\Ustekinumab (FYB202)\Regulatory\12_Labeling EU\03_Product information\01_Prep_D120\Info\Pictogram for PI_sent by Milan\Pictogram from PIL-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Z:\Ustekinumab (FYB202)\Regulatory\12_Labeling EU\03_Product information\01_Prep_D120\Info\Pictogram for PI_sent by Milan\Pictogram from PIL-0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49156" cy="2210423"/>
                    </a:xfrm>
                    <a:prstGeom prst="rect">
                      <a:avLst/>
                    </a:prstGeom>
                    <a:noFill/>
                    <a:ln>
                      <a:noFill/>
                    </a:ln>
                  </pic:spPr>
                </pic:pic>
              </a:graphicData>
            </a:graphic>
          </wp:inline>
        </w:drawing>
      </w:r>
    </w:p>
    <w:p w14:paraId="32E392BF" w14:textId="77777777" w:rsidR="00E15739" w:rsidRPr="00110D6C" w:rsidRDefault="00E15739" w:rsidP="00E15739">
      <w:pPr>
        <w:widowControl/>
        <w:jc w:val="center"/>
        <w:rPr>
          <w:rFonts w:cs="Times New Roman"/>
          <w:color w:val="auto"/>
          <w:szCs w:val="22"/>
          <w:lang w:val="pt-PT"/>
        </w:rPr>
      </w:pPr>
    </w:p>
    <w:p w14:paraId="5F818552" w14:textId="77777777" w:rsidR="0077031F" w:rsidRPr="00110D6C" w:rsidRDefault="00030085" w:rsidP="00E15739">
      <w:pPr>
        <w:widowControl/>
        <w:jc w:val="center"/>
        <w:rPr>
          <w:rFonts w:cs="Times New Roman"/>
          <w:color w:val="auto"/>
          <w:szCs w:val="22"/>
          <w:lang w:val="pt-PT"/>
        </w:rPr>
      </w:pPr>
      <w:r w:rsidRPr="00110D6C">
        <w:rPr>
          <w:rFonts w:cs="Times New Roman"/>
          <w:color w:val="auto"/>
          <w:szCs w:val="22"/>
          <w:lang w:val="pt-PT"/>
        </w:rPr>
        <w:t>Figura</w:t>
      </w:r>
      <w:r w:rsidR="00934223" w:rsidRPr="00110D6C">
        <w:rPr>
          <w:rFonts w:cs="Times New Roman"/>
          <w:color w:val="auto"/>
          <w:szCs w:val="22"/>
          <w:lang w:val="pt-PT"/>
        </w:rPr>
        <w:t> </w:t>
      </w:r>
      <w:r w:rsidRPr="00110D6C">
        <w:rPr>
          <w:rFonts w:cs="Times New Roman"/>
          <w:color w:val="auto"/>
          <w:szCs w:val="22"/>
          <w:lang w:val="pt-PT"/>
        </w:rPr>
        <w:t>7</w:t>
      </w:r>
    </w:p>
    <w:p w14:paraId="06E49620" w14:textId="77777777" w:rsidR="00E15739" w:rsidRPr="00110D6C" w:rsidRDefault="00E15739" w:rsidP="00E15739">
      <w:pPr>
        <w:widowControl/>
        <w:rPr>
          <w:rFonts w:cs="Times New Roman"/>
          <w:color w:val="auto"/>
          <w:szCs w:val="22"/>
          <w:lang w:val="pt-PT"/>
        </w:rPr>
      </w:pPr>
    </w:p>
    <w:p w14:paraId="0A5FFC5B" w14:textId="77777777" w:rsidR="00E15739" w:rsidRPr="00110D6C" w:rsidRDefault="00E15739" w:rsidP="00E15739">
      <w:pPr>
        <w:widowControl/>
        <w:rPr>
          <w:rFonts w:cs="Times New Roman"/>
          <w:color w:val="auto"/>
          <w:szCs w:val="22"/>
          <w:lang w:val="pt-PT"/>
        </w:rPr>
      </w:pPr>
    </w:p>
    <w:p w14:paraId="1F60E16A" w14:textId="77777777" w:rsidR="0077031F" w:rsidRPr="00110D6C" w:rsidRDefault="00DC3C01" w:rsidP="00A17623">
      <w:pPr>
        <w:widowControl/>
        <w:ind w:left="567" w:hanging="567"/>
        <w:rPr>
          <w:rFonts w:cs="Times New Roman"/>
          <w:color w:val="auto"/>
          <w:szCs w:val="22"/>
          <w:lang w:val="pt-PT"/>
        </w:rPr>
      </w:pPr>
      <w:bookmarkStart w:id="194" w:name="bookmark320"/>
      <w:r w:rsidRPr="00110D6C">
        <w:rPr>
          <w:rFonts w:cs="Times New Roman"/>
          <w:b/>
          <w:bCs/>
          <w:color w:val="auto"/>
          <w:szCs w:val="22"/>
          <w:lang w:val="pt-PT"/>
        </w:rPr>
        <w:t>5.</w:t>
      </w:r>
      <w:r w:rsidRPr="00110D6C">
        <w:rPr>
          <w:rFonts w:cs="Times New Roman"/>
          <w:b/>
          <w:bCs/>
          <w:color w:val="auto"/>
          <w:szCs w:val="22"/>
          <w:lang w:val="pt-PT"/>
        </w:rPr>
        <w:tab/>
      </w:r>
      <w:r w:rsidR="00030085" w:rsidRPr="00110D6C">
        <w:rPr>
          <w:rFonts w:cs="Times New Roman"/>
          <w:b/>
          <w:bCs/>
          <w:color w:val="auto"/>
          <w:szCs w:val="22"/>
          <w:lang w:val="pt-PT"/>
        </w:rPr>
        <w:t>Após a injeção:</w:t>
      </w:r>
      <w:bookmarkEnd w:id="194"/>
    </w:p>
    <w:p w14:paraId="62B45561" w14:textId="77777777"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color w:val="auto"/>
          <w:szCs w:val="22"/>
          <w:lang w:val="pt-PT"/>
        </w:rPr>
        <w:t>Pressione o local de injeção com um toalhete antisséptico durante alguns segundos após a</w:t>
      </w:r>
      <w:r w:rsidR="00E15739" w:rsidRPr="00110D6C">
        <w:rPr>
          <w:rFonts w:cs="Times New Roman"/>
          <w:color w:val="auto"/>
          <w:szCs w:val="22"/>
          <w:lang w:val="pt-PT"/>
        </w:rPr>
        <w:t xml:space="preserve"> </w:t>
      </w:r>
      <w:r w:rsidRPr="00110D6C">
        <w:rPr>
          <w:rFonts w:cs="Times New Roman"/>
          <w:color w:val="auto"/>
          <w:szCs w:val="22"/>
          <w:lang w:val="pt-PT"/>
        </w:rPr>
        <w:t>injeção.</w:t>
      </w:r>
    </w:p>
    <w:p w14:paraId="3B3C5B15" w14:textId="77777777"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color w:val="auto"/>
          <w:szCs w:val="22"/>
          <w:lang w:val="pt-PT"/>
        </w:rPr>
        <w:t>Pode existir uma pequena quantidade de sangue ou líquido no local de injeção. Isto é normal.</w:t>
      </w:r>
    </w:p>
    <w:p w14:paraId="157EFD3D" w14:textId="77777777"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color w:val="auto"/>
          <w:szCs w:val="22"/>
          <w:lang w:val="pt-PT"/>
        </w:rPr>
        <w:t>Pode pressionar o local de injeção com uma bola de algodão ou gaze durante 1</w:t>
      </w:r>
      <w:r w:rsidR="00B910F9" w:rsidRPr="00110D6C">
        <w:rPr>
          <w:rFonts w:cs="Times New Roman"/>
          <w:color w:val="auto"/>
          <w:szCs w:val="22"/>
          <w:lang w:val="pt-PT"/>
        </w:rPr>
        <w:t>0 </w:t>
      </w:r>
      <w:r w:rsidRPr="00110D6C">
        <w:rPr>
          <w:rFonts w:cs="Times New Roman"/>
          <w:color w:val="auto"/>
          <w:szCs w:val="22"/>
          <w:lang w:val="pt-PT"/>
        </w:rPr>
        <w:t>segundos.</w:t>
      </w:r>
    </w:p>
    <w:p w14:paraId="43C5C103" w14:textId="77777777"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color w:val="auto"/>
          <w:szCs w:val="22"/>
          <w:lang w:val="pt-PT"/>
        </w:rPr>
        <w:t>Não esfregue a pele no local de injeção. Pode cobrir o local de injeção com uma pequena banda</w:t>
      </w:r>
      <w:r w:rsidR="00E15739" w:rsidRPr="00110D6C">
        <w:rPr>
          <w:rFonts w:cs="Times New Roman"/>
          <w:color w:val="auto"/>
          <w:szCs w:val="22"/>
          <w:lang w:val="pt-PT"/>
        </w:rPr>
        <w:t xml:space="preserve"> </w:t>
      </w:r>
      <w:r w:rsidRPr="00110D6C">
        <w:rPr>
          <w:rFonts w:cs="Times New Roman"/>
          <w:color w:val="auto"/>
          <w:szCs w:val="22"/>
          <w:lang w:val="pt-PT"/>
        </w:rPr>
        <w:t>de adesivo, se necessário.</w:t>
      </w:r>
    </w:p>
    <w:p w14:paraId="148A5E3E" w14:textId="77777777" w:rsidR="00E15739" w:rsidRPr="00110D6C" w:rsidRDefault="00E15739" w:rsidP="00A17623">
      <w:pPr>
        <w:widowControl/>
        <w:ind w:left="567" w:hanging="567"/>
        <w:rPr>
          <w:rFonts w:cs="Times New Roman"/>
          <w:bCs/>
          <w:color w:val="auto"/>
          <w:szCs w:val="22"/>
          <w:lang w:val="pt-PT"/>
        </w:rPr>
      </w:pPr>
      <w:bookmarkStart w:id="195" w:name="bookmark322"/>
    </w:p>
    <w:p w14:paraId="1B4E354F" w14:textId="77777777" w:rsidR="00E15739" w:rsidRPr="00110D6C" w:rsidRDefault="00E15739" w:rsidP="00A17623">
      <w:pPr>
        <w:widowControl/>
        <w:ind w:left="567" w:hanging="567"/>
        <w:rPr>
          <w:rFonts w:cs="Times New Roman"/>
          <w:bCs/>
          <w:color w:val="auto"/>
          <w:szCs w:val="22"/>
          <w:lang w:val="pt-PT"/>
        </w:rPr>
      </w:pPr>
    </w:p>
    <w:p w14:paraId="225FE7CD" w14:textId="77777777"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6.</w:t>
      </w:r>
      <w:r w:rsidRPr="00110D6C">
        <w:rPr>
          <w:rFonts w:cs="Times New Roman"/>
          <w:b/>
          <w:bCs/>
          <w:color w:val="auto"/>
          <w:szCs w:val="22"/>
          <w:lang w:val="pt-PT"/>
        </w:rPr>
        <w:tab/>
      </w:r>
      <w:r w:rsidR="00030085" w:rsidRPr="00110D6C">
        <w:rPr>
          <w:rFonts w:cs="Times New Roman"/>
          <w:b/>
          <w:bCs/>
          <w:color w:val="auto"/>
          <w:szCs w:val="22"/>
          <w:lang w:val="pt-PT"/>
        </w:rPr>
        <w:t>Eliminação:</w:t>
      </w:r>
      <w:bookmarkEnd w:id="195"/>
    </w:p>
    <w:p w14:paraId="544C5D9E" w14:textId="77777777"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color w:val="auto"/>
          <w:szCs w:val="22"/>
          <w:lang w:val="pt-PT"/>
        </w:rPr>
        <w:t>As seringas usadas devem ser colocadas num recipiente resistente a perfurações, como por</w:t>
      </w:r>
      <w:r w:rsidR="00E15739" w:rsidRPr="00110D6C">
        <w:rPr>
          <w:rFonts w:cs="Times New Roman"/>
          <w:color w:val="auto"/>
          <w:szCs w:val="22"/>
          <w:lang w:val="pt-PT"/>
        </w:rPr>
        <w:t xml:space="preserve"> </w:t>
      </w:r>
      <w:r w:rsidRPr="00110D6C">
        <w:rPr>
          <w:rFonts w:cs="Times New Roman"/>
          <w:color w:val="auto"/>
          <w:szCs w:val="22"/>
          <w:lang w:val="pt-PT"/>
        </w:rPr>
        <w:t>exemplo contentores para objetos cortantes (ver Figura</w:t>
      </w:r>
      <w:r w:rsidR="00934223" w:rsidRPr="00110D6C">
        <w:rPr>
          <w:rFonts w:cs="Times New Roman"/>
          <w:color w:val="auto"/>
          <w:szCs w:val="22"/>
          <w:lang w:val="pt-PT"/>
        </w:rPr>
        <w:t> </w:t>
      </w:r>
      <w:r w:rsidRPr="00110D6C">
        <w:rPr>
          <w:rFonts w:cs="Times New Roman"/>
          <w:color w:val="auto"/>
          <w:szCs w:val="22"/>
          <w:lang w:val="pt-PT"/>
        </w:rPr>
        <w:t>8). Para a sua segurança e saúde e para a segurança dos outros, nunca reutilize seringas. A eliminação dos contentores para objetos cortantes é feita de acordo com os requisitos locais.</w:t>
      </w:r>
    </w:p>
    <w:p w14:paraId="10B04E71" w14:textId="77777777"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color w:val="auto"/>
          <w:szCs w:val="22"/>
          <w:lang w:val="pt-PT"/>
        </w:rPr>
        <w:t>Toalhetes antissépticos e outros aprovisionamentos podem ser eliminados no lixo doméstico.</w:t>
      </w:r>
    </w:p>
    <w:p w14:paraId="56BE08EF" w14:textId="77777777" w:rsidR="00E15739" w:rsidRPr="00110D6C" w:rsidRDefault="00E15739" w:rsidP="00E15739">
      <w:pPr>
        <w:widowControl/>
        <w:jc w:val="center"/>
        <w:rPr>
          <w:rFonts w:cs="Times New Roman"/>
          <w:color w:val="auto"/>
          <w:szCs w:val="22"/>
          <w:lang w:val="pt-PT"/>
        </w:rPr>
      </w:pPr>
    </w:p>
    <w:p w14:paraId="5369A864" w14:textId="044ECBAC" w:rsidR="0077031F" w:rsidRPr="00110D6C" w:rsidRDefault="00133412" w:rsidP="00E15739">
      <w:pPr>
        <w:widowControl/>
        <w:jc w:val="center"/>
        <w:rPr>
          <w:rFonts w:cs="Times New Roman"/>
          <w:color w:val="auto"/>
          <w:szCs w:val="22"/>
          <w:lang w:val="pt-PT"/>
        </w:rPr>
      </w:pPr>
      <w:r>
        <w:rPr>
          <w:noProof/>
        </w:rPr>
        <w:lastRenderedPageBreak/>
        <mc:AlternateContent>
          <mc:Choice Requires="wps">
            <w:drawing>
              <wp:anchor distT="45720" distB="45720" distL="114300" distR="114300" simplePos="0" relativeHeight="251683840" behindDoc="0" locked="0" layoutInCell="1" allowOverlap="1" wp14:anchorId="3D9FA5D8" wp14:editId="7AF7824D">
                <wp:simplePos x="0" y="0"/>
                <wp:positionH relativeFrom="margin">
                  <wp:posOffset>2979420</wp:posOffset>
                </wp:positionH>
                <wp:positionV relativeFrom="paragraph">
                  <wp:posOffset>2585085</wp:posOffset>
                </wp:positionV>
                <wp:extent cx="1025525" cy="245745"/>
                <wp:effectExtent l="0" t="0" r="0" b="0"/>
                <wp:wrapNone/>
                <wp:docPr id="14"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525" cy="245745"/>
                        </a:xfrm>
                        <a:prstGeom prst="rect">
                          <a:avLst/>
                        </a:prstGeom>
                        <a:noFill/>
                        <a:ln w="9525">
                          <a:noFill/>
                          <a:miter lim="800000"/>
                          <a:headEnd/>
                          <a:tailEnd/>
                        </a:ln>
                      </wps:spPr>
                      <wps:txbx>
                        <w:txbxContent>
                          <w:p w14:paraId="39B5DA1F" w14:textId="107DAD82" w:rsidR="009C3A83" w:rsidRDefault="009C3A83" w:rsidP="00B55BFF">
                            <w:pPr>
                              <w:jc w:val="center"/>
                              <w:rPr>
                                <w:rFonts w:asciiTheme="minorBidi" w:hAnsiTheme="minorBidi" w:cstheme="minorBidi"/>
                                <w:b/>
                                <w:bCs/>
                                <w:sz w:val="12"/>
                                <w:szCs w:val="12"/>
                              </w:rPr>
                            </w:pPr>
                            <w:r>
                              <w:rPr>
                                <w:rFonts w:asciiTheme="minorBidi" w:hAnsiTheme="minorBidi" w:cstheme="minorBidi"/>
                                <w:b/>
                                <w:bCs/>
                                <w:sz w:val="12"/>
                                <w:szCs w:val="12"/>
                              </w:rPr>
                              <w:t>RISCO</w:t>
                            </w:r>
                          </w:p>
                          <w:p w14:paraId="491AC77D" w14:textId="6EEDF3FB" w:rsidR="009C3A83" w:rsidRPr="00C1147E" w:rsidRDefault="009C3A83" w:rsidP="00B55BFF">
                            <w:pPr>
                              <w:jc w:val="center"/>
                              <w:rPr>
                                <w:rFonts w:asciiTheme="minorBidi" w:hAnsiTheme="minorBidi" w:cstheme="minorBidi"/>
                                <w:b/>
                                <w:bCs/>
                                <w:sz w:val="12"/>
                                <w:szCs w:val="12"/>
                              </w:rPr>
                            </w:pPr>
                            <w:r>
                              <w:rPr>
                                <w:rFonts w:asciiTheme="minorBidi" w:hAnsiTheme="minorBidi" w:cstheme="minorBidi"/>
                                <w:b/>
                                <w:bCs/>
                                <w:sz w:val="12"/>
                                <w:szCs w:val="12"/>
                              </w:rPr>
                              <w:t xml:space="preserve"> BIOLÓGICO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D9FA5D8" id="Caixa de texto 14" o:spid="_x0000_s1036" type="#_x0000_t202" style="position:absolute;left:0;text-align:left;margin-left:234.6pt;margin-top:203.55pt;width:80.75pt;height:19.3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" filled="f" stroked="f">
                <v:textbox inset="0,0,0,0">
                  <w:txbxContent>
                    <w:p w14:paraId="39B5DA1F" w14:textId="107DAD82" w:rsidR="009C3A83" w:rsidRDefault="009C3A83" w:rsidP="00B55BFF">
                      <w:pPr>
                        <w:jc w:val="center"/>
                        <w:rPr>
                          <w:rFonts w:asciiTheme="minorBidi" w:hAnsiTheme="minorBidi" w:cstheme="minorBidi"/>
                          <w:b/>
                          <w:bCs/>
                          <w:sz w:val="12"/>
                          <w:szCs w:val="12"/>
                        </w:rPr>
                      </w:pPr>
                      <w:r>
                        <w:rPr>
                          <w:rFonts w:asciiTheme="minorBidi" w:hAnsiTheme="minorBidi" w:cstheme="minorBidi"/>
                          <w:b/>
                          <w:bCs/>
                          <w:sz w:val="12"/>
                          <w:szCs w:val="12"/>
                        </w:rPr>
                        <w:t>RISCO</w:t>
                      </w:r>
                    </w:p>
                    <w:p w14:paraId="491AC77D" w14:textId="6EEDF3FB" w:rsidR="009C3A83" w:rsidRPr="00C1147E" w:rsidRDefault="009C3A83" w:rsidP="00B55BFF">
                      <w:pPr>
                        <w:jc w:val="center"/>
                        <w:rPr>
                          <w:rFonts w:asciiTheme="minorBidi" w:hAnsiTheme="minorBidi" w:cstheme="minorBidi"/>
                          <w:b/>
                          <w:bCs/>
                          <w:sz w:val="12"/>
                          <w:szCs w:val="12"/>
                        </w:rPr>
                      </w:pPr>
                      <w:r>
                        <w:rPr>
                          <w:rFonts w:asciiTheme="minorBidi" w:hAnsiTheme="minorBidi" w:cstheme="minorBidi"/>
                          <w:b/>
                          <w:bCs/>
                          <w:sz w:val="12"/>
                          <w:szCs w:val="12"/>
                        </w:rPr>
                        <w:t xml:space="preserve"> BIOLÓGICO</w:t>
                      </w:r>
                    </w:p>
                  </w:txbxContent>
                </v:textbox>
                <w10:wrap anchorx="margin"/>
              </v:shape>
            </w:pict>
          </mc:Fallback>
        </mc:AlternateContent>
      </w:r>
      <w:r w:rsidR="00364282">
        <w:rPr>
          <w:bCs/>
          <w:noProof/>
        </w:rPr>
        <w:drawing>
          <wp:inline distT="0" distB="0" distL="0" distR="0" wp14:anchorId="183C1AB6" wp14:editId="54D97EC6">
            <wp:extent cx="2728959" cy="3204000"/>
            <wp:effectExtent l="0" t="0" r="0" b="0"/>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F_3.png"/>
                    <pic:cNvPicPr/>
                  </pic:nvPicPr>
                  <pic:blipFill>
                    <a:blip r:embed="rId27">
                      <a:extLst>
                        <a:ext uri="{28A0092B-C50C-407E-A947-70E740481C1C}">
                          <a14:useLocalDpi xmlns:a14="http://schemas.microsoft.com/office/drawing/2010/main" val="0"/>
                        </a:ext>
                      </a:extLst>
                    </a:blip>
                    <a:stretch>
                      <a:fillRect/>
                    </a:stretch>
                  </pic:blipFill>
                  <pic:spPr>
                    <a:xfrm>
                      <a:off x="0" y="0"/>
                      <a:ext cx="2728959" cy="3204000"/>
                    </a:xfrm>
                    <a:prstGeom prst="rect">
                      <a:avLst/>
                    </a:prstGeom>
                  </pic:spPr>
                </pic:pic>
              </a:graphicData>
            </a:graphic>
          </wp:inline>
        </w:drawing>
      </w:r>
    </w:p>
    <w:p w14:paraId="176DEFEE" w14:textId="77777777" w:rsidR="00E15739" w:rsidRPr="00110D6C" w:rsidRDefault="00E15739" w:rsidP="00E15739">
      <w:pPr>
        <w:widowControl/>
        <w:jc w:val="center"/>
        <w:rPr>
          <w:rFonts w:cs="Times New Roman"/>
          <w:color w:val="auto"/>
          <w:szCs w:val="22"/>
          <w:lang w:val="pt-PT"/>
        </w:rPr>
      </w:pPr>
    </w:p>
    <w:p w14:paraId="6F9A2AA4" w14:textId="77777777" w:rsidR="0077031F" w:rsidRPr="00110D6C" w:rsidRDefault="00030085" w:rsidP="00E15739">
      <w:pPr>
        <w:widowControl/>
        <w:jc w:val="center"/>
        <w:rPr>
          <w:rFonts w:cs="Times New Roman"/>
          <w:color w:val="auto"/>
          <w:szCs w:val="22"/>
          <w:lang w:val="pt-PT"/>
        </w:rPr>
      </w:pPr>
      <w:r w:rsidRPr="00110D6C">
        <w:rPr>
          <w:rFonts w:cs="Times New Roman"/>
          <w:color w:val="auto"/>
          <w:szCs w:val="22"/>
          <w:lang w:val="pt-PT"/>
        </w:rPr>
        <w:t>Figura</w:t>
      </w:r>
      <w:r w:rsidR="00934223" w:rsidRPr="00110D6C">
        <w:rPr>
          <w:rFonts w:cs="Times New Roman"/>
          <w:color w:val="auto"/>
          <w:szCs w:val="22"/>
          <w:lang w:val="pt-PT"/>
        </w:rPr>
        <w:t> </w:t>
      </w:r>
      <w:r w:rsidRPr="00110D6C">
        <w:rPr>
          <w:rFonts w:cs="Times New Roman"/>
          <w:color w:val="auto"/>
          <w:szCs w:val="22"/>
          <w:lang w:val="pt-PT"/>
        </w:rPr>
        <w:t>8</w:t>
      </w:r>
    </w:p>
    <w:p w14:paraId="0862C3BA" w14:textId="77777777" w:rsidR="00E15739" w:rsidRPr="00110D6C" w:rsidRDefault="00E15739">
      <w:pPr>
        <w:rPr>
          <w:rFonts w:cs="Times New Roman"/>
          <w:bCs/>
          <w:color w:val="auto"/>
          <w:szCs w:val="22"/>
          <w:lang w:val="pt-PT"/>
        </w:rPr>
      </w:pPr>
      <w:r w:rsidRPr="00110D6C">
        <w:rPr>
          <w:rFonts w:cs="Times New Roman"/>
          <w:b/>
          <w:bCs/>
          <w:color w:val="auto"/>
          <w:szCs w:val="22"/>
          <w:lang w:val="pt-PT"/>
        </w:rPr>
        <w:br w:type="page"/>
      </w:r>
    </w:p>
    <w:p w14:paraId="4FFB6AA5" w14:textId="77777777" w:rsidR="0077031F" w:rsidRPr="00110D6C" w:rsidRDefault="00030085" w:rsidP="00E15739">
      <w:pPr>
        <w:widowControl/>
        <w:jc w:val="center"/>
        <w:rPr>
          <w:rFonts w:cs="Times New Roman"/>
          <w:color w:val="auto"/>
          <w:szCs w:val="22"/>
          <w:lang w:val="pt-PT"/>
        </w:rPr>
      </w:pPr>
      <w:r w:rsidRPr="00110D6C">
        <w:rPr>
          <w:rFonts w:cs="Times New Roman"/>
          <w:b/>
          <w:bCs/>
          <w:color w:val="auto"/>
          <w:szCs w:val="22"/>
          <w:lang w:val="pt-PT"/>
        </w:rPr>
        <w:lastRenderedPageBreak/>
        <w:t>Folheto Informativo: Informação para o utilizador</w:t>
      </w:r>
    </w:p>
    <w:p w14:paraId="7B371EFE" w14:textId="77777777" w:rsidR="00E15739" w:rsidRPr="00110D6C" w:rsidRDefault="00E15739" w:rsidP="00E15739">
      <w:pPr>
        <w:widowControl/>
        <w:jc w:val="center"/>
        <w:rPr>
          <w:rFonts w:cs="Times New Roman"/>
          <w:bCs/>
          <w:color w:val="auto"/>
          <w:szCs w:val="22"/>
          <w:lang w:val="pt-PT"/>
        </w:rPr>
      </w:pPr>
    </w:p>
    <w:p w14:paraId="0CACFB6D" w14:textId="1AC86E62" w:rsidR="00E15739" w:rsidRPr="00110D6C" w:rsidRDefault="00D05FE6" w:rsidP="00E15739">
      <w:pPr>
        <w:widowControl/>
        <w:jc w:val="center"/>
        <w:rPr>
          <w:rFonts w:cs="Times New Roman"/>
          <w:b/>
          <w:bCs/>
          <w:color w:val="auto"/>
          <w:szCs w:val="22"/>
          <w:lang w:val="pt-PT"/>
        </w:rPr>
      </w:pPr>
      <w:r w:rsidRPr="00110D6C">
        <w:rPr>
          <w:rFonts w:cs="Times New Roman"/>
          <w:b/>
          <w:bCs/>
          <w:color w:val="auto"/>
          <w:szCs w:val="22"/>
          <w:lang w:val="pt-PT"/>
        </w:rPr>
        <w:t>F</w:t>
      </w:r>
      <w:r w:rsidR="00364282" w:rsidRPr="00110D6C">
        <w:rPr>
          <w:rFonts w:cs="Times New Roman"/>
          <w:b/>
          <w:bCs/>
          <w:color w:val="auto"/>
          <w:szCs w:val="22"/>
          <w:lang w:val="pt-PT"/>
        </w:rPr>
        <w:t>ymskina</w:t>
      </w:r>
      <w:r w:rsidR="00030085" w:rsidRPr="00110D6C">
        <w:rPr>
          <w:rFonts w:cs="Times New Roman"/>
          <w:b/>
          <w:bCs/>
          <w:color w:val="auto"/>
          <w:szCs w:val="22"/>
          <w:lang w:val="pt-PT"/>
        </w:rPr>
        <w:t xml:space="preserve"> 9</w:t>
      </w:r>
      <w:r w:rsidR="00B910F9" w:rsidRPr="00110D6C">
        <w:rPr>
          <w:rFonts w:cs="Times New Roman"/>
          <w:b/>
          <w:bCs/>
          <w:color w:val="auto"/>
          <w:szCs w:val="22"/>
          <w:lang w:val="pt-PT"/>
        </w:rPr>
        <w:t>0 </w:t>
      </w:r>
      <w:r w:rsidR="00030085" w:rsidRPr="00110D6C">
        <w:rPr>
          <w:rFonts w:cs="Times New Roman"/>
          <w:b/>
          <w:bCs/>
          <w:color w:val="auto"/>
          <w:szCs w:val="22"/>
          <w:lang w:val="pt-PT"/>
        </w:rPr>
        <w:t>mg solução injetável em seringa pré-cheia</w:t>
      </w:r>
    </w:p>
    <w:p w14:paraId="63362F88" w14:textId="77777777" w:rsidR="0077031F" w:rsidRPr="00110D6C" w:rsidRDefault="00030085" w:rsidP="00E15739">
      <w:pPr>
        <w:widowControl/>
        <w:jc w:val="center"/>
        <w:rPr>
          <w:rFonts w:cs="Times New Roman"/>
          <w:color w:val="auto"/>
          <w:szCs w:val="22"/>
          <w:lang w:val="pt-PT"/>
        </w:rPr>
      </w:pPr>
      <w:r w:rsidRPr="00110D6C">
        <w:rPr>
          <w:rFonts w:cs="Times New Roman"/>
          <w:color w:val="auto"/>
          <w:szCs w:val="22"/>
          <w:lang w:val="pt-PT"/>
        </w:rPr>
        <w:t>ustecinumab</w:t>
      </w:r>
    </w:p>
    <w:p w14:paraId="30CA5152" w14:textId="77777777" w:rsidR="00E15739" w:rsidRPr="00110D6C" w:rsidRDefault="00E15739" w:rsidP="00A17623">
      <w:pPr>
        <w:widowControl/>
        <w:rPr>
          <w:rFonts w:cs="Times New Roman"/>
          <w:bCs/>
          <w:color w:val="auto"/>
          <w:szCs w:val="22"/>
          <w:lang w:val="pt-PT"/>
        </w:rPr>
      </w:pPr>
    </w:p>
    <w:p w14:paraId="3F133A22" w14:textId="1ABFD1EF" w:rsidR="00364282" w:rsidRDefault="00133412" w:rsidP="00364282">
      <w:pPr>
        <w:widowControl/>
      </w:pPr>
      <w:r>
        <w:rPr>
          <w:noProof/>
        </w:rPr>
        <w:drawing>
          <wp:inline distT="0" distB="0" distL="0" distR="0" wp14:anchorId="5AEF78BA" wp14:editId="6324EDB3">
            <wp:extent cx="196850" cy="158750"/>
            <wp:effectExtent l="0" t="0" r="0" b="0"/>
            <wp:docPr id="3" name="Imagem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58750"/>
                    </a:xfrm>
                    <a:prstGeom prst="rect">
                      <a:avLst/>
                    </a:prstGeom>
                    <a:noFill/>
                    <a:ln>
                      <a:noFill/>
                    </a:ln>
                  </pic:spPr>
                </pic:pic>
              </a:graphicData>
            </a:graphic>
          </wp:inline>
        </w:drawing>
      </w:r>
      <w:r w:rsidR="00364282" w:rsidRPr="002D4719">
        <w:t>Este medicamento está sujeito a monitorização adicional. Isto irá permitir a rápida identificação d</w:t>
      </w:r>
      <w:r w:rsidR="00364282" w:rsidRPr="00487FCB">
        <w:t xml:space="preserve">e nova informação de segurança. Poderá ajudar, comunicando quaisquer efeitos </w:t>
      </w:r>
      <w:r w:rsidR="00364282">
        <w:t>indesejáveis</w:t>
      </w:r>
      <w:r w:rsidR="00364282" w:rsidRPr="00487FCB">
        <w:t xml:space="preserve"> que tenha. Para saber como comunicar efeitos </w:t>
      </w:r>
      <w:r w:rsidR="00364282">
        <w:t>indesejáveis</w:t>
      </w:r>
      <w:r w:rsidR="00364282" w:rsidRPr="00487FCB">
        <w:t>, veja o final da secção</w:t>
      </w:r>
      <w:r w:rsidR="00364282">
        <w:t> </w:t>
      </w:r>
      <w:r w:rsidR="00364282" w:rsidRPr="00487FCB">
        <w:t>4</w:t>
      </w:r>
      <w:r w:rsidR="00364282">
        <w:t>.</w:t>
      </w:r>
    </w:p>
    <w:p w14:paraId="42CD5B09" w14:textId="77777777" w:rsidR="00364282" w:rsidRDefault="00364282" w:rsidP="00364282">
      <w:pPr>
        <w:widowControl/>
        <w:rPr>
          <w:rFonts w:cs="Times New Roman"/>
          <w:bCs/>
          <w:color w:val="auto"/>
          <w:szCs w:val="22"/>
          <w:lang w:val="pt-PT"/>
        </w:rPr>
      </w:pPr>
    </w:p>
    <w:p w14:paraId="5C9E7341" w14:textId="45906BAF"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Leia atentamente este folheto antes de utilizar este medicamento, pois contém informação importante para si.</w:t>
      </w:r>
    </w:p>
    <w:p w14:paraId="45B874DB" w14:textId="77777777" w:rsidR="00E15739" w:rsidRPr="00110D6C" w:rsidRDefault="00E15739" w:rsidP="00A17623">
      <w:pPr>
        <w:widowControl/>
        <w:rPr>
          <w:rFonts w:cs="Times New Roman"/>
          <w:bCs/>
          <w:color w:val="auto"/>
          <w:szCs w:val="22"/>
          <w:lang w:val="pt-PT"/>
        </w:rPr>
      </w:pPr>
    </w:p>
    <w:p w14:paraId="5067D325" w14:textId="163F7268" w:rsidR="0077031F" w:rsidRPr="00110D6C" w:rsidRDefault="00030085" w:rsidP="00A17623">
      <w:pPr>
        <w:widowControl/>
        <w:rPr>
          <w:rFonts w:cs="Times New Roman"/>
          <w:b/>
          <w:bCs/>
          <w:color w:val="auto"/>
          <w:szCs w:val="22"/>
          <w:lang w:val="pt-PT"/>
        </w:rPr>
      </w:pPr>
      <w:r w:rsidRPr="00110D6C">
        <w:rPr>
          <w:rFonts w:cs="Times New Roman"/>
          <w:b/>
          <w:bCs/>
          <w:color w:val="auto"/>
          <w:szCs w:val="22"/>
          <w:lang w:val="pt-PT"/>
        </w:rPr>
        <w:t xml:space="preserve">Este folheto foi escrito para a pessoa que tomar o medicamento. Se for o familiar ou o prestador de cuidados de saúde que irá administrar </w:t>
      </w:r>
      <w:r w:rsidR="00D50CFA">
        <w:rPr>
          <w:rFonts w:cs="Times New Roman"/>
          <w:b/>
          <w:bCs/>
          <w:color w:val="auto"/>
          <w:szCs w:val="22"/>
          <w:lang w:val="pt-PT"/>
        </w:rPr>
        <w:t>Fymskina</w:t>
      </w:r>
      <w:r w:rsidRPr="00110D6C">
        <w:rPr>
          <w:rFonts w:cs="Times New Roman"/>
          <w:b/>
          <w:bCs/>
          <w:color w:val="auto"/>
          <w:szCs w:val="22"/>
          <w:lang w:val="pt-PT"/>
        </w:rPr>
        <w:t xml:space="preserve"> a uma criança, leia cuidadosamente esta informação por favor.</w:t>
      </w:r>
    </w:p>
    <w:p w14:paraId="3A1C0743" w14:textId="77777777" w:rsidR="00934223" w:rsidRPr="00110D6C" w:rsidRDefault="00934223" w:rsidP="00A17623">
      <w:pPr>
        <w:widowControl/>
        <w:rPr>
          <w:rFonts w:cs="Times New Roman"/>
          <w:color w:val="auto"/>
          <w:szCs w:val="22"/>
          <w:lang w:val="pt-PT"/>
        </w:rPr>
      </w:pPr>
    </w:p>
    <w:p w14:paraId="604F607E" w14:textId="77777777" w:rsidR="0077031F" w:rsidRPr="00110D6C" w:rsidRDefault="00030085" w:rsidP="00D74B6E">
      <w:pPr>
        <w:pStyle w:val="Listenabsatz"/>
        <w:widowControl/>
        <w:numPr>
          <w:ilvl w:val="0"/>
          <w:numId w:val="15"/>
        </w:numPr>
        <w:ind w:left="567" w:hanging="567"/>
        <w:rPr>
          <w:rFonts w:cs="Times New Roman"/>
          <w:color w:val="auto"/>
          <w:szCs w:val="22"/>
          <w:lang w:val="pt-PT"/>
        </w:rPr>
      </w:pPr>
      <w:r w:rsidRPr="00110D6C">
        <w:rPr>
          <w:rFonts w:cs="Times New Roman"/>
          <w:color w:val="auto"/>
          <w:szCs w:val="22"/>
          <w:lang w:val="pt-PT"/>
        </w:rPr>
        <w:t>Conserve este folheto. Pode ter necessidade de o ler novamente.</w:t>
      </w:r>
    </w:p>
    <w:p w14:paraId="6035A2BB" w14:textId="77777777" w:rsidR="0077031F" w:rsidRPr="00110D6C" w:rsidRDefault="00030085" w:rsidP="00D74B6E">
      <w:pPr>
        <w:pStyle w:val="Listenabsatz"/>
        <w:widowControl/>
        <w:numPr>
          <w:ilvl w:val="0"/>
          <w:numId w:val="15"/>
        </w:numPr>
        <w:ind w:left="567" w:hanging="567"/>
        <w:rPr>
          <w:rFonts w:cs="Times New Roman"/>
          <w:color w:val="auto"/>
          <w:szCs w:val="22"/>
          <w:lang w:val="pt-PT"/>
        </w:rPr>
      </w:pPr>
      <w:r w:rsidRPr="00110D6C">
        <w:rPr>
          <w:rFonts w:cs="Times New Roman"/>
          <w:color w:val="auto"/>
          <w:szCs w:val="22"/>
          <w:lang w:val="pt-PT"/>
        </w:rPr>
        <w:t>Caso ainda tenha dúvidas, fale com o seu médico ou farmacêutico.</w:t>
      </w:r>
    </w:p>
    <w:p w14:paraId="04B0BB6D" w14:textId="77777777" w:rsidR="0077031F" w:rsidRPr="00110D6C" w:rsidRDefault="00030085" w:rsidP="00D74B6E">
      <w:pPr>
        <w:pStyle w:val="Listenabsatz"/>
        <w:widowControl/>
        <w:numPr>
          <w:ilvl w:val="0"/>
          <w:numId w:val="15"/>
        </w:numPr>
        <w:ind w:left="567" w:hanging="567"/>
        <w:rPr>
          <w:rFonts w:cs="Times New Roman"/>
          <w:color w:val="auto"/>
          <w:szCs w:val="22"/>
          <w:lang w:val="pt-PT"/>
        </w:rPr>
      </w:pPr>
      <w:r w:rsidRPr="00110D6C">
        <w:rPr>
          <w:rFonts w:cs="Times New Roman"/>
          <w:color w:val="auto"/>
          <w:szCs w:val="22"/>
          <w:lang w:val="pt-PT"/>
        </w:rPr>
        <w:t>Este medicamento foi receitado apenas para si. Não deve dá-lo a outros. O medicamento pode</w:t>
      </w:r>
      <w:r w:rsidR="00E15739" w:rsidRPr="00110D6C">
        <w:rPr>
          <w:rFonts w:cs="Times New Roman"/>
          <w:color w:val="auto"/>
          <w:szCs w:val="22"/>
          <w:lang w:val="pt-PT"/>
        </w:rPr>
        <w:t xml:space="preserve"> </w:t>
      </w:r>
      <w:r w:rsidRPr="00110D6C">
        <w:rPr>
          <w:rFonts w:cs="Times New Roman"/>
          <w:color w:val="auto"/>
          <w:szCs w:val="22"/>
          <w:lang w:val="pt-PT"/>
        </w:rPr>
        <w:t>ser-lhes prejudicial mesmo que apresentem os mesmos sinais de doença.</w:t>
      </w:r>
    </w:p>
    <w:p w14:paraId="0B12EFC3" w14:textId="77777777" w:rsidR="0077031F" w:rsidRPr="00110D6C" w:rsidRDefault="00030085" w:rsidP="00D74B6E">
      <w:pPr>
        <w:pStyle w:val="Listenabsatz"/>
        <w:widowControl/>
        <w:numPr>
          <w:ilvl w:val="0"/>
          <w:numId w:val="15"/>
        </w:numPr>
        <w:ind w:left="567" w:hanging="567"/>
        <w:rPr>
          <w:rFonts w:cs="Times New Roman"/>
          <w:color w:val="auto"/>
          <w:szCs w:val="22"/>
          <w:lang w:val="pt-PT"/>
        </w:rPr>
      </w:pPr>
      <w:r w:rsidRPr="00110D6C">
        <w:rPr>
          <w:rFonts w:cs="Times New Roman"/>
          <w:color w:val="auto"/>
          <w:szCs w:val="22"/>
          <w:lang w:val="pt-PT"/>
        </w:rPr>
        <w:t>Se tiver quaisquer efeitos indesejáveis, incluindo possíveis efeitos indesejáveis não indicados</w:t>
      </w:r>
      <w:r w:rsidR="00E15739" w:rsidRPr="00110D6C">
        <w:rPr>
          <w:rFonts w:cs="Times New Roman"/>
          <w:color w:val="auto"/>
          <w:szCs w:val="22"/>
          <w:lang w:val="pt-PT"/>
        </w:rPr>
        <w:t xml:space="preserve"> </w:t>
      </w:r>
      <w:r w:rsidRPr="00110D6C">
        <w:rPr>
          <w:rFonts w:cs="Times New Roman"/>
          <w:color w:val="auto"/>
          <w:szCs w:val="22"/>
          <w:lang w:val="pt-PT"/>
        </w:rPr>
        <w:t>neste folheto, fale com o seu médico ou farmacêutico. Ver</w:t>
      </w:r>
      <w:r w:rsidR="006A79E5" w:rsidRPr="00110D6C">
        <w:rPr>
          <w:rFonts w:cs="Times New Roman"/>
          <w:color w:val="auto"/>
          <w:szCs w:val="22"/>
          <w:lang w:val="pt-PT"/>
        </w:rPr>
        <w:t> </w:t>
      </w:r>
      <w:r w:rsidRPr="00110D6C">
        <w:rPr>
          <w:rFonts w:cs="Times New Roman"/>
          <w:color w:val="auto"/>
          <w:szCs w:val="22"/>
          <w:lang w:val="pt-PT"/>
        </w:rPr>
        <w:t>secção</w:t>
      </w:r>
      <w:r w:rsidR="006A79E5" w:rsidRPr="00110D6C">
        <w:rPr>
          <w:rFonts w:cs="Times New Roman"/>
          <w:color w:val="auto"/>
          <w:szCs w:val="22"/>
          <w:lang w:val="pt-PT"/>
        </w:rPr>
        <w:t> </w:t>
      </w:r>
      <w:r w:rsidRPr="00110D6C">
        <w:rPr>
          <w:rFonts w:cs="Times New Roman"/>
          <w:color w:val="auto"/>
          <w:szCs w:val="22"/>
          <w:lang w:val="pt-PT"/>
        </w:rPr>
        <w:t>4.</w:t>
      </w:r>
    </w:p>
    <w:p w14:paraId="7084B0ED" w14:textId="77777777" w:rsidR="00E15739" w:rsidRPr="00110D6C" w:rsidRDefault="00E15739" w:rsidP="00A17623">
      <w:pPr>
        <w:widowControl/>
        <w:rPr>
          <w:rFonts w:cs="Times New Roman"/>
          <w:bCs/>
          <w:color w:val="auto"/>
          <w:szCs w:val="22"/>
          <w:lang w:val="pt-PT"/>
        </w:rPr>
      </w:pPr>
      <w:bookmarkStart w:id="196" w:name="bookmark324"/>
    </w:p>
    <w:p w14:paraId="2D8470EE"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O que contém este folheto</w:t>
      </w:r>
      <w:r w:rsidRPr="00110D6C">
        <w:rPr>
          <w:rFonts w:cs="Times New Roman"/>
          <w:color w:val="auto"/>
          <w:szCs w:val="22"/>
          <w:lang w:val="pt-PT"/>
        </w:rPr>
        <w:t>:</w:t>
      </w:r>
      <w:bookmarkEnd w:id="196"/>
    </w:p>
    <w:p w14:paraId="4CED259D" w14:textId="1B14BA3A" w:rsidR="0077031F" w:rsidRPr="00110D6C" w:rsidRDefault="00DC3C01" w:rsidP="00A17623">
      <w:pPr>
        <w:widowControl/>
        <w:ind w:left="567" w:hanging="567"/>
        <w:rPr>
          <w:rFonts w:cs="Times New Roman"/>
          <w:color w:val="auto"/>
          <w:szCs w:val="22"/>
          <w:lang w:val="pt-PT"/>
        </w:rPr>
      </w:pPr>
      <w:r w:rsidRPr="00110D6C">
        <w:rPr>
          <w:rFonts w:cs="Times New Roman"/>
          <w:color w:val="auto"/>
          <w:szCs w:val="22"/>
          <w:lang w:val="pt-PT"/>
        </w:rPr>
        <w:t>1.</w:t>
      </w:r>
      <w:r w:rsidRPr="00110D6C">
        <w:rPr>
          <w:rFonts w:cs="Times New Roman"/>
          <w:color w:val="auto"/>
          <w:szCs w:val="22"/>
          <w:lang w:val="pt-PT"/>
        </w:rPr>
        <w:tab/>
      </w:r>
      <w:r w:rsidR="00030085" w:rsidRPr="00110D6C">
        <w:rPr>
          <w:rFonts w:cs="Times New Roman"/>
          <w:color w:val="auto"/>
          <w:szCs w:val="22"/>
          <w:lang w:val="pt-PT"/>
        </w:rPr>
        <w:t xml:space="preserve">O que é </w:t>
      </w:r>
      <w:r w:rsidR="00D50CFA">
        <w:rPr>
          <w:rFonts w:cs="Times New Roman"/>
          <w:color w:val="auto"/>
          <w:szCs w:val="22"/>
          <w:lang w:val="pt-PT"/>
        </w:rPr>
        <w:t>Fymskina</w:t>
      </w:r>
      <w:r w:rsidR="00030085" w:rsidRPr="00110D6C">
        <w:rPr>
          <w:rFonts w:cs="Times New Roman"/>
          <w:color w:val="auto"/>
          <w:szCs w:val="22"/>
          <w:lang w:val="pt-PT"/>
        </w:rPr>
        <w:t xml:space="preserve"> e para que é utilizado</w:t>
      </w:r>
    </w:p>
    <w:p w14:paraId="40C8D8FE" w14:textId="053910A0" w:rsidR="0077031F" w:rsidRPr="00110D6C" w:rsidRDefault="00DC3C01" w:rsidP="00E15739">
      <w:pPr>
        <w:widowControl/>
        <w:ind w:left="567" w:hanging="567"/>
        <w:rPr>
          <w:rFonts w:cs="Times New Roman"/>
          <w:color w:val="auto"/>
          <w:szCs w:val="22"/>
          <w:lang w:val="pt-PT"/>
        </w:rPr>
      </w:pPr>
      <w:r w:rsidRPr="00110D6C">
        <w:rPr>
          <w:rFonts w:cs="Times New Roman"/>
          <w:color w:val="auto"/>
          <w:szCs w:val="22"/>
          <w:lang w:val="pt-PT"/>
        </w:rPr>
        <w:t>2.</w:t>
      </w:r>
      <w:r w:rsidRPr="00110D6C">
        <w:rPr>
          <w:rFonts w:cs="Times New Roman"/>
          <w:color w:val="auto"/>
          <w:szCs w:val="22"/>
          <w:lang w:val="pt-PT"/>
        </w:rPr>
        <w:tab/>
      </w:r>
      <w:r w:rsidR="00030085" w:rsidRPr="00110D6C">
        <w:rPr>
          <w:rFonts w:cs="Times New Roman"/>
          <w:color w:val="auto"/>
          <w:szCs w:val="22"/>
          <w:lang w:val="pt-PT"/>
        </w:rPr>
        <w:t>O que precisa de saber antes de</w:t>
      </w:r>
      <w:r w:rsidR="00E15739" w:rsidRPr="00110D6C">
        <w:rPr>
          <w:rFonts w:cs="Times New Roman"/>
          <w:color w:val="auto"/>
          <w:szCs w:val="22"/>
          <w:lang w:val="pt-PT"/>
        </w:rPr>
        <w:t xml:space="preserve"> </w:t>
      </w:r>
      <w:r w:rsidR="00030085" w:rsidRPr="00110D6C">
        <w:rPr>
          <w:rFonts w:cs="Times New Roman"/>
          <w:color w:val="auto"/>
          <w:szCs w:val="22"/>
          <w:lang w:val="pt-PT"/>
        </w:rPr>
        <w:t>utilizar</w:t>
      </w:r>
      <w:r w:rsidR="00E15739" w:rsidRPr="00110D6C">
        <w:rPr>
          <w:rFonts w:cs="Times New Roman"/>
          <w:color w:val="auto"/>
          <w:szCs w:val="22"/>
          <w:lang w:val="pt-PT"/>
        </w:rPr>
        <w:t xml:space="preserve"> </w:t>
      </w:r>
      <w:r w:rsidR="00D50CFA">
        <w:rPr>
          <w:rFonts w:cs="Times New Roman"/>
          <w:color w:val="auto"/>
          <w:szCs w:val="22"/>
          <w:lang w:val="pt-PT"/>
        </w:rPr>
        <w:t>Fymskina</w:t>
      </w:r>
    </w:p>
    <w:p w14:paraId="743963C2" w14:textId="793F7D86" w:rsidR="0077031F" w:rsidRPr="00110D6C" w:rsidRDefault="00DC3C01" w:rsidP="00A17623">
      <w:pPr>
        <w:widowControl/>
        <w:ind w:left="567" w:hanging="567"/>
        <w:rPr>
          <w:rFonts w:cs="Times New Roman"/>
          <w:color w:val="auto"/>
          <w:szCs w:val="22"/>
          <w:lang w:val="pt-PT"/>
        </w:rPr>
      </w:pPr>
      <w:r w:rsidRPr="00110D6C">
        <w:rPr>
          <w:rFonts w:cs="Times New Roman"/>
          <w:color w:val="auto"/>
          <w:szCs w:val="22"/>
          <w:lang w:val="pt-PT"/>
        </w:rPr>
        <w:t>3.</w:t>
      </w:r>
      <w:r w:rsidRPr="00110D6C">
        <w:rPr>
          <w:rFonts w:cs="Times New Roman"/>
          <w:color w:val="auto"/>
          <w:szCs w:val="22"/>
          <w:lang w:val="pt-PT"/>
        </w:rPr>
        <w:tab/>
      </w:r>
      <w:r w:rsidR="00030085" w:rsidRPr="00110D6C">
        <w:rPr>
          <w:rFonts w:cs="Times New Roman"/>
          <w:color w:val="auto"/>
          <w:szCs w:val="22"/>
          <w:lang w:val="pt-PT"/>
        </w:rPr>
        <w:t xml:space="preserve">Como utilizar </w:t>
      </w:r>
      <w:r w:rsidR="00D50CFA">
        <w:rPr>
          <w:rFonts w:cs="Times New Roman"/>
          <w:color w:val="auto"/>
          <w:szCs w:val="22"/>
          <w:lang w:val="pt-PT"/>
        </w:rPr>
        <w:t>Fymskina</w:t>
      </w:r>
    </w:p>
    <w:p w14:paraId="58B5015C" w14:textId="77777777" w:rsidR="0077031F" w:rsidRPr="00110D6C" w:rsidRDefault="00DC3C01" w:rsidP="00A17623">
      <w:pPr>
        <w:widowControl/>
        <w:ind w:left="567" w:hanging="567"/>
        <w:rPr>
          <w:rFonts w:cs="Times New Roman"/>
          <w:color w:val="auto"/>
          <w:szCs w:val="22"/>
          <w:lang w:val="pt-PT"/>
        </w:rPr>
      </w:pPr>
      <w:r w:rsidRPr="00110D6C">
        <w:rPr>
          <w:rFonts w:cs="Times New Roman"/>
          <w:color w:val="auto"/>
          <w:szCs w:val="22"/>
          <w:lang w:val="pt-PT"/>
        </w:rPr>
        <w:t>4.</w:t>
      </w:r>
      <w:r w:rsidRPr="00110D6C">
        <w:rPr>
          <w:rFonts w:cs="Times New Roman"/>
          <w:color w:val="auto"/>
          <w:szCs w:val="22"/>
          <w:lang w:val="pt-PT"/>
        </w:rPr>
        <w:tab/>
      </w:r>
      <w:r w:rsidR="00030085" w:rsidRPr="00110D6C">
        <w:rPr>
          <w:rFonts w:cs="Times New Roman"/>
          <w:color w:val="auto"/>
          <w:szCs w:val="22"/>
          <w:lang w:val="pt-PT"/>
        </w:rPr>
        <w:t>Efeitos indesejáveis possíveis</w:t>
      </w:r>
    </w:p>
    <w:p w14:paraId="3302183D" w14:textId="13BF6EC0" w:rsidR="0077031F" w:rsidRPr="00110D6C" w:rsidRDefault="00DC3C01" w:rsidP="00A17623">
      <w:pPr>
        <w:widowControl/>
        <w:ind w:left="567" w:hanging="567"/>
        <w:rPr>
          <w:rFonts w:cs="Times New Roman"/>
          <w:color w:val="auto"/>
          <w:szCs w:val="22"/>
          <w:lang w:val="pt-PT"/>
        </w:rPr>
      </w:pPr>
      <w:r w:rsidRPr="00110D6C">
        <w:rPr>
          <w:rFonts w:cs="Times New Roman"/>
          <w:color w:val="auto"/>
          <w:szCs w:val="22"/>
          <w:lang w:val="pt-PT"/>
        </w:rPr>
        <w:t>5.</w:t>
      </w:r>
      <w:r w:rsidRPr="00110D6C">
        <w:rPr>
          <w:rFonts w:cs="Times New Roman"/>
          <w:color w:val="auto"/>
          <w:szCs w:val="22"/>
          <w:lang w:val="pt-PT"/>
        </w:rPr>
        <w:tab/>
      </w:r>
      <w:r w:rsidR="00030085" w:rsidRPr="00110D6C">
        <w:rPr>
          <w:rFonts w:cs="Times New Roman"/>
          <w:color w:val="auto"/>
          <w:szCs w:val="22"/>
          <w:lang w:val="pt-PT"/>
        </w:rPr>
        <w:t xml:space="preserve">Como conservar </w:t>
      </w:r>
      <w:r w:rsidR="00D50CFA">
        <w:rPr>
          <w:rFonts w:cs="Times New Roman"/>
          <w:color w:val="auto"/>
          <w:szCs w:val="22"/>
          <w:lang w:val="pt-PT"/>
        </w:rPr>
        <w:t>Fymskina</w:t>
      </w:r>
    </w:p>
    <w:p w14:paraId="7268B2A0" w14:textId="77777777" w:rsidR="0077031F" w:rsidRPr="00110D6C" w:rsidRDefault="00DC3C01" w:rsidP="00A17623">
      <w:pPr>
        <w:widowControl/>
        <w:ind w:left="567" w:hanging="567"/>
        <w:rPr>
          <w:rFonts w:cs="Times New Roman"/>
          <w:color w:val="auto"/>
          <w:szCs w:val="22"/>
          <w:lang w:val="pt-PT"/>
        </w:rPr>
      </w:pPr>
      <w:r w:rsidRPr="00110D6C">
        <w:rPr>
          <w:rFonts w:cs="Times New Roman"/>
          <w:color w:val="auto"/>
          <w:szCs w:val="22"/>
          <w:lang w:val="pt-PT"/>
        </w:rPr>
        <w:t>6.</w:t>
      </w:r>
      <w:r w:rsidRPr="00110D6C">
        <w:rPr>
          <w:rFonts w:cs="Times New Roman"/>
          <w:color w:val="auto"/>
          <w:szCs w:val="22"/>
          <w:lang w:val="pt-PT"/>
        </w:rPr>
        <w:tab/>
      </w:r>
      <w:r w:rsidR="00030085" w:rsidRPr="00110D6C">
        <w:rPr>
          <w:rFonts w:cs="Times New Roman"/>
          <w:color w:val="auto"/>
          <w:szCs w:val="22"/>
          <w:lang w:val="pt-PT"/>
        </w:rPr>
        <w:t>Conteúdo da embalagem e outras informações</w:t>
      </w:r>
    </w:p>
    <w:p w14:paraId="3599957E" w14:textId="77777777" w:rsidR="00E15739" w:rsidRPr="00110D6C" w:rsidRDefault="00E15739" w:rsidP="00A17623">
      <w:pPr>
        <w:widowControl/>
        <w:ind w:left="567" w:hanging="567"/>
        <w:rPr>
          <w:rFonts w:cs="Times New Roman"/>
          <w:bCs/>
          <w:color w:val="auto"/>
          <w:szCs w:val="22"/>
          <w:lang w:val="pt-PT"/>
        </w:rPr>
      </w:pPr>
      <w:bookmarkStart w:id="197" w:name="bookmark326"/>
    </w:p>
    <w:p w14:paraId="6008D5DE" w14:textId="77777777" w:rsidR="00E15739" w:rsidRPr="00110D6C" w:rsidRDefault="00E15739" w:rsidP="00A17623">
      <w:pPr>
        <w:widowControl/>
        <w:ind w:left="567" w:hanging="567"/>
        <w:rPr>
          <w:rFonts w:cs="Times New Roman"/>
          <w:bCs/>
          <w:color w:val="auto"/>
          <w:szCs w:val="22"/>
          <w:lang w:val="pt-PT"/>
        </w:rPr>
      </w:pPr>
    </w:p>
    <w:p w14:paraId="4E019059" w14:textId="320872F9"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1.</w:t>
      </w:r>
      <w:r w:rsidRPr="00110D6C">
        <w:rPr>
          <w:rFonts w:cs="Times New Roman"/>
          <w:b/>
          <w:bCs/>
          <w:color w:val="auto"/>
          <w:szCs w:val="22"/>
          <w:lang w:val="pt-PT"/>
        </w:rPr>
        <w:tab/>
      </w:r>
      <w:r w:rsidR="00030085" w:rsidRPr="00110D6C">
        <w:rPr>
          <w:rFonts w:cs="Times New Roman"/>
          <w:b/>
          <w:bCs/>
          <w:color w:val="auto"/>
          <w:szCs w:val="22"/>
          <w:lang w:val="pt-PT"/>
        </w:rPr>
        <w:t xml:space="preserve">O que é </w:t>
      </w:r>
      <w:r w:rsidR="00D50CFA">
        <w:rPr>
          <w:rFonts w:cs="Times New Roman"/>
          <w:b/>
          <w:bCs/>
          <w:color w:val="auto"/>
          <w:szCs w:val="22"/>
          <w:lang w:val="pt-PT"/>
        </w:rPr>
        <w:t>Fymskina</w:t>
      </w:r>
      <w:r w:rsidR="00030085" w:rsidRPr="00110D6C">
        <w:rPr>
          <w:rFonts w:cs="Times New Roman"/>
          <w:b/>
          <w:bCs/>
          <w:color w:val="auto"/>
          <w:szCs w:val="22"/>
          <w:lang w:val="pt-PT"/>
        </w:rPr>
        <w:t xml:space="preserve"> e para que é utilizado</w:t>
      </w:r>
      <w:bookmarkEnd w:id="197"/>
    </w:p>
    <w:p w14:paraId="2D0B72FC" w14:textId="77777777" w:rsidR="00E15739" w:rsidRPr="00110D6C" w:rsidRDefault="00E15739" w:rsidP="00A17623">
      <w:pPr>
        <w:widowControl/>
        <w:rPr>
          <w:rFonts w:cs="Times New Roman"/>
          <w:bCs/>
          <w:color w:val="auto"/>
          <w:szCs w:val="22"/>
          <w:lang w:val="pt-PT"/>
        </w:rPr>
      </w:pPr>
    </w:p>
    <w:p w14:paraId="2B47006B" w14:textId="75F21896"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O que é </w:t>
      </w:r>
      <w:r w:rsidR="00D50CFA">
        <w:rPr>
          <w:rFonts w:cs="Times New Roman"/>
          <w:b/>
          <w:bCs/>
          <w:color w:val="auto"/>
          <w:szCs w:val="22"/>
          <w:lang w:val="pt-PT"/>
        </w:rPr>
        <w:t>Fymskina</w:t>
      </w:r>
    </w:p>
    <w:p w14:paraId="5DE7DEAA" w14:textId="63A6165F" w:rsidR="0077031F" w:rsidRPr="00110D6C" w:rsidRDefault="00D50CFA" w:rsidP="00A17623">
      <w:pPr>
        <w:widowControl/>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contém a substância ativa “ustecinumab”, um anticorpo monoclonal. Anticorpos monoclonais são proteínas que reconhecem e se ligam especificamente a certas proteínas do corpo.</w:t>
      </w:r>
    </w:p>
    <w:p w14:paraId="2355F8C6" w14:textId="77777777" w:rsidR="00E15739" w:rsidRPr="00110D6C" w:rsidRDefault="00E15739" w:rsidP="00A17623">
      <w:pPr>
        <w:widowControl/>
        <w:rPr>
          <w:rFonts w:cs="Times New Roman"/>
          <w:color w:val="auto"/>
          <w:szCs w:val="22"/>
          <w:lang w:val="pt-PT"/>
        </w:rPr>
      </w:pPr>
    </w:p>
    <w:p w14:paraId="343595AD" w14:textId="75B5194B" w:rsidR="0077031F" w:rsidRPr="00110D6C" w:rsidRDefault="00D50CFA" w:rsidP="00A17623">
      <w:pPr>
        <w:widowControl/>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pertence a um grupo de medicamentos denominados “imunossupressores”. Estes medicamentos atuam enfraquecendo parte do seu sistema imunitário.</w:t>
      </w:r>
    </w:p>
    <w:p w14:paraId="06BBEE36" w14:textId="77777777" w:rsidR="00E15739" w:rsidRPr="00110D6C" w:rsidRDefault="00E15739" w:rsidP="00A17623">
      <w:pPr>
        <w:widowControl/>
        <w:rPr>
          <w:rFonts w:cs="Times New Roman"/>
          <w:bCs/>
          <w:color w:val="auto"/>
          <w:szCs w:val="22"/>
          <w:lang w:val="pt-PT"/>
        </w:rPr>
      </w:pPr>
      <w:bookmarkStart w:id="198" w:name="bookmark329"/>
    </w:p>
    <w:p w14:paraId="72AE315B" w14:textId="3F9849D5"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Para que é utilizado </w:t>
      </w:r>
      <w:bookmarkEnd w:id="198"/>
      <w:r w:rsidR="00D50CFA">
        <w:rPr>
          <w:rFonts w:cs="Times New Roman"/>
          <w:b/>
          <w:bCs/>
          <w:color w:val="auto"/>
          <w:szCs w:val="22"/>
          <w:lang w:val="pt-PT"/>
        </w:rPr>
        <w:t>Fymskina</w:t>
      </w:r>
    </w:p>
    <w:p w14:paraId="1FA8628D" w14:textId="42667D7A" w:rsidR="0077031F" w:rsidRPr="00110D6C" w:rsidRDefault="00D50CFA" w:rsidP="00A17623">
      <w:pPr>
        <w:widowControl/>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é utilizado para tratar as seguintes doenças inflamatórias:</w:t>
      </w:r>
    </w:p>
    <w:p w14:paraId="19D983AE" w14:textId="77777777"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color w:val="auto"/>
          <w:szCs w:val="22"/>
          <w:lang w:val="pt-PT"/>
        </w:rPr>
        <w:t xml:space="preserve">Psoríase em placas – em adultos e crianças com idade igual ou superior a </w:t>
      </w:r>
      <w:r w:rsidR="00B910F9" w:rsidRPr="00110D6C">
        <w:rPr>
          <w:rFonts w:cs="Times New Roman"/>
          <w:color w:val="auto"/>
          <w:szCs w:val="22"/>
          <w:lang w:val="pt-PT"/>
        </w:rPr>
        <w:t>6 </w:t>
      </w:r>
      <w:r w:rsidRPr="00110D6C">
        <w:rPr>
          <w:rFonts w:cs="Times New Roman"/>
          <w:color w:val="auto"/>
          <w:szCs w:val="22"/>
          <w:lang w:val="pt-PT"/>
        </w:rPr>
        <w:t>anos</w:t>
      </w:r>
    </w:p>
    <w:p w14:paraId="489D767D" w14:textId="77777777"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color w:val="auto"/>
          <w:szCs w:val="22"/>
          <w:lang w:val="pt-PT"/>
        </w:rPr>
        <w:t>Artrite psoriática – em adultos</w:t>
      </w:r>
    </w:p>
    <w:p w14:paraId="5BD76FCD" w14:textId="77777777"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color w:val="auto"/>
          <w:szCs w:val="22"/>
          <w:lang w:val="pt-PT"/>
        </w:rPr>
        <w:t>Doença de Crohn moderada a grave – em adultos</w:t>
      </w:r>
    </w:p>
    <w:p w14:paraId="59761299" w14:textId="77777777" w:rsidR="00E15739" w:rsidRPr="00110D6C" w:rsidRDefault="00E15739" w:rsidP="00A17623">
      <w:pPr>
        <w:widowControl/>
        <w:rPr>
          <w:rFonts w:cs="Times New Roman"/>
          <w:bCs/>
          <w:color w:val="auto"/>
          <w:szCs w:val="22"/>
          <w:lang w:val="pt-PT"/>
        </w:rPr>
      </w:pPr>
      <w:bookmarkStart w:id="199" w:name="bookmark331"/>
    </w:p>
    <w:p w14:paraId="21B452EC"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Psoríase em placas</w:t>
      </w:r>
      <w:bookmarkEnd w:id="199"/>
    </w:p>
    <w:p w14:paraId="1DDDEB52" w14:textId="70E879C6"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 “psoríase em placas” é uma doença da pele que causa inflamação que afeta a pele e as unhas. </w:t>
      </w:r>
      <w:r w:rsidR="00D50CFA">
        <w:rPr>
          <w:rFonts w:cs="Times New Roman"/>
          <w:color w:val="auto"/>
          <w:szCs w:val="22"/>
          <w:lang w:val="pt-PT"/>
        </w:rPr>
        <w:t>Fymskina</w:t>
      </w:r>
      <w:r w:rsidRPr="00110D6C">
        <w:rPr>
          <w:rFonts w:cs="Times New Roman"/>
          <w:color w:val="auto"/>
          <w:szCs w:val="22"/>
          <w:lang w:val="pt-PT"/>
        </w:rPr>
        <w:t xml:space="preserve"> irá reduzir a inflamação e outros sinais da doença.</w:t>
      </w:r>
    </w:p>
    <w:p w14:paraId="65997C7B" w14:textId="77777777" w:rsidR="00E15739" w:rsidRPr="00110D6C" w:rsidRDefault="00E15739" w:rsidP="00A17623">
      <w:pPr>
        <w:widowControl/>
        <w:rPr>
          <w:rFonts w:cs="Times New Roman"/>
          <w:color w:val="auto"/>
          <w:szCs w:val="22"/>
          <w:lang w:val="pt-PT"/>
        </w:rPr>
      </w:pPr>
    </w:p>
    <w:p w14:paraId="4C4976C4" w14:textId="21949392" w:rsidR="0077031F" w:rsidRPr="00110D6C" w:rsidRDefault="00D50CFA" w:rsidP="00A17623">
      <w:pPr>
        <w:widowControl/>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é utilizado em doentes adultos com psoríase em placas moderada a grave, que não podem utilizar ciclosporina, metotrexato ou fototerapia ou quando estes tratamentos não funcionam.</w:t>
      </w:r>
    </w:p>
    <w:p w14:paraId="395E0F40" w14:textId="77777777" w:rsidR="00E15739" w:rsidRPr="00110D6C" w:rsidRDefault="00E15739" w:rsidP="00A17623">
      <w:pPr>
        <w:widowControl/>
        <w:rPr>
          <w:rFonts w:cs="Times New Roman"/>
          <w:color w:val="auto"/>
          <w:szCs w:val="22"/>
          <w:lang w:val="pt-PT"/>
        </w:rPr>
      </w:pPr>
    </w:p>
    <w:p w14:paraId="687BE01E" w14:textId="5BEE1E94" w:rsidR="0077031F" w:rsidRPr="00110D6C" w:rsidRDefault="00D50CFA" w:rsidP="00A17623">
      <w:pPr>
        <w:widowControl/>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é utilizado em crianças e adolescentes com idade igual ou superior a </w:t>
      </w:r>
      <w:r w:rsidR="00B910F9" w:rsidRPr="00110D6C">
        <w:rPr>
          <w:rFonts w:cs="Times New Roman"/>
          <w:color w:val="auto"/>
          <w:szCs w:val="22"/>
          <w:lang w:val="pt-PT"/>
        </w:rPr>
        <w:t>6 </w:t>
      </w:r>
      <w:r w:rsidR="00030085" w:rsidRPr="00110D6C">
        <w:rPr>
          <w:rFonts w:cs="Times New Roman"/>
          <w:color w:val="auto"/>
          <w:szCs w:val="22"/>
          <w:lang w:val="pt-PT"/>
        </w:rPr>
        <w:t>anos com psoríase em placas moderada a grave que são incapazes de tolerar a fototerapia ou outras terapêuticas sistémicas ou quando estes tratamentos não resultam.</w:t>
      </w:r>
    </w:p>
    <w:p w14:paraId="7351BEE1" w14:textId="77777777" w:rsidR="00E15739" w:rsidRPr="00110D6C" w:rsidRDefault="00E15739" w:rsidP="00A17623">
      <w:pPr>
        <w:widowControl/>
        <w:rPr>
          <w:rFonts w:cs="Times New Roman"/>
          <w:bCs/>
          <w:color w:val="auto"/>
          <w:szCs w:val="22"/>
          <w:lang w:val="pt-PT"/>
        </w:rPr>
      </w:pPr>
      <w:bookmarkStart w:id="200" w:name="bookmark333"/>
    </w:p>
    <w:p w14:paraId="2214B1BB" w14:textId="77777777" w:rsidR="0077031F" w:rsidRPr="00110D6C" w:rsidRDefault="00030085" w:rsidP="00E15739">
      <w:pPr>
        <w:keepNext/>
        <w:keepLines/>
        <w:widowControl/>
        <w:rPr>
          <w:rFonts w:cs="Times New Roman"/>
          <w:color w:val="auto"/>
          <w:szCs w:val="22"/>
          <w:lang w:val="pt-PT"/>
        </w:rPr>
      </w:pPr>
      <w:r w:rsidRPr="00110D6C">
        <w:rPr>
          <w:rFonts w:cs="Times New Roman"/>
          <w:b/>
          <w:bCs/>
          <w:color w:val="auto"/>
          <w:szCs w:val="22"/>
          <w:lang w:val="pt-PT"/>
        </w:rPr>
        <w:t>Artrite psoriática</w:t>
      </w:r>
      <w:bookmarkEnd w:id="200"/>
    </w:p>
    <w:p w14:paraId="0EF30D4E" w14:textId="59180C19"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 artrite psoriática é uma doença inflamatória das articulações, usualmente acompanhada por psoríase. Se tem artrite psoriática ativa, então primeiro irão ser-lhe administrados outros medicamentos. Se não responder de forma adequada a estes medicamentos, </w:t>
      </w:r>
      <w:r w:rsidR="00D50CFA">
        <w:rPr>
          <w:rFonts w:cs="Times New Roman"/>
          <w:color w:val="auto"/>
          <w:szCs w:val="22"/>
          <w:lang w:val="pt-PT"/>
        </w:rPr>
        <w:t>Fymskina</w:t>
      </w:r>
      <w:r w:rsidRPr="00110D6C">
        <w:rPr>
          <w:rFonts w:cs="Times New Roman"/>
          <w:color w:val="auto"/>
          <w:szCs w:val="22"/>
          <w:lang w:val="pt-PT"/>
        </w:rPr>
        <w:t xml:space="preserve"> poderá ser utilizado:</w:t>
      </w:r>
    </w:p>
    <w:p w14:paraId="1D522FEC" w14:textId="77777777"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color w:val="auto"/>
          <w:szCs w:val="22"/>
          <w:lang w:val="pt-PT"/>
        </w:rPr>
        <w:t>Na redução dos sinais e sintomas da sua doença.</w:t>
      </w:r>
    </w:p>
    <w:p w14:paraId="75052841" w14:textId="77777777"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color w:val="auto"/>
          <w:szCs w:val="22"/>
          <w:lang w:val="pt-PT"/>
        </w:rPr>
        <w:t>Para melhorar a função física.</w:t>
      </w:r>
    </w:p>
    <w:p w14:paraId="61E6364E" w14:textId="77777777"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color w:val="auto"/>
          <w:szCs w:val="22"/>
          <w:lang w:val="pt-PT"/>
        </w:rPr>
        <w:t>Para retardar danos nas suas articulações.</w:t>
      </w:r>
    </w:p>
    <w:p w14:paraId="57BE2F5E" w14:textId="77777777" w:rsidR="00E15739" w:rsidRPr="00110D6C" w:rsidRDefault="00E15739" w:rsidP="00A17623">
      <w:pPr>
        <w:widowControl/>
        <w:rPr>
          <w:rFonts w:cs="Times New Roman"/>
          <w:bCs/>
          <w:color w:val="auto"/>
          <w:szCs w:val="22"/>
          <w:lang w:val="pt-PT"/>
        </w:rPr>
      </w:pPr>
      <w:bookmarkStart w:id="201" w:name="bookmark335"/>
    </w:p>
    <w:p w14:paraId="362C0B9B"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Doença de Crohn</w:t>
      </w:r>
      <w:bookmarkEnd w:id="201"/>
    </w:p>
    <w:p w14:paraId="52C606B5" w14:textId="0A951059"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 doença de Crohn é uma doença inflamatória do intestino. No caso de sofrer de doença de Crohn, irá receber primeiro outros medicamentos. Se não tiver uma resposta suficiente ou se for intolerante a esses medicamentos, poderá receber </w:t>
      </w:r>
      <w:r w:rsidR="00D50CFA">
        <w:rPr>
          <w:rFonts w:cs="Times New Roman"/>
          <w:color w:val="auto"/>
          <w:szCs w:val="22"/>
          <w:lang w:val="pt-PT"/>
        </w:rPr>
        <w:t>Fymskina</w:t>
      </w:r>
      <w:r w:rsidRPr="00110D6C">
        <w:rPr>
          <w:rFonts w:cs="Times New Roman"/>
          <w:color w:val="auto"/>
          <w:szCs w:val="22"/>
          <w:lang w:val="pt-PT"/>
        </w:rPr>
        <w:t xml:space="preserve"> para reduzir os sinais e sintomas da sua doença.</w:t>
      </w:r>
    </w:p>
    <w:p w14:paraId="21329378" w14:textId="77777777" w:rsidR="00E15739" w:rsidRPr="00110D6C" w:rsidRDefault="00E15739" w:rsidP="00A17623">
      <w:pPr>
        <w:widowControl/>
        <w:ind w:left="567" w:hanging="567"/>
        <w:rPr>
          <w:rFonts w:cs="Times New Roman"/>
          <w:bCs/>
          <w:color w:val="auto"/>
          <w:szCs w:val="22"/>
          <w:lang w:val="pt-PT"/>
        </w:rPr>
      </w:pPr>
      <w:bookmarkStart w:id="202" w:name="bookmark339"/>
    </w:p>
    <w:p w14:paraId="2C5034B7" w14:textId="77777777" w:rsidR="00E15739" w:rsidRPr="00110D6C" w:rsidRDefault="00E15739" w:rsidP="00A17623">
      <w:pPr>
        <w:widowControl/>
        <w:ind w:left="567" w:hanging="567"/>
        <w:rPr>
          <w:rFonts w:cs="Times New Roman"/>
          <w:bCs/>
          <w:color w:val="auto"/>
          <w:szCs w:val="22"/>
          <w:lang w:val="pt-PT"/>
        </w:rPr>
      </w:pPr>
    </w:p>
    <w:p w14:paraId="1C032D52" w14:textId="1E5A7A28"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2.</w:t>
      </w:r>
      <w:r w:rsidRPr="00110D6C">
        <w:rPr>
          <w:rFonts w:cs="Times New Roman"/>
          <w:b/>
          <w:bCs/>
          <w:color w:val="auto"/>
          <w:szCs w:val="22"/>
          <w:lang w:val="pt-PT"/>
        </w:rPr>
        <w:tab/>
      </w:r>
      <w:r w:rsidR="00030085" w:rsidRPr="00110D6C">
        <w:rPr>
          <w:rFonts w:cs="Times New Roman"/>
          <w:b/>
          <w:bCs/>
          <w:color w:val="auto"/>
          <w:szCs w:val="22"/>
          <w:lang w:val="pt-PT"/>
        </w:rPr>
        <w:t xml:space="preserve">O que precisa de saber antes de utilizar </w:t>
      </w:r>
      <w:bookmarkEnd w:id="202"/>
      <w:r w:rsidR="00D50CFA">
        <w:rPr>
          <w:rFonts w:cs="Times New Roman"/>
          <w:b/>
          <w:bCs/>
          <w:color w:val="auto"/>
          <w:szCs w:val="22"/>
          <w:lang w:val="pt-PT"/>
        </w:rPr>
        <w:t>Fymskina</w:t>
      </w:r>
    </w:p>
    <w:p w14:paraId="40EE584A" w14:textId="77777777" w:rsidR="00E15739" w:rsidRPr="00110D6C" w:rsidRDefault="00E15739" w:rsidP="00A17623">
      <w:pPr>
        <w:widowControl/>
        <w:rPr>
          <w:rFonts w:cs="Times New Roman"/>
          <w:bCs/>
          <w:color w:val="auto"/>
          <w:szCs w:val="22"/>
          <w:lang w:val="pt-PT"/>
        </w:rPr>
      </w:pPr>
    </w:p>
    <w:p w14:paraId="12BDDCE3" w14:textId="533F56B9"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Não utilize </w:t>
      </w:r>
      <w:r w:rsidR="00D50CFA">
        <w:rPr>
          <w:rFonts w:cs="Times New Roman"/>
          <w:b/>
          <w:bCs/>
          <w:color w:val="auto"/>
          <w:szCs w:val="22"/>
          <w:lang w:val="pt-PT"/>
        </w:rPr>
        <w:t>Fymskina</w:t>
      </w:r>
    </w:p>
    <w:p w14:paraId="18CFA751" w14:textId="77777777"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b/>
          <w:bCs/>
          <w:color w:val="auto"/>
          <w:szCs w:val="22"/>
          <w:lang w:val="pt-PT"/>
        </w:rPr>
        <w:t xml:space="preserve">Se tem alergia ao ustecinumab </w:t>
      </w:r>
      <w:r w:rsidRPr="00110D6C">
        <w:rPr>
          <w:rFonts w:cs="Times New Roman"/>
          <w:color w:val="auto"/>
          <w:szCs w:val="22"/>
          <w:lang w:val="pt-PT"/>
        </w:rPr>
        <w:t>ou a qualquer outro componente deste medicamento (indicados</w:t>
      </w:r>
      <w:r w:rsidR="00E15739" w:rsidRPr="00110D6C">
        <w:rPr>
          <w:rFonts w:cs="Times New Roman"/>
          <w:color w:val="auto"/>
          <w:szCs w:val="22"/>
          <w:lang w:val="pt-PT"/>
        </w:rPr>
        <w:t xml:space="preserve"> </w:t>
      </w:r>
      <w:r w:rsidRPr="00110D6C">
        <w:rPr>
          <w:rFonts w:cs="Times New Roman"/>
          <w:color w:val="auto"/>
          <w:szCs w:val="22"/>
          <w:lang w:val="pt-PT"/>
        </w:rPr>
        <w:t>na secção 6).</w:t>
      </w:r>
    </w:p>
    <w:p w14:paraId="71528066" w14:textId="77777777"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b/>
          <w:bCs/>
          <w:color w:val="auto"/>
          <w:szCs w:val="22"/>
          <w:lang w:val="pt-PT"/>
        </w:rPr>
        <w:t xml:space="preserve">Se tem uma infeção ativa </w:t>
      </w:r>
      <w:r w:rsidRPr="00110D6C">
        <w:rPr>
          <w:rFonts w:cs="Times New Roman"/>
          <w:color w:val="auto"/>
          <w:szCs w:val="22"/>
          <w:lang w:val="pt-PT"/>
        </w:rPr>
        <w:t>que o seu médico pensa ser importante.</w:t>
      </w:r>
    </w:p>
    <w:p w14:paraId="0514CF2E" w14:textId="77777777" w:rsidR="00E15739" w:rsidRPr="00110D6C" w:rsidRDefault="00E15739" w:rsidP="00A17623">
      <w:pPr>
        <w:widowControl/>
        <w:rPr>
          <w:rFonts w:cs="Times New Roman"/>
          <w:color w:val="auto"/>
          <w:szCs w:val="22"/>
          <w:lang w:val="pt-PT"/>
        </w:rPr>
      </w:pPr>
    </w:p>
    <w:p w14:paraId="0A5CD096" w14:textId="3FEED744"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Se não tem a certeza se alguma das situações acima descritas se aplica a si, fale com o seu médico ou farmacêutico antes de lhe ser administrado </w:t>
      </w:r>
      <w:r w:rsidR="00D50CFA">
        <w:rPr>
          <w:rFonts w:cs="Times New Roman"/>
          <w:color w:val="auto"/>
          <w:szCs w:val="22"/>
          <w:lang w:val="pt-PT"/>
        </w:rPr>
        <w:t>Fymskina</w:t>
      </w:r>
      <w:r w:rsidRPr="00110D6C">
        <w:rPr>
          <w:rFonts w:cs="Times New Roman"/>
          <w:color w:val="auto"/>
          <w:szCs w:val="22"/>
          <w:lang w:val="pt-PT"/>
        </w:rPr>
        <w:t>.</w:t>
      </w:r>
    </w:p>
    <w:p w14:paraId="25BAB8CD" w14:textId="77777777" w:rsidR="00E15739" w:rsidRPr="00110D6C" w:rsidRDefault="00E15739" w:rsidP="00A17623">
      <w:pPr>
        <w:widowControl/>
        <w:rPr>
          <w:rFonts w:cs="Times New Roman"/>
          <w:color w:val="auto"/>
          <w:szCs w:val="22"/>
          <w:lang w:val="pt-PT"/>
        </w:rPr>
      </w:pPr>
    </w:p>
    <w:p w14:paraId="07504DB1" w14:textId="77777777" w:rsidR="0077031F" w:rsidRPr="00110D6C" w:rsidRDefault="00030085" w:rsidP="00A17623">
      <w:pPr>
        <w:widowControl/>
        <w:rPr>
          <w:rFonts w:cs="Times New Roman"/>
          <w:color w:val="auto"/>
          <w:szCs w:val="22"/>
          <w:lang w:val="pt-PT"/>
        </w:rPr>
      </w:pPr>
      <w:bookmarkStart w:id="203" w:name="bookmark342"/>
      <w:r w:rsidRPr="00110D6C">
        <w:rPr>
          <w:rFonts w:cs="Times New Roman"/>
          <w:b/>
          <w:bCs/>
          <w:color w:val="auto"/>
          <w:szCs w:val="22"/>
          <w:lang w:val="pt-PT"/>
        </w:rPr>
        <w:t>Advertências e precauções</w:t>
      </w:r>
      <w:bookmarkEnd w:id="203"/>
    </w:p>
    <w:p w14:paraId="2EC14223" w14:textId="4D74E038"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Fale com o seu médico ou farmacêutico antes de utilizar </w:t>
      </w:r>
      <w:r w:rsidR="00D50CFA">
        <w:rPr>
          <w:rFonts w:cs="Times New Roman"/>
          <w:color w:val="auto"/>
          <w:szCs w:val="22"/>
          <w:lang w:val="pt-PT"/>
        </w:rPr>
        <w:t>Fymskina</w:t>
      </w:r>
      <w:r w:rsidRPr="00110D6C">
        <w:rPr>
          <w:rFonts w:cs="Times New Roman"/>
          <w:color w:val="auto"/>
          <w:szCs w:val="22"/>
          <w:lang w:val="pt-PT"/>
        </w:rPr>
        <w:t xml:space="preserve">. O seu médico avaliará o seu estado de saúde, antes de cada tratamento. Certifique-se que, antes de cada tratamento, informou o seu médico sobre qualquer doença que tenha. Informe igualmente o seu médico se tem estado, recentemente, perto de alguém que possa ter tuberculose. O seu médico irá examiná-lo e fazer um teste para a tuberculose, antes de utilizar </w:t>
      </w:r>
      <w:r w:rsidR="00D50CFA">
        <w:rPr>
          <w:rFonts w:cs="Times New Roman"/>
          <w:color w:val="auto"/>
          <w:szCs w:val="22"/>
          <w:lang w:val="pt-PT"/>
        </w:rPr>
        <w:t>Fymskina</w:t>
      </w:r>
      <w:r w:rsidRPr="00110D6C">
        <w:rPr>
          <w:rFonts w:cs="Times New Roman"/>
          <w:color w:val="auto"/>
          <w:szCs w:val="22"/>
          <w:lang w:val="pt-PT"/>
        </w:rPr>
        <w:t>. Se o seu médico pensar que está em risco de tuberculose, podem ser-lhe receitados medicamentos para a tratar.</w:t>
      </w:r>
    </w:p>
    <w:p w14:paraId="47131374" w14:textId="77777777" w:rsidR="00E15739" w:rsidRPr="00110D6C" w:rsidRDefault="00E15739" w:rsidP="00A17623">
      <w:pPr>
        <w:widowControl/>
        <w:rPr>
          <w:rFonts w:cs="Times New Roman"/>
          <w:bCs/>
          <w:color w:val="auto"/>
          <w:szCs w:val="22"/>
          <w:lang w:val="pt-PT"/>
        </w:rPr>
      </w:pPr>
      <w:bookmarkStart w:id="204" w:name="bookmark344"/>
    </w:p>
    <w:p w14:paraId="41DE21B5"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Atenção aos efeitos indesejáveis graves</w:t>
      </w:r>
      <w:bookmarkEnd w:id="204"/>
    </w:p>
    <w:p w14:paraId="01BFEB0F" w14:textId="560EA11F" w:rsidR="0077031F" w:rsidRPr="00110D6C" w:rsidRDefault="00D50CFA" w:rsidP="00A17623">
      <w:pPr>
        <w:widowControl/>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pode causar efeitos indesejáveis graves, incluindo reações alérgicas e infeções. Deve ter atenção a certos sinais da doença enquanto estiver a tomar </w:t>
      </w:r>
      <w:r>
        <w:rPr>
          <w:rFonts w:cs="Times New Roman"/>
          <w:color w:val="auto"/>
          <w:szCs w:val="22"/>
          <w:lang w:val="pt-PT"/>
        </w:rPr>
        <w:t>Fymskina</w:t>
      </w:r>
      <w:r w:rsidR="00030085" w:rsidRPr="00110D6C">
        <w:rPr>
          <w:rFonts w:cs="Times New Roman"/>
          <w:color w:val="auto"/>
          <w:szCs w:val="22"/>
          <w:lang w:val="pt-PT"/>
        </w:rPr>
        <w:t xml:space="preserve">. Ver “Efeitos indesejáveis graves” na secção </w:t>
      </w:r>
      <w:r w:rsidR="00B910F9" w:rsidRPr="00110D6C">
        <w:rPr>
          <w:rFonts w:cs="Times New Roman"/>
          <w:color w:val="auto"/>
          <w:szCs w:val="22"/>
          <w:lang w:val="pt-PT"/>
        </w:rPr>
        <w:t>4 </w:t>
      </w:r>
      <w:r w:rsidR="00030085" w:rsidRPr="00110D6C">
        <w:rPr>
          <w:rFonts w:cs="Times New Roman"/>
          <w:color w:val="auto"/>
          <w:szCs w:val="22"/>
          <w:lang w:val="pt-PT"/>
        </w:rPr>
        <w:t>para uma lista completa de todos os efeitos indesejáveis.</w:t>
      </w:r>
    </w:p>
    <w:p w14:paraId="3AA94ACF" w14:textId="77777777" w:rsidR="00E15739" w:rsidRPr="00110D6C" w:rsidRDefault="00E15739" w:rsidP="00A17623">
      <w:pPr>
        <w:widowControl/>
        <w:rPr>
          <w:rFonts w:cs="Times New Roman"/>
          <w:bCs/>
          <w:color w:val="auto"/>
          <w:szCs w:val="22"/>
          <w:lang w:val="pt-PT"/>
        </w:rPr>
      </w:pPr>
      <w:bookmarkStart w:id="205" w:name="bookmark346"/>
    </w:p>
    <w:p w14:paraId="0BA7AF10" w14:textId="0A47FE5A"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Antes de utilizar </w:t>
      </w:r>
      <w:r w:rsidR="00D50CFA">
        <w:rPr>
          <w:rFonts w:cs="Times New Roman"/>
          <w:b/>
          <w:bCs/>
          <w:color w:val="auto"/>
          <w:szCs w:val="22"/>
          <w:lang w:val="pt-PT"/>
        </w:rPr>
        <w:t>Fymskina</w:t>
      </w:r>
      <w:r w:rsidRPr="00110D6C">
        <w:rPr>
          <w:rFonts w:cs="Times New Roman"/>
          <w:b/>
          <w:bCs/>
          <w:color w:val="auto"/>
          <w:szCs w:val="22"/>
          <w:lang w:val="pt-PT"/>
        </w:rPr>
        <w:t xml:space="preserve"> informe o seu médico:</w:t>
      </w:r>
      <w:bookmarkEnd w:id="205"/>
    </w:p>
    <w:p w14:paraId="3AF3A459" w14:textId="47A04B6B"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b/>
          <w:bCs/>
          <w:color w:val="auto"/>
          <w:szCs w:val="22"/>
          <w:lang w:val="pt-PT"/>
        </w:rPr>
        <w:t>Se alguma vez teve uma reação alérgica a</w:t>
      </w:r>
      <w:r w:rsidR="00364282">
        <w:rPr>
          <w:rFonts w:cs="Times New Roman"/>
          <w:b/>
          <w:bCs/>
          <w:color w:val="auto"/>
          <w:szCs w:val="22"/>
          <w:lang w:val="pt-PT"/>
        </w:rPr>
        <w:t>o</w:t>
      </w:r>
      <w:r w:rsidRPr="00110D6C">
        <w:rPr>
          <w:rFonts w:cs="Times New Roman"/>
          <w:b/>
          <w:bCs/>
          <w:color w:val="auto"/>
          <w:szCs w:val="22"/>
          <w:lang w:val="pt-PT"/>
        </w:rPr>
        <w:t xml:space="preserve"> </w:t>
      </w:r>
      <w:r w:rsidR="00364282">
        <w:rPr>
          <w:rFonts w:cs="Times New Roman"/>
          <w:b/>
          <w:bCs/>
          <w:color w:val="auto"/>
          <w:szCs w:val="22"/>
          <w:lang w:val="pt-PT"/>
        </w:rPr>
        <w:t>ustecinumab</w:t>
      </w:r>
      <w:r w:rsidRPr="00110D6C">
        <w:rPr>
          <w:rFonts w:cs="Times New Roman"/>
          <w:color w:val="auto"/>
          <w:szCs w:val="22"/>
          <w:lang w:val="pt-PT"/>
        </w:rPr>
        <w:t>. Fale com o seu médico se não tem a</w:t>
      </w:r>
      <w:r w:rsidR="00E15739" w:rsidRPr="00110D6C">
        <w:rPr>
          <w:rFonts w:cs="Times New Roman"/>
          <w:color w:val="auto"/>
          <w:szCs w:val="22"/>
          <w:lang w:val="pt-PT"/>
        </w:rPr>
        <w:t xml:space="preserve"> </w:t>
      </w:r>
      <w:r w:rsidRPr="00110D6C">
        <w:rPr>
          <w:rFonts w:cs="Times New Roman"/>
          <w:color w:val="auto"/>
          <w:szCs w:val="22"/>
          <w:lang w:val="pt-PT"/>
        </w:rPr>
        <w:t>certeza.</w:t>
      </w:r>
    </w:p>
    <w:p w14:paraId="2FF4B244" w14:textId="6B7A253B"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b/>
          <w:bCs/>
          <w:color w:val="auto"/>
          <w:szCs w:val="22"/>
          <w:lang w:val="pt-PT"/>
        </w:rPr>
        <w:t xml:space="preserve">Se alguma vez teve qualquer tipo de cancro – </w:t>
      </w:r>
      <w:r w:rsidRPr="00110D6C">
        <w:rPr>
          <w:rFonts w:cs="Times New Roman"/>
          <w:color w:val="auto"/>
          <w:szCs w:val="22"/>
          <w:lang w:val="pt-PT"/>
        </w:rPr>
        <w:t xml:space="preserve">isto porque imunossupressores como </w:t>
      </w:r>
      <w:r w:rsidR="00D50CFA">
        <w:rPr>
          <w:rFonts w:cs="Times New Roman"/>
          <w:color w:val="auto"/>
          <w:szCs w:val="22"/>
          <w:lang w:val="pt-PT"/>
        </w:rPr>
        <w:t>Fymskina</w:t>
      </w:r>
      <w:r w:rsidR="00E15739" w:rsidRPr="00110D6C">
        <w:rPr>
          <w:rFonts w:cs="Times New Roman"/>
          <w:color w:val="auto"/>
          <w:szCs w:val="22"/>
          <w:lang w:val="pt-PT"/>
        </w:rPr>
        <w:t xml:space="preserve"> </w:t>
      </w:r>
      <w:r w:rsidRPr="00110D6C">
        <w:rPr>
          <w:rFonts w:cs="Times New Roman"/>
          <w:color w:val="auto"/>
          <w:szCs w:val="22"/>
          <w:lang w:val="pt-PT"/>
        </w:rPr>
        <w:t>enfraquecem o sistema imunitário. Esta situação pode aumentar o risco de cancro.</w:t>
      </w:r>
    </w:p>
    <w:p w14:paraId="59679C90" w14:textId="77777777"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b/>
          <w:bCs/>
          <w:color w:val="auto"/>
          <w:szCs w:val="22"/>
          <w:lang w:val="pt-PT"/>
        </w:rPr>
        <w:t>Se alguma vez foi tratado para a psoríase com outros medicamentos biológicos (um</w:t>
      </w:r>
      <w:r w:rsidR="00E15739" w:rsidRPr="00110D6C">
        <w:rPr>
          <w:rFonts w:cs="Times New Roman"/>
          <w:b/>
          <w:bCs/>
          <w:color w:val="auto"/>
          <w:szCs w:val="22"/>
          <w:lang w:val="pt-PT"/>
        </w:rPr>
        <w:t xml:space="preserve"> </w:t>
      </w:r>
      <w:r w:rsidRPr="00110D6C">
        <w:rPr>
          <w:rFonts w:cs="Times New Roman"/>
          <w:b/>
          <w:bCs/>
          <w:color w:val="auto"/>
          <w:szCs w:val="22"/>
          <w:lang w:val="pt-PT"/>
        </w:rPr>
        <w:t xml:space="preserve">medicamento produzido a partir de uma origem biológica e, geralmente, administrado por injeção) – </w:t>
      </w:r>
      <w:r w:rsidRPr="00110D6C">
        <w:rPr>
          <w:rFonts w:cs="Times New Roman"/>
          <w:color w:val="auto"/>
          <w:szCs w:val="22"/>
          <w:lang w:val="pt-PT"/>
        </w:rPr>
        <w:t>o risco de cancro pode ser maior.</w:t>
      </w:r>
    </w:p>
    <w:p w14:paraId="76EE338D" w14:textId="77777777"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b/>
          <w:bCs/>
          <w:color w:val="auto"/>
          <w:szCs w:val="22"/>
          <w:lang w:val="pt-PT"/>
        </w:rPr>
        <w:t>Se tem ou teve recentemente uma infeção</w:t>
      </w:r>
      <w:r w:rsidRPr="00110D6C">
        <w:rPr>
          <w:rFonts w:cs="Times New Roman"/>
          <w:color w:val="auto"/>
          <w:szCs w:val="22"/>
          <w:lang w:val="pt-PT"/>
        </w:rPr>
        <w:t>.</w:t>
      </w:r>
    </w:p>
    <w:p w14:paraId="2B3C9000" w14:textId="77777777"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b/>
          <w:bCs/>
          <w:color w:val="auto"/>
          <w:szCs w:val="22"/>
          <w:lang w:val="pt-PT"/>
        </w:rPr>
        <w:t xml:space="preserve">Se tem lesões novas ou alteradas </w:t>
      </w:r>
      <w:r w:rsidRPr="00110D6C">
        <w:rPr>
          <w:rFonts w:cs="Times New Roman"/>
          <w:color w:val="auto"/>
          <w:szCs w:val="22"/>
          <w:lang w:val="pt-PT"/>
        </w:rPr>
        <w:t>entre áreas da pele com psoríase ou em pele normal.</w:t>
      </w:r>
    </w:p>
    <w:p w14:paraId="4D6D1981" w14:textId="112251A7"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b/>
          <w:bCs/>
          <w:color w:val="auto"/>
          <w:szCs w:val="22"/>
          <w:lang w:val="pt-PT"/>
        </w:rPr>
        <w:t xml:space="preserve">Se alguma vez teve uma reação alérgica à injeção de </w:t>
      </w:r>
      <w:r w:rsidR="00D50CFA">
        <w:rPr>
          <w:rFonts w:cs="Times New Roman"/>
          <w:b/>
          <w:bCs/>
          <w:color w:val="auto"/>
          <w:szCs w:val="22"/>
          <w:lang w:val="pt-PT"/>
        </w:rPr>
        <w:t>Fymskina</w:t>
      </w:r>
      <w:r w:rsidR="00BA4119">
        <w:rPr>
          <w:rFonts w:cs="Times New Roman"/>
          <w:b/>
          <w:bCs/>
          <w:color w:val="auto"/>
          <w:szCs w:val="22"/>
          <w:lang w:val="pt-PT"/>
        </w:rPr>
        <w:t xml:space="preserve">. </w:t>
      </w:r>
      <w:r w:rsidRPr="00110D6C">
        <w:rPr>
          <w:rFonts w:cs="Times New Roman"/>
          <w:color w:val="auto"/>
          <w:szCs w:val="22"/>
          <w:lang w:val="pt-PT"/>
        </w:rPr>
        <w:t xml:space="preserve">Ver “Atenção aos efeitos indesejáveis graves” na secção </w:t>
      </w:r>
      <w:r w:rsidR="00B910F9" w:rsidRPr="00110D6C">
        <w:rPr>
          <w:rFonts w:cs="Times New Roman"/>
          <w:color w:val="auto"/>
          <w:szCs w:val="22"/>
          <w:lang w:val="pt-PT"/>
        </w:rPr>
        <w:t>4 </w:t>
      </w:r>
      <w:r w:rsidRPr="00110D6C">
        <w:rPr>
          <w:rFonts w:cs="Times New Roman"/>
          <w:color w:val="auto"/>
          <w:szCs w:val="22"/>
          <w:lang w:val="pt-PT"/>
        </w:rPr>
        <w:t>para os sinais de uma reação alérgica grave.</w:t>
      </w:r>
    </w:p>
    <w:p w14:paraId="6D784AF8" w14:textId="6CA31DB3" w:rsidR="0077031F" w:rsidRPr="00110D6C" w:rsidRDefault="00030085" w:rsidP="00D74B6E">
      <w:pPr>
        <w:pStyle w:val="Listenabsatz"/>
        <w:widowControl/>
        <w:numPr>
          <w:ilvl w:val="0"/>
          <w:numId w:val="14"/>
        </w:numPr>
        <w:ind w:left="567" w:hanging="567"/>
        <w:rPr>
          <w:rFonts w:cs="Times New Roman"/>
          <w:color w:val="auto"/>
          <w:szCs w:val="22"/>
          <w:lang w:val="pt-PT"/>
        </w:rPr>
      </w:pPr>
      <w:bookmarkStart w:id="206" w:name="bookmark349"/>
      <w:r w:rsidRPr="00110D6C">
        <w:rPr>
          <w:rFonts w:cs="Times New Roman"/>
          <w:b/>
          <w:bCs/>
          <w:color w:val="auto"/>
          <w:szCs w:val="22"/>
          <w:lang w:val="pt-PT"/>
        </w:rPr>
        <w:t xml:space="preserve">Se está a utilizar outro tratamento para a psoríase e/ou artrite psoriática – </w:t>
      </w:r>
      <w:r w:rsidRPr="00110D6C">
        <w:rPr>
          <w:rFonts w:cs="Times New Roman"/>
          <w:color w:val="auto"/>
          <w:szCs w:val="22"/>
          <w:lang w:val="pt-PT"/>
        </w:rPr>
        <w:t>tal como outro</w:t>
      </w:r>
      <w:bookmarkEnd w:id="206"/>
      <w:r w:rsidR="00E15739" w:rsidRPr="00110D6C">
        <w:rPr>
          <w:rFonts w:cs="Times New Roman"/>
          <w:color w:val="auto"/>
          <w:szCs w:val="22"/>
          <w:lang w:val="pt-PT"/>
        </w:rPr>
        <w:t xml:space="preserve"> </w:t>
      </w:r>
      <w:r w:rsidRPr="00110D6C">
        <w:rPr>
          <w:rFonts w:cs="Times New Roman"/>
          <w:color w:val="auto"/>
          <w:szCs w:val="22"/>
          <w:lang w:val="pt-PT"/>
        </w:rPr>
        <w:t xml:space="preserve">imunossupressor ou a fototerapia (quando o seu corpo é tratado com uma luz ultravioleta (UV) específica). Estes tratamentos podem também enfraquecer o sistema imunitário. O uso destes tratamentos em conjunto com </w:t>
      </w:r>
      <w:r w:rsidR="00D50CFA">
        <w:rPr>
          <w:rFonts w:cs="Times New Roman"/>
          <w:color w:val="auto"/>
          <w:szCs w:val="22"/>
          <w:lang w:val="pt-PT"/>
        </w:rPr>
        <w:t>Fymskina</w:t>
      </w:r>
      <w:r w:rsidRPr="00110D6C">
        <w:rPr>
          <w:rFonts w:cs="Times New Roman"/>
          <w:color w:val="auto"/>
          <w:szCs w:val="22"/>
          <w:lang w:val="pt-PT"/>
        </w:rPr>
        <w:t xml:space="preserve"> não foi estudado. Contudo, é possível que possa aumentar o risco de doenças relacionadas com um sistema imunitário enfraquecido.</w:t>
      </w:r>
    </w:p>
    <w:p w14:paraId="3AE0F585" w14:textId="48B75868"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b/>
          <w:bCs/>
          <w:color w:val="auto"/>
          <w:szCs w:val="22"/>
          <w:lang w:val="pt-PT"/>
        </w:rPr>
        <w:lastRenderedPageBreak/>
        <w:t xml:space="preserve">Se está a utilizar ou já utilizou injeções para tratar alergias – </w:t>
      </w:r>
      <w:r w:rsidRPr="00110D6C">
        <w:rPr>
          <w:rFonts w:cs="Times New Roman"/>
          <w:color w:val="auto"/>
          <w:szCs w:val="22"/>
          <w:lang w:val="pt-PT"/>
        </w:rPr>
        <w:t xml:space="preserve">não se sabe se </w:t>
      </w:r>
      <w:r w:rsidR="00D50CFA">
        <w:rPr>
          <w:rFonts w:cs="Times New Roman"/>
          <w:color w:val="auto"/>
          <w:szCs w:val="22"/>
          <w:lang w:val="pt-PT"/>
        </w:rPr>
        <w:t>Fymskina</w:t>
      </w:r>
      <w:r w:rsidRPr="00110D6C">
        <w:rPr>
          <w:rFonts w:cs="Times New Roman"/>
          <w:color w:val="auto"/>
          <w:szCs w:val="22"/>
          <w:lang w:val="pt-PT"/>
        </w:rPr>
        <w:t xml:space="preserve"> pode</w:t>
      </w:r>
      <w:r w:rsidR="00E15739" w:rsidRPr="00110D6C">
        <w:rPr>
          <w:rFonts w:cs="Times New Roman"/>
          <w:color w:val="auto"/>
          <w:szCs w:val="22"/>
          <w:lang w:val="pt-PT"/>
        </w:rPr>
        <w:t xml:space="preserve"> </w:t>
      </w:r>
      <w:r w:rsidRPr="00110D6C">
        <w:rPr>
          <w:rFonts w:cs="Times New Roman"/>
          <w:color w:val="auto"/>
          <w:szCs w:val="22"/>
          <w:lang w:val="pt-PT"/>
        </w:rPr>
        <w:t>afetar estes tratamentos.</w:t>
      </w:r>
    </w:p>
    <w:p w14:paraId="6337B8AB" w14:textId="77777777"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b/>
          <w:bCs/>
          <w:color w:val="auto"/>
          <w:szCs w:val="22"/>
          <w:lang w:val="pt-PT"/>
        </w:rPr>
        <w:t>Se tiver 6</w:t>
      </w:r>
      <w:r w:rsidR="00B910F9" w:rsidRPr="00110D6C">
        <w:rPr>
          <w:rFonts w:cs="Times New Roman"/>
          <w:b/>
          <w:bCs/>
          <w:color w:val="auto"/>
          <w:szCs w:val="22"/>
          <w:lang w:val="pt-PT"/>
        </w:rPr>
        <w:t>5 </w:t>
      </w:r>
      <w:r w:rsidRPr="00110D6C">
        <w:rPr>
          <w:rFonts w:cs="Times New Roman"/>
          <w:b/>
          <w:bCs/>
          <w:color w:val="auto"/>
          <w:szCs w:val="22"/>
          <w:lang w:val="pt-PT"/>
        </w:rPr>
        <w:t xml:space="preserve">anos de idade ou mais </w:t>
      </w:r>
      <w:r w:rsidRPr="00110D6C">
        <w:rPr>
          <w:rFonts w:cs="Times New Roman"/>
          <w:color w:val="auto"/>
          <w:szCs w:val="22"/>
          <w:lang w:val="pt-PT"/>
        </w:rPr>
        <w:t>– pode estar mais suscetível a ter infeções.</w:t>
      </w:r>
    </w:p>
    <w:p w14:paraId="6BB471A7" w14:textId="77777777" w:rsidR="00E15739" w:rsidRPr="00110D6C" w:rsidRDefault="00E15739" w:rsidP="00A17623">
      <w:pPr>
        <w:widowControl/>
        <w:rPr>
          <w:rFonts w:cs="Times New Roman"/>
          <w:color w:val="auto"/>
          <w:szCs w:val="22"/>
          <w:lang w:val="pt-PT"/>
        </w:rPr>
      </w:pPr>
    </w:p>
    <w:p w14:paraId="04790557" w14:textId="3CC77BB4"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Se não tem a certeza se algum dos pontos anteriores se aplica ao seu caso, fale com o seu médico ou farmacêutico antes de utilizar </w:t>
      </w:r>
      <w:r w:rsidR="00D50CFA">
        <w:rPr>
          <w:rFonts w:cs="Times New Roman"/>
          <w:color w:val="auto"/>
          <w:szCs w:val="22"/>
          <w:lang w:val="pt-PT"/>
        </w:rPr>
        <w:t>Fymskina</w:t>
      </w:r>
      <w:r w:rsidRPr="00110D6C">
        <w:rPr>
          <w:rFonts w:cs="Times New Roman"/>
          <w:color w:val="auto"/>
          <w:szCs w:val="22"/>
          <w:lang w:val="pt-PT"/>
        </w:rPr>
        <w:t>.</w:t>
      </w:r>
    </w:p>
    <w:p w14:paraId="31CE7CD9" w14:textId="77777777" w:rsidR="00E15739" w:rsidRPr="00110D6C" w:rsidRDefault="00E15739" w:rsidP="00A17623">
      <w:pPr>
        <w:widowControl/>
        <w:rPr>
          <w:rFonts w:cs="Times New Roman"/>
          <w:color w:val="auto"/>
          <w:szCs w:val="22"/>
          <w:lang w:val="pt-PT"/>
        </w:rPr>
      </w:pPr>
    </w:p>
    <w:p w14:paraId="59986B0B"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Alguns doentes apresentaram reações do tipo lúpus, incluindo lúpus cutâneo ou síndrome do tipo lúpus, durante o tratamento com ustecinumab. Fale com o seu médico imediatamente se apresentar uma erupção cutânea avermelhada, saliente e descamativa, por vezes com um rebordo mais escuro, em áreas da pele que estão expostas ao sol, ou se tiver dores articulares.</w:t>
      </w:r>
    </w:p>
    <w:p w14:paraId="474F7982" w14:textId="77777777" w:rsidR="00E15739" w:rsidRPr="00110D6C" w:rsidRDefault="00E15739" w:rsidP="00A17623">
      <w:pPr>
        <w:widowControl/>
        <w:rPr>
          <w:rFonts w:cs="Times New Roman"/>
          <w:bCs/>
          <w:color w:val="auto"/>
          <w:szCs w:val="22"/>
          <w:lang w:val="pt-PT"/>
        </w:rPr>
      </w:pPr>
      <w:bookmarkStart w:id="207" w:name="bookmark351"/>
    </w:p>
    <w:p w14:paraId="4EF55B60"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Ataque cardíaco e acidente vascular cerebral (AVC)</w:t>
      </w:r>
      <w:bookmarkEnd w:id="207"/>
    </w:p>
    <w:p w14:paraId="35BF41F9" w14:textId="4BE16DC6"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Foram observados casos de ataque cardíaco e AVC num estudo em doentes com psoríase tratados com </w:t>
      </w:r>
      <w:r w:rsidR="00364282" w:rsidRPr="00110D6C">
        <w:rPr>
          <w:rFonts w:cs="Times New Roman"/>
          <w:color w:val="auto"/>
          <w:szCs w:val="22"/>
          <w:lang w:val="pt-PT"/>
        </w:rPr>
        <w:t>ustecinumab</w:t>
      </w:r>
      <w:r w:rsidRPr="00110D6C">
        <w:rPr>
          <w:rFonts w:cs="Times New Roman"/>
          <w:color w:val="auto"/>
          <w:szCs w:val="22"/>
          <w:lang w:val="pt-PT"/>
        </w:rPr>
        <w:t>. O seu médico irá verificar regularmente os seus fatores de risco quanto a doença cardíaca e AVC, para garantir que são tratados adequadamente. Procure assistência médica imediatamente se desenvolver dores no peito, fraqueza ou sensação anormal num dos lados do corpo, face descaída ou anomalias visuais ou da fala.</w:t>
      </w:r>
    </w:p>
    <w:p w14:paraId="0552CDF8" w14:textId="77777777" w:rsidR="00E15739" w:rsidRPr="00110D6C" w:rsidRDefault="00E15739" w:rsidP="00A17623">
      <w:pPr>
        <w:widowControl/>
        <w:rPr>
          <w:rFonts w:cs="Times New Roman"/>
          <w:bCs/>
          <w:color w:val="auto"/>
          <w:szCs w:val="22"/>
          <w:lang w:val="pt-PT"/>
        </w:rPr>
      </w:pPr>
      <w:bookmarkStart w:id="208" w:name="bookmark353"/>
    </w:p>
    <w:p w14:paraId="54B454C5"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Crianças e adolescentes</w:t>
      </w:r>
      <w:bookmarkEnd w:id="208"/>
    </w:p>
    <w:p w14:paraId="2524F3D1" w14:textId="48257B0D" w:rsidR="0077031F" w:rsidRPr="00110D6C" w:rsidRDefault="00D50CFA" w:rsidP="00A17623">
      <w:pPr>
        <w:widowControl/>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não é recomendado para utilização em crianças com psoríase com idade inferior a </w:t>
      </w:r>
      <w:r w:rsidR="00B910F9" w:rsidRPr="00110D6C">
        <w:rPr>
          <w:rFonts w:cs="Times New Roman"/>
          <w:color w:val="auto"/>
          <w:szCs w:val="22"/>
          <w:lang w:val="pt-PT"/>
        </w:rPr>
        <w:t>6 </w:t>
      </w:r>
      <w:r w:rsidR="00030085" w:rsidRPr="00110D6C">
        <w:rPr>
          <w:rFonts w:cs="Times New Roman"/>
          <w:color w:val="auto"/>
          <w:szCs w:val="22"/>
          <w:lang w:val="pt-PT"/>
        </w:rPr>
        <w:t>anos, ou para utilização em crianças com idade inferior a 1</w:t>
      </w:r>
      <w:r w:rsidR="00B910F9" w:rsidRPr="00110D6C">
        <w:rPr>
          <w:rFonts w:cs="Times New Roman"/>
          <w:color w:val="auto"/>
          <w:szCs w:val="22"/>
          <w:lang w:val="pt-PT"/>
        </w:rPr>
        <w:t>8 </w:t>
      </w:r>
      <w:r w:rsidR="00030085" w:rsidRPr="00110D6C">
        <w:rPr>
          <w:rFonts w:cs="Times New Roman"/>
          <w:color w:val="auto"/>
          <w:szCs w:val="22"/>
          <w:lang w:val="pt-PT"/>
        </w:rPr>
        <w:t>anos com artrite psoriática</w:t>
      </w:r>
      <w:r w:rsidR="004A7F8C">
        <w:rPr>
          <w:rFonts w:cs="Times New Roman"/>
          <w:color w:val="auto"/>
          <w:szCs w:val="22"/>
          <w:lang w:val="pt-PT"/>
        </w:rPr>
        <w:t xml:space="preserve"> ou</w:t>
      </w:r>
      <w:r w:rsidR="00030085" w:rsidRPr="00110D6C">
        <w:rPr>
          <w:rFonts w:cs="Times New Roman"/>
          <w:color w:val="auto"/>
          <w:szCs w:val="22"/>
          <w:lang w:val="pt-PT"/>
        </w:rPr>
        <w:t xml:space="preserve"> doença de Crohn, porque não foi estudado nesse grupo etário.</w:t>
      </w:r>
    </w:p>
    <w:p w14:paraId="15AA6222" w14:textId="77777777" w:rsidR="00E15739" w:rsidRPr="00110D6C" w:rsidRDefault="00E15739" w:rsidP="00A17623">
      <w:pPr>
        <w:widowControl/>
        <w:rPr>
          <w:rFonts w:cs="Times New Roman"/>
          <w:bCs/>
          <w:color w:val="auto"/>
          <w:szCs w:val="22"/>
          <w:lang w:val="pt-PT"/>
        </w:rPr>
      </w:pPr>
      <w:bookmarkStart w:id="209" w:name="bookmark355"/>
    </w:p>
    <w:p w14:paraId="44837796" w14:textId="1EF7700D"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Outros medicamentos, vacinas e </w:t>
      </w:r>
      <w:bookmarkEnd w:id="209"/>
      <w:r w:rsidR="00D50CFA">
        <w:rPr>
          <w:rFonts w:cs="Times New Roman"/>
          <w:b/>
          <w:bCs/>
          <w:color w:val="auto"/>
          <w:szCs w:val="22"/>
          <w:lang w:val="pt-PT"/>
        </w:rPr>
        <w:t>Fymskina</w:t>
      </w:r>
    </w:p>
    <w:p w14:paraId="028F890B"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Informe o seu médico ou farmacêutico:</w:t>
      </w:r>
    </w:p>
    <w:p w14:paraId="57890C6A" w14:textId="77777777"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color w:val="auto"/>
          <w:szCs w:val="22"/>
          <w:lang w:val="pt-PT"/>
        </w:rPr>
        <w:t>Se estiver a tomar, tiver tomado recentemente ou vier a tomar outros medicamentos.</w:t>
      </w:r>
    </w:p>
    <w:p w14:paraId="3FAE18CD" w14:textId="5D317BB9"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color w:val="auto"/>
          <w:szCs w:val="22"/>
          <w:lang w:val="pt-PT"/>
        </w:rPr>
        <w:t>Se foi recentemente ou vai ser vacinado. Alguns tipos de vacinas (vacinas vivas) não devem ser</w:t>
      </w:r>
      <w:r w:rsidR="00E15739" w:rsidRPr="00110D6C">
        <w:rPr>
          <w:rFonts w:cs="Times New Roman"/>
          <w:color w:val="auto"/>
          <w:szCs w:val="22"/>
          <w:lang w:val="pt-PT"/>
        </w:rPr>
        <w:t xml:space="preserve"> </w:t>
      </w:r>
      <w:r w:rsidRPr="00110D6C">
        <w:rPr>
          <w:rFonts w:cs="Times New Roman"/>
          <w:color w:val="auto"/>
          <w:szCs w:val="22"/>
          <w:lang w:val="pt-PT"/>
        </w:rPr>
        <w:t xml:space="preserve">administradas enquanto estiver em tratamento com </w:t>
      </w:r>
      <w:r w:rsidR="00D50CFA">
        <w:rPr>
          <w:rFonts w:cs="Times New Roman"/>
          <w:color w:val="auto"/>
          <w:szCs w:val="22"/>
          <w:lang w:val="pt-PT"/>
        </w:rPr>
        <w:t>Fymskina</w:t>
      </w:r>
      <w:r w:rsidRPr="00110D6C">
        <w:rPr>
          <w:rFonts w:cs="Times New Roman"/>
          <w:color w:val="auto"/>
          <w:szCs w:val="22"/>
          <w:lang w:val="pt-PT"/>
        </w:rPr>
        <w:t>.</w:t>
      </w:r>
    </w:p>
    <w:p w14:paraId="14FA363C" w14:textId="60EE82AE"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color w:val="auto"/>
          <w:szCs w:val="22"/>
          <w:lang w:val="pt-PT"/>
        </w:rPr>
        <w:t xml:space="preserve">Se tiver recebido </w:t>
      </w:r>
      <w:r w:rsidR="00D50CFA">
        <w:rPr>
          <w:rFonts w:cs="Times New Roman"/>
          <w:color w:val="auto"/>
          <w:szCs w:val="22"/>
          <w:lang w:val="pt-PT"/>
        </w:rPr>
        <w:t>Fymskina</w:t>
      </w:r>
      <w:r w:rsidRPr="00110D6C">
        <w:rPr>
          <w:rFonts w:cs="Times New Roman"/>
          <w:color w:val="auto"/>
          <w:szCs w:val="22"/>
          <w:lang w:val="pt-PT"/>
        </w:rPr>
        <w:t xml:space="preserve"> durante a gravidez, informe o médico do seu bebé sobre o seu</w:t>
      </w:r>
      <w:r w:rsidR="00E15739" w:rsidRPr="00110D6C">
        <w:rPr>
          <w:rFonts w:cs="Times New Roman"/>
          <w:color w:val="auto"/>
          <w:szCs w:val="22"/>
          <w:lang w:val="pt-PT"/>
        </w:rPr>
        <w:t xml:space="preserve"> </w:t>
      </w:r>
      <w:r w:rsidRPr="00110D6C">
        <w:rPr>
          <w:rFonts w:cs="Times New Roman"/>
          <w:color w:val="auto"/>
          <w:szCs w:val="22"/>
          <w:lang w:val="pt-PT"/>
        </w:rPr>
        <w:t xml:space="preserve">tratamento com </w:t>
      </w:r>
      <w:r w:rsidR="00D50CFA">
        <w:rPr>
          <w:rFonts w:cs="Times New Roman"/>
          <w:color w:val="auto"/>
          <w:szCs w:val="22"/>
          <w:lang w:val="pt-PT"/>
        </w:rPr>
        <w:t>Fymskina</w:t>
      </w:r>
      <w:r w:rsidRPr="00110D6C">
        <w:rPr>
          <w:rFonts w:cs="Times New Roman"/>
          <w:color w:val="auto"/>
          <w:szCs w:val="22"/>
          <w:lang w:val="pt-PT"/>
        </w:rPr>
        <w:t xml:space="preserve"> antes de o bebé receber qualquer vacina, incluindo vacinas vivas, tais como a vacina BCG (utilizada para prevenir a tuberculose). As vacinas vivas não são recomendadas para o seu bebé nos primeiros </w:t>
      </w:r>
      <w:r w:rsidR="004A7F8C">
        <w:rPr>
          <w:rFonts w:cs="Times New Roman"/>
          <w:color w:val="auto"/>
          <w:szCs w:val="22"/>
          <w:lang w:val="pt-PT"/>
        </w:rPr>
        <w:t>doze</w:t>
      </w:r>
      <w:r w:rsidR="004A7F8C" w:rsidRPr="00110D6C">
        <w:rPr>
          <w:rFonts w:cs="Times New Roman"/>
          <w:color w:val="auto"/>
          <w:szCs w:val="22"/>
          <w:lang w:val="pt-PT"/>
        </w:rPr>
        <w:t xml:space="preserve"> </w:t>
      </w:r>
      <w:r w:rsidRPr="00110D6C">
        <w:rPr>
          <w:rFonts w:cs="Times New Roman"/>
          <w:color w:val="auto"/>
          <w:szCs w:val="22"/>
          <w:lang w:val="pt-PT"/>
        </w:rPr>
        <w:t xml:space="preserve">meses após o nascimento se tiver recebido </w:t>
      </w:r>
      <w:r w:rsidR="00D50CFA">
        <w:rPr>
          <w:rFonts w:cs="Times New Roman"/>
          <w:color w:val="auto"/>
          <w:szCs w:val="22"/>
          <w:lang w:val="pt-PT"/>
        </w:rPr>
        <w:t>Fymskina</w:t>
      </w:r>
      <w:r w:rsidRPr="00110D6C">
        <w:rPr>
          <w:rFonts w:cs="Times New Roman"/>
          <w:color w:val="auto"/>
          <w:szCs w:val="22"/>
          <w:lang w:val="pt-PT"/>
        </w:rPr>
        <w:t xml:space="preserve"> durante a gravidez, exceto se o médico do seu bebé recomendar o contrário.</w:t>
      </w:r>
    </w:p>
    <w:p w14:paraId="5DFF5364" w14:textId="77777777" w:rsidR="00E15739" w:rsidRPr="00110D6C" w:rsidRDefault="00E15739" w:rsidP="00A17623">
      <w:pPr>
        <w:widowControl/>
        <w:rPr>
          <w:rFonts w:cs="Times New Roman"/>
          <w:bCs/>
          <w:color w:val="auto"/>
          <w:szCs w:val="22"/>
          <w:lang w:val="pt-PT"/>
        </w:rPr>
      </w:pPr>
      <w:bookmarkStart w:id="210" w:name="bookmark357"/>
    </w:p>
    <w:p w14:paraId="272F1AFE"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Gravidez e aleitamento</w:t>
      </w:r>
      <w:bookmarkEnd w:id="210"/>
    </w:p>
    <w:p w14:paraId="3521F2FC" w14:textId="77777777" w:rsidR="00AB1957" w:rsidRDefault="00AB1957" w:rsidP="00AB1957">
      <w:pPr>
        <w:pStyle w:val="Endnotentext"/>
        <w:numPr>
          <w:ilvl w:val="1"/>
          <w:numId w:val="23"/>
        </w:numPr>
        <w:ind w:left="567" w:hanging="567"/>
      </w:pPr>
      <w:r>
        <w:t>S</w:t>
      </w:r>
      <w:r w:rsidRPr="00C4648D">
        <w:t>e está grávida, se pensa estar grávida ou planeia engravidar</w:t>
      </w:r>
      <w:r>
        <w:t>, peça aconselhamento ao seu médico antes de tomar este medicamento.</w:t>
      </w:r>
    </w:p>
    <w:p w14:paraId="72736CA2" w14:textId="77777777" w:rsidR="00AB1957" w:rsidRDefault="00AB1957" w:rsidP="00AB1957">
      <w:pPr>
        <w:pStyle w:val="Endnotentext"/>
        <w:numPr>
          <w:ilvl w:val="1"/>
          <w:numId w:val="23"/>
        </w:numPr>
        <w:ind w:left="567" w:hanging="567"/>
      </w:pPr>
      <w:r>
        <w:t>Não foi observado um risco aumentado de defeitos à nascença em bebés expostos ao ustecinumab no útero. No entanto, existe experiência limitada com ustecinumab em mulheres grávidas</w:t>
      </w:r>
      <w:r w:rsidRPr="00DB3A9F">
        <w:t xml:space="preserve">. É, por isso, preferível evitar a utilização de </w:t>
      </w:r>
      <w:r>
        <w:t>Fymskina</w:t>
      </w:r>
      <w:r w:rsidRPr="00DB3A9F">
        <w:t xml:space="preserve"> na gravidez.</w:t>
      </w:r>
    </w:p>
    <w:p w14:paraId="552B38D2" w14:textId="2ACE8A55"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color w:val="auto"/>
          <w:szCs w:val="22"/>
          <w:lang w:val="pt-PT"/>
        </w:rPr>
        <w:t xml:space="preserve">Se é uma mulher em risco de engravidar, é aconselhada a evitar ficar grávida e deverá utilizar um método contracetivo durante o tratamento com </w:t>
      </w:r>
      <w:r w:rsidR="00D50CFA">
        <w:rPr>
          <w:rFonts w:cs="Times New Roman"/>
          <w:color w:val="auto"/>
          <w:szCs w:val="22"/>
          <w:lang w:val="pt-PT"/>
        </w:rPr>
        <w:t>Fymskina</w:t>
      </w:r>
      <w:r w:rsidRPr="00110D6C">
        <w:rPr>
          <w:rFonts w:cs="Times New Roman"/>
          <w:color w:val="auto"/>
          <w:szCs w:val="22"/>
          <w:lang w:val="pt-PT"/>
        </w:rPr>
        <w:t xml:space="preserve"> e até 1</w:t>
      </w:r>
      <w:r w:rsidR="00B910F9" w:rsidRPr="00110D6C">
        <w:rPr>
          <w:rFonts w:cs="Times New Roman"/>
          <w:color w:val="auto"/>
          <w:szCs w:val="22"/>
          <w:lang w:val="pt-PT"/>
        </w:rPr>
        <w:t>5 </w:t>
      </w:r>
      <w:r w:rsidRPr="00110D6C">
        <w:rPr>
          <w:rFonts w:cs="Times New Roman"/>
          <w:color w:val="auto"/>
          <w:szCs w:val="22"/>
          <w:lang w:val="pt-PT"/>
        </w:rPr>
        <w:t xml:space="preserve">semanas após a última administração de </w:t>
      </w:r>
      <w:r w:rsidR="00D50CFA">
        <w:rPr>
          <w:rFonts w:cs="Times New Roman"/>
          <w:color w:val="auto"/>
          <w:szCs w:val="22"/>
          <w:lang w:val="pt-PT"/>
        </w:rPr>
        <w:t>Fymskina</w:t>
      </w:r>
      <w:r w:rsidRPr="00110D6C">
        <w:rPr>
          <w:rFonts w:cs="Times New Roman"/>
          <w:color w:val="auto"/>
          <w:szCs w:val="22"/>
          <w:lang w:val="pt-PT"/>
        </w:rPr>
        <w:t>.</w:t>
      </w:r>
    </w:p>
    <w:p w14:paraId="1EF77625" w14:textId="5349B20A" w:rsidR="0077031F" w:rsidRPr="00110D6C" w:rsidRDefault="00342AAE" w:rsidP="00D74B6E">
      <w:pPr>
        <w:pStyle w:val="Listenabsatz"/>
        <w:widowControl/>
        <w:numPr>
          <w:ilvl w:val="0"/>
          <w:numId w:val="14"/>
        </w:numPr>
        <w:ind w:left="567" w:hanging="567"/>
        <w:rPr>
          <w:rFonts w:cs="Times New Roman"/>
          <w:color w:val="auto"/>
          <w:szCs w:val="22"/>
          <w:lang w:val="pt-PT"/>
        </w:rPr>
      </w:pPr>
      <w:r>
        <w:rPr>
          <w:rFonts w:cs="Times New Roman"/>
          <w:color w:val="auto"/>
          <w:szCs w:val="22"/>
          <w:lang w:val="pt-PT"/>
        </w:rPr>
        <w:t xml:space="preserve">O </w:t>
      </w:r>
      <w:r w:rsidRPr="00110D6C">
        <w:rPr>
          <w:rFonts w:cs="Times New Roman"/>
          <w:color w:val="auto"/>
          <w:szCs w:val="22"/>
          <w:lang w:val="pt-PT"/>
        </w:rPr>
        <w:t>ustecinumab</w:t>
      </w:r>
      <w:r w:rsidR="00030085" w:rsidRPr="00110D6C">
        <w:rPr>
          <w:rFonts w:cs="Times New Roman"/>
          <w:color w:val="auto"/>
          <w:szCs w:val="22"/>
          <w:lang w:val="pt-PT"/>
        </w:rPr>
        <w:t xml:space="preserve"> pode passar através da placenta para o feto. Se tiver recebido </w:t>
      </w:r>
      <w:r w:rsidR="00D50CFA">
        <w:rPr>
          <w:rFonts w:cs="Times New Roman"/>
          <w:color w:val="auto"/>
          <w:szCs w:val="22"/>
          <w:lang w:val="pt-PT"/>
        </w:rPr>
        <w:t>Fymskina</w:t>
      </w:r>
      <w:r w:rsidR="00030085" w:rsidRPr="00110D6C">
        <w:rPr>
          <w:rFonts w:cs="Times New Roman"/>
          <w:color w:val="auto"/>
          <w:szCs w:val="22"/>
          <w:lang w:val="pt-PT"/>
        </w:rPr>
        <w:t xml:space="preserve"> durante a sua</w:t>
      </w:r>
      <w:r w:rsidR="00E15739" w:rsidRPr="00110D6C">
        <w:rPr>
          <w:rFonts w:cs="Times New Roman"/>
          <w:color w:val="auto"/>
          <w:szCs w:val="22"/>
          <w:lang w:val="pt-PT"/>
        </w:rPr>
        <w:t xml:space="preserve"> </w:t>
      </w:r>
      <w:r w:rsidR="00030085" w:rsidRPr="00110D6C">
        <w:rPr>
          <w:rFonts w:cs="Times New Roman"/>
          <w:color w:val="auto"/>
          <w:szCs w:val="22"/>
          <w:lang w:val="pt-PT"/>
        </w:rPr>
        <w:t>gravidez, o seu bebé poderá ter um maior risco de sofrer uma infeção.</w:t>
      </w:r>
    </w:p>
    <w:p w14:paraId="167C20D1" w14:textId="391828B3"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color w:val="auto"/>
          <w:szCs w:val="22"/>
          <w:lang w:val="pt-PT"/>
        </w:rPr>
        <w:t>É importante que diga aos médicos do seu bebé e a outros profissionais de saúde se tiver</w:t>
      </w:r>
      <w:r w:rsidR="00E15739" w:rsidRPr="00110D6C">
        <w:rPr>
          <w:rFonts w:cs="Times New Roman"/>
          <w:color w:val="auto"/>
          <w:szCs w:val="22"/>
          <w:lang w:val="pt-PT"/>
        </w:rPr>
        <w:t xml:space="preserve"> </w:t>
      </w:r>
      <w:r w:rsidRPr="00110D6C">
        <w:rPr>
          <w:rFonts w:cs="Times New Roman"/>
          <w:color w:val="auto"/>
          <w:szCs w:val="22"/>
          <w:lang w:val="pt-PT"/>
        </w:rPr>
        <w:t xml:space="preserve">recebido </w:t>
      </w:r>
      <w:r w:rsidR="00D50CFA">
        <w:rPr>
          <w:rFonts w:cs="Times New Roman"/>
          <w:color w:val="auto"/>
          <w:szCs w:val="22"/>
          <w:lang w:val="pt-PT"/>
        </w:rPr>
        <w:t>Fymskina</w:t>
      </w:r>
      <w:r w:rsidRPr="00110D6C">
        <w:rPr>
          <w:rFonts w:cs="Times New Roman"/>
          <w:color w:val="auto"/>
          <w:szCs w:val="22"/>
          <w:lang w:val="pt-PT"/>
        </w:rPr>
        <w:t xml:space="preserve"> durante a sua gravidez antes de o bebé receber qualquer vacina. As vacinas vivas, tais como a vacina BCG (utilizada para prevenir a tuberculose) não são recomendadas para o seu bebé nos primeiros </w:t>
      </w:r>
      <w:r w:rsidR="004A7F8C">
        <w:rPr>
          <w:rFonts w:cs="Times New Roman"/>
          <w:color w:val="auto"/>
          <w:szCs w:val="22"/>
          <w:lang w:val="pt-PT"/>
        </w:rPr>
        <w:t>doze</w:t>
      </w:r>
      <w:r w:rsidRPr="00110D6C">
        <w:rPr>
          <w:rFonts w:cs="Times New Roman"/>
          <w:color w:val="auto"/>
          <w:szCs w:val="22"/>
          <w:lang w:val="pt-PT"/>
        </w:rPr>
        <w:t xml:space="preserve"> meses após o nascimento se tiver recebido </w:t>
      </w:r>
      <w:r w:rsidR="00D50CFA">
        <w:rPr>
          <w:rFonts w:cs="Times New Roman"/>
          <w:color w:val="auto"/>
          <w:szCs w:val="22"/>
          <w:lang w:val="pt-PT"/>
        </w:rPr>
        <w:t>Fymskina</w:t>
      </w:r>
      <w:r w:rsidRPr="00110D6C">
        <w:rPr>
          <w:rFonts w:cs="Times New Roman"/>
          <w:color w:val="auto"/>
          <w:szCs w:val="22"/>
          <w:lang w:val="pt-PT"/>
        </w:rPr>
        <w:t xml:space="preserve"> durante a gravidez, exceto se o médico do seu bebé recomendar o contrário.</w:t>
      </w:r>
    </w:p>
    <w:p w14:paraId="3303AE52" w14:textId="3BC86659" w:rsidR="0077031F" w:rsidRPr="00110D6C" w:rsidRDefault="00030085" w:rsidP="00D74B6E">
      <w:pPr>
        <w:pStyle w:val="Listenabsatz"/>
        <w:widowControl/>
        <w:numPr>
          <w:ilvl w:val="0"/>
          <w:numId w:val="14"/>
        </w:numPr>
        <w:ind w:left="567" w:hanging="567"/>
        <w:rPr>
          <w:rFonts w:cs="Times New Roman"/>
          <w:color w:val="auto"/>
          <w:szCs w:val="22"/>
          <w:lang w:val="pt-PT"/>
        </w:rPr>
      </w:pPr>
      <w:r w:rsidRPr="00110D6C">
        <w:rPr>
          <w:rFonts w:cs="Times New Roman"/>
          <w:color w:val="auto"/>
          <w:szCs w:val="22"/>
          <w:lang w:val="pt-PT"/>
        </w:rPr>
        <w:t>O ustecinumab pode passar para o leite materno em quantidades muito reduzidas. Fale com o</w:t>
      </w:r>
      <w:r w:rsidR="00E15739" w:rsidRPr="00110D6C">
        <w:rPr>
          <w:rFonts w:cs="Times New Roman"/>
          <w:color w:val="auto"/>
          <w:szCs w:val="22"/>
          <w:lang w:val="pt-PT"/>
        </w:rPr>
        <w:t xml:space="preserve"> </w:t>
      </w:r>
      <w:r w:rsidRPr="00110D6C">
        <w:rPr>
          <w:rFonts w:cs="Times New Roman"/>
          <w:color w:val="auto"/>
          <w:szCs w:val="22"/>
          <w:lang w:val="pt-PT"/>
        </w:rPr>
        <w:t xml:space="preserve">seu médico se está a amamentar ou se planeia amamentar. Você e o seu médico devem decidir se deve amamentar ou utilizar </w:t>
      </w:r>
      <w:r w:rsidR="00D50CFA">
        <w:rPr>
          <w:rFonts w:cs="Times New Roman"/>
          <w:color w:val="auto"/>
          <w:szCs w:val="22"/>
          <w:lang w:val="pt-PT"/>
        </w:rPr>
        <w:t>Fymskina</w:t>
      </w:r>
      <w:r w:rsidRPr="00110D6C">
        <w:rPr>
          <w:rFonts w:cs="Times New Roman"/>
          <w:color w:val="auto"/>
          <w:szCs w:val="22"/>
          <w:lang w:val="pt-PT"/>
        </w:rPr>
        <w:t xml:space="preserve"> - não faça ambos.</w:t>
      </w:r>
    </w:p>
    <w:p w14:paraId="2F4342B4" w14:textId="77777777" w:rsidR="00E15739" w:rsidRPr="00110D6C" w:rsidRDefault="00E15739" w:rsidP="00A17623">
      <w:pPr>
        <w:widowControl/>
        <w:rPr>
          <w:rFonts w:cs="Times New Roman"/>
          <w:bCs/>
          <w:color w:val="auto"/>
          <w:szCs w:val="22"/>
          <w:lang w:val="pt-PT"/>
        </w:rPr>
      </w:pPr>
      <w:bookmarkStart w:id="211" w:name="bookmark359"/>
    </w:p>
    <w:p w14:paraId="4262AEBC"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Condução de veículos e utilização de máquinas</w:t>
      </w:r>
      <w:bookmarkEnd w:id="211"/>
    </w:p>
    <w:p w14:paraId="5ED636BD" w14:textId="120B37CE" w:rsidR="0077031F" w:rsidRPr="00110D6C" w:rsidRDefault="00030085" w:rsidP="00A17623">
      <w:pPr>
        <w:widowControl/>
        <w:rPr>
          <w:rFonts w:cs="Times New Roman"/>
          <w:color w:val="auto"/>
          <w:szCs w:val="22"/>
          <w:lang w:val="pt-PT"/>
        </w:rPr>
      </w:pPr>
      <w:r w:rsidRPr="00110D6C">
        <w:rPr>
          <w:rFonts w:cs="Times New Roman"/>
          <w:color w:val="auto"/>
          <w:szCs w:val="22"/>
          <w:lang w:val="pt-PT"/>
        </w:rPr>
        <w:lastRenderedPageBreak/>
        <w:t xml:space="preserve">Os efeitos de </w:t>
      </w:r>
      <w:r w:rsidR="00D50CFA">
        <w:rPr>
          <w:rFonts w:cs="Times New Roman"/>
          <w:color w:val="auto"/>
          <w:szCs w:val="22"/>
          <w:lang w:val="pt-PT"/>
        </w:rPr>
        <w:t>Fymskina</w:t>
      </w:r>
      <w:r w:rsidRPr="00110D6C">
        <w:rPr>
          <w:rFonts w:cs="Times New Roman"/>
          <w:color w:val="auto"/>
          <w:szCs w:val="22"/>
          <w:lang w:val="pt-PT"/>
        </w:rPr>
        <w:t xml:space="preserve"> sobre a capacidade de conduzir ou utilizar máquinas são nulos ou desprezáveis.</w:t>
      </w:r>
    </w:p>
    <w:p w14:paraId="5AFEE5B2" w14:textId="77777777" w:rsidR="00E15739" w:rsidRPr="00110D6C" w:rsidRDefault="00E15739" w:rsidP="00A17623">
      <w:pPr>
        <w:widowControl/>
        <w:rPr>
          <w:rFonts w:cs="Times New Roman"/>
          <w:color w:val="auto"/>
          <w:szCs w:val="22"/>
          <w:lang w:val="pt-PT"/>
        </w:rPr>
      </w:pPr>
    </w:p>
    <w:p w14:paraId="23615767" w14:textId="77777777" w:rsidR="004A7F8C" w:rsidRDefault="004A7F8C" w:rsidP="004A7F8C">
      <w:pPr>
        <w:widowControl/>
        <w:rPr>
          <w:rFonts w:cs="Times New Roman"/>
          <w:b/>
          <w:bCs/>
          <w:color w:val="auto"/>
          <w:szCs w:val="22"/>
          <w:lang w:val="pt-PT"/>
        </w:rPr>
      </w:pPr>
      <w:r>
        <w:rPr>
          <w:rFonts w:cs="Times New Roman"/>
          <w:b/>
          <w:bCs/>
          <w:color w:val="auto"/>
          <w:szCs w:val="22"/>
          <w:lang w:val="pt-PT"/>
        </w:rPr>
        <w:t>Fymskina</w:t>
      </w:r>
      <w:r w:rsidRPr="00110D6C">
        <w:rPr>
          <w:rFonts w:cs="Times New Roman"/>
          <w:b/>
          <w:bCs/>
          <w:color w:val="auto"/>
          <w:szCs w:val="22"/>
          <w:lang w:val="pt-PT"/>
        </w:rPr>
        <w:t xml:space="preserve"> contém </w:t>
      </w:r>
      <w:r>
        <w:rPr>
          <w:rFonts w:cs="Times New Roman"/>
          <w:b/>
          <w:bCs/>
          <w:color w:val="auto"/>
          <w:szCs w:val="22"/>
          <w:lang w:val="pt-PT"/>
        </w:rPr>
        <w:t>polissorbatos</w:t>
      </w:r>
    </w:p>
    <w:p w14:paraId="6862CF46" w14:textId="1BD2ED80" w:rsidR="004A7F8C" w:rsidRDefault="004A7F8C" w:rsidP="004A7F8C">
      <w:pPr>
        <w:widowControl/>
        <w:rPr>
          <w:rFonts w:cs="Times New Roman"/>
          <w:color w:val="auto"/>
          <w:szCs w:val="22"/>
          <w:lang w:val="pt-PT"/>
        </w:rPr>
      </w:pPr>
      <w:r w:rsidRPr="0053717D">
        <w:rPr>
          <w:rFonts w:cs="Times New Roman"/>
          <w:color w:val="auto"/>
          <w:szCs w:val="22"/>
          <w:lang w:val="pt-PT"/>
        </w:rPr>
        <w:t xml:space="preserve">Este medicamento contém </w:t>
      </w:r>
      <w:r>
        <w:rPr>
          <w:rFonts w:cs="Times New Roman"/>
          <w:color w:val="auto"/>
          <w:szCs w:val="22"/>
          <w:lang w:val="pt-PT"/>
        </w:rPr>
        <w:t>0,04 </w:t>
      </w:r>
      <w:r w:rsidRPr="0053717D">
        <w:rPr>
          <w:rFonts w:cs="Times New Roman"/>
          <w:color w:val="auto"/>
          <w:szCs w:val="22"/>
          <w:lang w:val="pt-PT"/>
        </w:rPr>
        <w:t>mg de polissorbato</w:t>
      </w:r>
      <w:r>
        <w:rPr>
          <w:rFonts w:cs="Times New Roman"/>
          <w:color w:val="auto"/>
          <w:szCs w:val="22"/>
          <w:lang w:val="pt-PT"/>
        </w:rPr>
        <w:t> 80</w:t>
      </w:r>
      <w:r w:rsidRPr="0053717D">
        <w:rPr>
          <w:rFonts w:cs="Times New Roman"/>
          <w:color w:val="auto"/>
          <w:szCs w:val="22"/>
          <w:lang w:val="pt-PT"/>
        </w:rPr>
        <w:t xml:space="preserve"> em cada </w:t>
      </w:r>
      <w:r>
        <w:rPr>
          <w:rFonts w:cs="Times New Roman"/>
          <w:color w:val="auto"/>
          <w:szCs w:val="22"/>
          <w:lang w:val="pt-PT"/>
        </w:rPr>
        <w:t xml:space="preserve">seringa pré-cheia, </w:t>
      </w:r>
      <w:r w:rsidRPr="0053717D">
        <w:rPr>
          <w:rFonts w:cs="Times New Roman"/>
          <w:color w:val="auto"/>
          <w:szCs w:val="22"/>
          <w:lang w:val="pt-PT"/>
        </w:rPr>
        <w:t xml:space="preserve">que é equivalente a </w:t>
      </w:r>
      <w:r>
        <w:rPr>
          <w:rFonts w:cs="Times New Roman"/>
          <w:color w:val="auto"/>
          <w:szCs w:val="22"/>
          <w:lang w:val="pt-PT"/>
        </w:rPr>
        <w:t>0,04 mg/ml</w:t>
      </w:r>
      <w:r w:rsidRPr="0053717D">
        <w:rPr>
          <w:rFonts w:cs="Times New Roman"/>
          <w:color w:val="auto"/>
          <w:szCs w:val="22"/>
          <w:lang w:val="pt-PT"/>
        </w:rPr>
        <w:t>. Os polissorbatos podem causar reações alérgicas. Informe o seu médico se tem alguma alergia</w:t>
      </w:r>
      <w:r>
        <w:rPr>
          <w:rFonts w:cs="Times New Roman"/>
          <w:color w:val="auto"/>
          <w:szCs w:val="22"/>
          <w:lang w:val="pt-PT"/>
        </w:rPr>
        <w:t>.</w:t>
      </w:r>
    </w:p>
    <w:p w14:paraId="7FBED339" w14:textId="77777777" w:rsidR="00E15739" w:rsidRPr="00110D6C" w:rsidRDefault="00E15739" w:rsidP="00A17623">
      <w:pPr>
        <w:widowControl/>
        <w:rPr>
          <w:rFonts w:cs="Times New Roman"/>
          <w:color w:val="auto"/>
          <w:szCs w:val="22"/>
          <w:lang w:val="pt-PT"/>
        </w:rPr>
      </w:pPr>
    </w:p>
    <w:p w14:paraId="56BA31AF" w14:textId="53689AA6" w:rsidR="0077031F" w:rsidRPr="00110D6C" w:rsidRDefault="00DC3C01" w:rsidP="00A17623">
      <w:pPr>
        <w:widowControl/>
        <w:ind w:left="567" w:hanging="567"/>
        <w:rPr>
          <w:rFonts w:cs="Times New Roman"/>
          <w:color w:val="auto"/>
          <w:szCs w:val="22"/>
          <w:lang w:val="pt-PT"/>
        </w:rPr>
      </w:pPr>
      <w:bookmarkStart w:id="212" w:name="bookmark361"/>
      <w:r w:rsidRPr="00110D6C">
        <w:rPr>
          <w:rFonts w:cs="Times New Roman"/>
          <w:b/>
          <w:bCs/>
          <w:color w:val="auto"/>
          <w:szCs w:val="22"/>
          <w:lang w:val="pt-PT"/>
        </w:rPr>
        <w:t>3.</w:t>
      </w:r>
      <w:r w:rsidRPr="00110D6C">
        <w:rPr>
          <w:rFonts w:cs="Times New Roman"/>
          <w:b/>
          <w:bCs/>
          <w:color w:val="auto"/>
          <w:szCs w:val="22"/>
          <w:lang w:val="pt-PT"/>
        </w:rPr>
        <w:tab/>
      </w:r>
      <w:r w:rsidR="00030085" w:rsidRPr="00110D6C">
        <w:rPr>
          <w:rFonts w:cs="Times New Roman"/>
          <w:b/>
          <w:bCs/>
          <w:color w:val="auto"/>
          <w:szCs w:val="22"/>
          <w:lang w:val="pt-PT"/>
        </w:rPr>
        <w:t xml:space="preserve">Como utilizar </w:t>
      </w:r>
      <w:bookmarkEnd w:id="212"/>
      <w:r w:rsidR="00D50CFA">
        <w:rPr>
          <w:rFonts w:cs="Times New Roman"/>
          <w:b/>
          <w:bCs/>
          <w:color w:val="auto"/>
          <w:szCs w:val="22"/>
          <w:lang w:val="pt-PT"/>
        </w:rPr>
        <w:t>Fymskina</w:t>
      </w:r>
    </w:p>
    <w:p w14:paraId="4010E9B4" w14:textId="77777777" w:rsidR="00E15739" w:rsidRPr="00110D6C" w:rsidRDefault="00E15739" w:rsidP="00A17623">
      <w:pPr>
        <w:widowControl/>
        <w:rPr>
          <w:rFonts w:cs="Times New Roman"/>
          <w:color w:val="auto"/>
          <w:szCs w:val="22"/>
          <w:lang w:val="pt-PT"/>
        </w:rPr>
      </w:pPr>
    </w:p>
    <w:p w14:paraId="63E28424" w14:textId="24A688A7" w:rsidR="0077031F" w:rsidRPr="00110D6C" w:rsidRDefault="00D50CFA" w:rsidP="00A17623">
      <w:pPr>
        <w:widowControl/>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deverá ser utilizado sob a orientação e supervisão de um médico com experiência no tratamento das doenças para as quais </w:t>
      </w:r>
      <w:r>
        <w:rPr>
          <w:rFonts w:cs="Times New Roman"/>
          <w:color w:val="auto"/>
          <w:szCs w:val="22"/>
          <w:lang w:val="pt-PT"/>
        </w:rPr>
        <w:t>Fymskina</w:t>
      </w:r>
      <w:r w:rsidR="00030085" w:rsidRPr="00110D6C">
        <w:rPr>
          <w:rFonts w:cs="Times New Roman"/>
          <w:color w:val="auto"/>
          <w:szCs w:val="22"/>
          <w:lang w:val="pt-PT"/>
        </w:rPr>
        <w:t xml:space="preserve"> se destina.</w:t>
      </w:r>
    </w:p>
    <w:p w14:paraId="03F44C8C" w14:textId="77777777" w:rsidR="00E15739" w:rsidRPr="00110D6C" w:rsidRDefault="00E15739" w:rsidP="00A17623">
      <w:pPr>
        <w:widowControl/>
        <w:rPr>
          <w:rFonts w:cs="Times New Roman"/>
          <w:color w:val="auto"/>
          <w:szCs w:val="22"/>
          <w:lang w:val="pt-PT"/>
        </w:rPr>
      </w:pPr>
    </w:p>
    <w:p w14:paraId="4E2946D0"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Utilize este medicamento exatamente como indicado pelo seu médico. Fale com o seu médico se tiver dúvidas. Fale com o seu médico sobre quando irá receber as suas injeções e marcar as consultas de seguimento.</w:t>
      </w:r>
    </w:p>
    <w:p w14:paraId="208E7CFF" w14:textId="77777777" w:rsidR="00E15739" w:rsidRPr="00110D6C" w:rsidRDefault="00E15739" w:rsidP="00A17623">
      <w:pPr>
        <w:widowControl/>
        <w:rPr>
          <w:rFonts w:cs="Times New Roman"/>
          <w:bCs/>
          <w:color w:val="auto"/>
          <w:szCs w:val="22"/>
          <w:lang w:val="pt-PT"/>
        </w:rPr>
      </w:pPr>
      <w:bookmarkStart w:id="213" w:name="bookmark363"/>
    </w:p>
    <w:p w14:paraId="155DF78A" w14:textId="23D52EA9"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Que quantidade de </w:t>
      </w:r>
      <w:r w:rsidR="00D50CFA">
        <w:rPr>
          <w:rFonts w:cs="Times New Roman"/>
          <w:b/>
          <w:bCs/>
          <w:color w:val="auto"/>
          <w:szCs w:val="22"/>
          <w:lang w:val="pt-PT"/>
        </w:rPr>
        <w:t>Fymskina</w:t>
      </w:r>
      <w:r w:rsidRPr="00110D6C">
        <w:rPr>
          <w:rFonts w:cs="Times New Roman"/>
          <w:b/>
          <w:bCs/>
          <w:color w:val="auto"/>
          <w:szCs w:val="22"/>
          <w:lang w:val="pt-PT"/>
        </w:rPr>
        <w:t xml:space="preserve"> é administrada</w:t>
      </w:r>
      <w:bookmarkEnd w:id="213"/>
    </w:p>
    <w:p w14:paraId="50EE25C0" w14:textId="496A318B"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O seu médico decidirá qual a quantidade de </w:t>
      </w:r>
      <w:r w:rsidR="00D50CFA">
        <w:rPr>
          <w:rFonts w:cs="Times New Roman"/>
          <w:color w:val="auto"/>
          <w:szCs w:val="22"/>
          <w:lang w:val="pt-PT"/>
        </w:rPr>
        <w:t>Fymskina</w:t>
      </w:r>
      <w:r w:rsidRPr="00110D6C">
        <w:rPr>
          <w:rFonts w:cs="Times New Roman"/>
          <w:color w:val="auto"/>
          <w:szCs w:val="22"/>
          <w:lang w:val="pt-PT"/>
        </w:rPr>
        <w:t xml:space="preserve"> que necessita utilizar e durante quanto tempo.</w:t>
      </w:r>
    </w:p>
    <w:p w14:paraId="5B2B0E91" w14:textId="77777777" w:rsidR="00E15739" w:rsidRPr="00110D6C" w:rsidRDefault="00E15739" w:rsidP="00A17623">
      <w:pPr>
        <w:widowControl/>
        <w:rPr>
          <w:rFonts w:cs="Times New Roman"/>
          <w:bCs/>
          <w:color w:val="auto"/>
          <w:szCs w:val="22"/>
          <w:lang w:val="pt-PT"/>
        </w:rPr>
      </w:pPr>
      <w:bookmarkStart w:id="214" w:name="bookmark365"/>
    </w:p>
    <w:p w14:paraId="1DDAA606"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Adultos com idade igual ou superior a 1</w:t>
      </w:r>
      <w:r w:rsidR="00B910F9" w:rsidRPr="00110D6C">
        <w:rPr>
          <w:rFonts w:cs="Times New Roman"/>
          <w:b/>
          <w:bCs/>
          <w:color w:val="auto"/>
          <w:szCs w:val="22"/>
          <w:lang w:val="pt-PT"/>
        </w:rPr>
        <w:t>8 </w:t>
      </w:r>
      <w:r w:rsidRPr="00110D6C">
        <w:rPr>
          <w:rFonts w:cs="Times New Roman"/>
          <w:b/>
          <w:bCs/>
          <w:color w:val="auto"/>
          <w:szCs w:val="22"/>
          <w:lang w:val="pt-PT"/>
        </w:rPr>
        <w:t>anos</w:t>
      </w:r>
      <w:bookmarkEnd w:id="214"/>
    </w:p>
    <w:p w14:paraId="681FE362"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Psoríase ou Artrite Psoriática</w:t>
      </w:r>
    </w:p>
    <w:p w14:paraId="2A631114" w14:textId="36959F0B" w:rsidR="0077031F" w:rsidRPr="00110D6C" w:rsidRDefault="00030085" w:rsidP="00D74B6E">
      <w:pPr>
        <w:pStyle w:val="Listenabsatz"/>
        <w:widowControl/>
        <w:numPr>
          <w:ilvl w:val="0"/>
          <w:numId w:val="16"/>
        </w:numPr>
        <w:ind w:left="567" w:hanging="567"/>
        <w:rPr>
          <w:rFonts w:cs="Times New Roman"/>
          <w:color w:val="auto"/>
          <w:szCs w:val="22"/>
          <w:lang w:val="pt-PT"/>
        </w:rPr>
      </w:pPr>
      <w:r w:rsidRPr="00110D6C">
        <w:rPr>
          <w:rFonts w:cs="Times New Roman"/>
          <w:color w:val="auto"/>
          <w:szCs w:val="22"/>
          <w:lang w:val="pt-PT"/>
        </w:rPr>
        <w:t>A dose inicial recomendada é de 4</w:t>
      </w:r>
      <w:r w:rsidR="00B910F9" w:rsidRPr="00110D6C">
        <w:rPr>
          <w:rFonts w:cs="Times New Roman"/>
          <w:color w:val="auto"/>
          <w:szCs w:val="22"/>
          <w:lang w:val="pt-PT"/>
        </w:rPr>
        <w:t>5 </w:t>
      </w:r>
      <w:r w:rsidRPr="00110D6C">
        <w:rPr>
          <w:rFonts w:cs="Times New Roman"/>
          <w:color w:val="auto"/>
          <w:szCs w:val="22"/>
          <w:lang w:val="pt-PT"/>
        </w:rPr>
        <w:t xml:space="preserve">mg de </w:t>
      </w:r>
      <w:r w:rsidR="00D50CFA">
        <w:rPr>
          <w:rFonts w:cs="Times New Roman"/>
          <w:color w:val="auto"/>
          <w:szCs w:val="22"/>
          <w:lang w:val="pt-PT"/>
        </w:rPr>
        <w:t>Fymskina</w:t>
      </w:r>
      <w:r w:rsidRPr="00110D6C">
        <w:rPr>
          <w:rFonts w:cs="Times New Roman"/>
          <w:color w:val="auto"/>
          <w:szCs w:val="22"/>
          <w:lang w:val="pt-PT"/>
        </w:rPr>
        <w:t>. Os doentes que pesem mais de</w:t>
      </w:r>
      <w:r w:rsidR="00E15739" w:rsidRPr="00110D6C">
        <w:rPr>
          <w:rFonts w:cs="Times New Roman"/>
          <w:color w:val="auto"/>
          <w:szCs w:val="22"/>
          <w:lang w:val="pt-PT"/>
        </w:rPr>
        <w:t xml:space="preserve"> </w:t>
      </w:r>
      <w:r w:rsidRPr="00110D6C">
        <w:rPr>
          <w:rFonts w:cs="Times New Roman"/>
          <w:color w:val="auto"/>
          <w:szCs w:val="22"/>
          <w:lang w:val="pt-PT"/>
        </w:rPr>
        <w:t>100</w:t>
      </w:r>
      <w:r w:rsidR="001F5180">
        <w:rPr>
          <w:rFonts w:cs="Times New Roman"/>
          <w:color w:val="auto"/>
          <w:szCs w:val="22"/>
          <w:lang w:val="pt-PT"/>
        </w:rPr>
        <w:t> qu</w:t>
      </w:r>
      <w:r w:rsidRPr="00110D6C">
        <w:rPr>
          <w:rFonts w:cs="Times New Roman"/>
          <w:color w:val="auto"/>
          <w:szCs w:val="22"/>
          <w:lang w:val="pt-PT"/>
        </w:rPr>
        <w:t>ilogramas (kg) poderão iniciar com uma dose de 9</w:t>
      </w:r>
      <w:r w:rsidR="00B910F9" w:rsidRPr="00110D6C">
        <w:rPr>
          <w:rFonts w:cs="Times New Roman"/>
          <w:color w:val="auto"/>
          <w:szCs w:val="22"/>
          <w:lang w:val="pt-PT"/>
        </w:rPr>
        <w:t>0 </w:t>
      </w:r>
      <w:r w:rsidRPr="00110D6C">
        <w:rPr>
          <w:rFonts w:cs="Times New Roman"/>
          <w:color w:val="auto"/>
          <w:szCs w:val="22"/>
          <w:lang w:val="pt-PT"/>
        </w:rPr>
        <w:t>mg em vez de 4</w:t>
      </w:r>
      <w:r w:rsidR="00B910F9" w:rsidRPr="00110D6C">
        <w:rPr>
          <w:rFonts w:cs="Times New Roman"/>
          <w:color w:val="auto"/>
          <w:szCs w:val="22"/>
          <w:lang w:val="pt-PT"/>
        </w:rPr>
        <w:t>5 </w:t>
      </w:r>
      <w:r w:rsidRPr="00110D6C">
        <w:rPr>
          <w:rFonts w:cs="Times New Roman"/>
          <w:color w:val="auto"/>
          <w:szCs w:val="22"/>
          <w:lang w:val="pt-PT"/>
        </w:rPr>
        <w:t>mg.</w:t>
      </w:r>
    </w:p>
    <w:p w14:paraId="3592E403" w14:textId="77777777" w:rsidR="0077031F" w:rsidRPr="00110D6C" w:rsidRDefault="00030085" w:rsidP="00D74B6E">
      <w:pPr>
        <w:pStyle w:val="Listenabsatz"/>
        <w:widowControl/>
        <w:numPr>
          <w:ilvl w:val="0"/>
          <w:numId w:val="16"/>
        </w:numPr>
        <w:ind w:left="567" w:hanging="567"/>
        <w:rPr>
          <w:rFonts w:cs="Times New Roman"/>
          <w:color w:val="auto"/>
          <w:szCs w:val="22"/>
          <w:lang w:val="pt-PT"/>
        </w:rPr>
      </w:pPr>
      <w:r w:rsidRPr="00110D6C">
        <w:rPr>
          <w:rFonts w:cs="Times New Roman"/>
          <w:color w:val="auto"/>
          <w:szCs w:val="22"/>
          <w:lang w:val="pt-PT"/>
        </w:rPr>
        <w:t xml:space="preserve">A dose seguinte ser-lhe-á administrada </w:t>
      </w:r>
      <w:r w:rsidR="00B910F9" w:rsidRPr="00110D6C">
        <w:rPr>
          <w:rFonts w:cs="Times New Roman"/>
          <w:color w:val="auto"/>
          <w:szCs w:val="22"/>
          <w:lang w:val="pt-PT"/>
        </w:rPr>
        <w:t>4 </w:t>
      </w:r>
      <w:r w:rsidRPr="00110D6C">
        <w:rPr>
          <w:rFonts w:cs="Times New Roman"/>
          <w:color w:val="auto"/>
          <w:szCs w:val="22"/>
          <w:lang w:val="pt-PT"/>
        </w:rPr>
        <w:t>semanas após a dose inicial e depois em intervalos de</w:t>
      </w:r>
      <w:r w:rsidR="00E15739" w:rsidRPr="00110D6C">
        <w:rPr>
          <w:rFonts w:cs="Times New Roman"/>
          <w:color w:val="auto"/>
          <w:szCs w:val="22"/>
          <w:lang w:val="pt-PT"/>
        </w:rPr>
        <w:t xml:space="preserve"> </w:t>
      </w:r>
      <w:r w:rsidRPr="00110D6C">
        <w:rPr>
          <w:rFonts w:cs="Times New Roman"/>
          <w:color w:val="auto"/>
          <w:szCs w:val="22"/>
          <w:lang w:val="pt-PT"/>
        </w:rPr>
        <w:t>12</w:t>
      </w:r>
      <w:r w:rsidR="005562CC" w:rsidRPr="00110D6C">
        <w:rPr>
          <w:rFonts w:cs="Times New Roman"/>
          <w:color w:val="auto"/>
          <w:szCs w:val="22"/>
          <w:lang w:val="pt-PT"/>
        </w:rPr>
        <w:t> </w:t>
      </w:r>
      <w:r w:rsidRPr="00110D6C">
        <w:rPr>
          <w:rFonts w:cs="Times New Roman"/>
          <w:color w:val="auto"/>
          <w:szCs w:val="22"/>
          <w:lang w:val="pt-PT"/>
        </w:rPr>
        <w:t>semanas. As doses seguintes são normalmente iguais à dose inicial.</w:t>
      </w:r>
    </w:p>
    <w:p w14:paraId="5F422652" w14:textId="77777777" w:rsidR="00E15739" w:rsidRPr="00110D6C" w:rsidRDefault="00E15739" w:rsidP="00A17623">
      <w:pPr>
        <w:widowControl/>
        <w:rPr>
          <w:rFonts w:cs="Times New Roman"/>
          <w:bCs/>
          <w:color w:val="auto"/>
          <w:szCs w:val="22"/>
          <w:lang w:val="pt-PT"/>
        </w:rPr>
      </w:pPr>
      <w:bookmarkStart w:id="215" w:name="bookmark368"/>
    </w:p>
    <w:p w14:paraId="07C512D3" w14:textId="6EDE2C8C"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Doença de Crohn</w:t>
      </w:r>
      <w:bookmarkEnd w:id="215"/>
    </w:p>
    <w:p w14:paraId="2E6FE5DF" w14:textId="0802AA9C" w:rsidR="0077031F" w:rsidRPr="00110D6C" w:rsidRDefault="00030085" w:rsidP="00D74B6E">
      <w:pPr>
        <w:pStyle w:val="Listenabsatz"/>
        <w:widowControl/>
        <w:numPr>
          <w:ilvl w:val="0"/>
          <w:numId w:val="16"/>
        </w:numPr>
        <w:ind w:left="567" w:hanging="567"/>
        <w:rPr>
          <w:rFonts w:cs="Times New Roman"/>
          <w:color w:val="auto"/>
          <w:szCs w:val="22"/>
          <w:lang w:val="pt-PT"/>
        </w:rPr>
      </w:pPr>
      <w:r w:rsidRPr="00110D6C">
        <w:rPr>
          <w:rFonts w:cs="Times New Roman"/>
          <w:color w:val="auto"/>
          <w:szCs w:val="22"/>
          <w:lang w:val="pt-PT"/>
        </w:rPr>
        <w:t xml:space="preserve">Durante o tratamento, a primeira dose de aproximadamente </w:t>
      </w:r>
      <w:r w:rsidR="00B910F9" w:rsidRPr="00110D6C">
        <w:rPr>
          <w:rFonts w:cs="Times New Roman"/>
          <w:color w:val="auto"/>
          <w:szCs w:val="22"/>
          <w:lang w:val="pt-PT"/>
        </w:rPr>
        <w:t>6 </w:t>
      </w:r>
      <w:r w:rsidRPr="00110D6C">
        <w:rPr>
          <w:rFonts w:cs="Times New Roman"/>
          <w:color w:val="auto"/>
          <w:szCs w:val="22"/>
          <w:lang w:val="pt-PT"/>
        </w:rPr>
        <w:t xml:space="preserve">mg/kg de </w:t>
      </w:r>
      <w:r w:rsidR="00D50CFA">
        <w:rPr>
          <w:rFonts w:cs="Times New Roman"/>
          <w:color w:val="auto"/>
          <w:szCs w:val="22"/>
          <w:lang w:val="pt-PT"/>
        </w:rPr>
        <w:t>Fymskina</w:t>
      </w:r>
      <w:r w:rsidRPr="00110D6C">
        <w:rPr>
          <w:rFonts w:cs="Times New Roman"/>
          <w:color w:val="auto"/>
          <w:szCs w:val="22"/>
          <w:lang w:val="pt-PT"/>
        </w:rPr>
        <w:t xml:space="preserve"> será</w:t>
      </w:r>
      <w:r w:rsidR="00E15739" w:rsidRPr="00110D6C">
        <w:rPr>
          <w:rFonts w:cs="Times New Roman"/>
          <w:color w:val="auto"/>
          <w:szCs w:val="22"/>
          <w:lang w:val="pt-PT"/>
        </w:rPr>
        <w:t xml:space="preserve"> </w:t>
      </w:r>
      <w:r w:rsidRPr="00110D6C">
        <w:rPr>
          <w:rFonts w:cs="Times New Roman"/>
          <w:color w:val="auto"/>
          <w:szCs w:val="22"/>
          <w:lang w:val="pt-PT"/>
        </w:rPr>
        <w:t>administrada gota-a-gota, pelo seu médico, numa veia do seu braço (perfusão intravenosa). Após a dose inicial, irá receber a próxima dose de 9</w:t>
      </w:r>
      <w:r w:rsidR="00B910F9" w:rsidRPr="00110D6C">
        <w:rPr>
          <w:rFonts w:cs="Times New Roman"/>
          <w:color w:val="auto"/>
          <w:szCs w:val="22"/>
          <w:lang w:val="pt-PT"/>
        </w:rPr>
        <w:t>0 </w:t>
      </w:r>
      <w:r w:rsidRPr="00110D6C">
        <w:rPr>
          <w:rFonts w:cs="Times New Roman"/>
          <w:color w:val="auto"/>
          <w:szCs w:val="22"/>
          <w:lang w:val="pt-PT"/>
        </w:rPr>
        <w:t xml:space="preserve">mg de </w:t>
      </w:r>
      <w:r w:rsidR="00D50CFA">
        <w:rPr>
          <w:rFonts w:cs="Times New Roman"/>
          <w:color w:val="auto"/>
          <w:szCs w:val="22"/>
          <w:lang w:val="pt-PT"/>
        </w:rPr>
        <w:t>Fymskina</w:t>
      </w:r>
      <w:r w:rsidRPr="00110D6C">
        <w:rPr>
          <w:rFonts w:cs="Times New Roman"/>
          <w:color w:val="auto"/>
          <w:szCs w:val="22"/>
          <w:lang w:val="pt-PT"/>
        </w:rPr>
        <w:t xml:space="preserve"> após </w:t>
      </w:r>
      <w:r w:rsidR="00B910F9" w:rsidRPr="00110D6C">
        <w:rPr>
          <w:rFonts w:cs="Times New Roman"/>
          <w:color w:val="auto"/>
          <w:szCs w:val="22"/>
          <w:lang w:val="pt-PT"/>
        </w:rPr>
        <w:t>8 </w:t>
      </w:r>
      <w:r w:rsidRPr="00110D6C">
        <w:rPr>
          <w:rFonts w:cs="Times New Roman"/>
          <w:color w:val="auto"/>
          <w:szCs w:val="22"/>
          <w:lang w:val="pt-PT"/>
        </w:rPr>
        <w:t>semanas, e depois em intervalos de 1</w:t>
      </w:r>
      <w:r w:rsidR="00B910F9" w:rsidRPr="00110D6C">
        <w:rPr>
          <w:rFonts w:cs="Times New Roman"/>
          <w:color w:val="auto"/>
          <w:szCs w:val="22"/>
          <w:lang w:val="pt-PT"/>
        </w:rPr>
        <w:t>2 </w:t>
      </w:r>
      <w:r w:rsidRPr="00110D6C">
        <w:rPr>
          <w:rFonts w:cs="Times New Roman"/>
          <w:color w:val="auto"/>
          <w:szCs w:val="22"/>
          <w:lang w:val="pt-PT"/>
        </w:rPr>
        <w:t>semanas a partir daí, através de uma injeção sob a pele (“via subcutânea”).</w:t>
      </w:r>
    </w:p>
    <w:p w14:paraId="15D25EDA" w14:textId="6957D40C" w:rsidR="0077031F" w:rsidRPr="00110D6C" w:rsidRDefault="00030085" w:rsidP="00D74B6E">
      <w:pPr>
        <w:pStyle w:val="Listenabsatz"/>
        <w:widowControl/>
        <w:numPr>
          <w:ilvl w:val="0"/>
          <w:numId w:val="16"/>
        </w:numPr>
        <w:ind w:left="567" w:hanging="567"/>
        <w:rPr>
          <w:rFonts w:cs="Times New Roman"/>
          <w:color w:val="auto"/>
          <w:szCs w:val="22"/>
          <w:lang w:val="pt-PT"/>
        </w:rPr>
      </w:pPr>
      <w:r w:rsidRPr="00110D6C">
        <w:rPr>
          <w:rFonts w:cs="Times New Roman"/>
          <w:color w:val="auto"/>
          <w:szCs w:val="22"/>
          <w:lang w:val="pt-PT"/>
        </w:rPr>
        <w:t>Em alguns doentes, após a primeira injeção sob a pele, podem ser administrados 9</w:t>
      </w:r>
      <w:r w:rsidR="00B910F9" w:rsidRPr="00110D6C">
        <w:rPr>
          <w:rFonts w:cs="Times New Roman"/>
          <w:color w:val="auto"/>
          <w:szCs w:val="22"/>
          <w:lang w:val="pt-PT"/>
        </w:rPr>
        <w:t>0 </w:t>
      </w:r>
      <w:r w:rsidRPr="00110D6C">
        <w:rPr>
          <w:rFonts w:cs="Times New Roman"/>
          <w:color w:val="auto"/>
          <w:szCs w:val="22"/>
          <w:lang w:val="pt-PT"/>
        </w:rPr>
        <w:t>mg de</w:t>
      </w:r>
      <w:r w:rsidR="00E15739" w:rsidRPr="00110D6C">
        <w:rPr>
          <w:rFonts w:cs="Times New Roman"/>
          <w:color w:val="auto"/>
          <w:szCs w:val="22"/>
          <w:lang w:val="pt-PT"/>
        </w:rPr>
        <w:t xml:space="preserve"> </w:t>
      </w:r>
      <w:r w:rsidR="00D50CFA">
        <w:rPr>
          <w:rFonts w:cs="Times New Roman"/>
          <w:color w:val="auto"/>
          <w:szCs w:val="22"/>
          <w:lang w:val="pt-PT"/>
        </w:rPr>
        <w:t>Fymskina</w:t>
      </w:r>
      <w:r w:rsidRPr="00110D6C">
        <w:rPr>
          <w:rFonts w:cs="Times New Roman"/>
          <w:color w:val="auto"/>
          <w:szCs w:val="22"/>
          <w:lang w:val="pt-PT"/>
        </w:rPr>
        <w:t xml:space="preserve"> em intervalos de </w:t>
      </w:r>
      <w:r w:rsidR="00B910F9" w:rsidRPr="00110D6C">
        <w:rPr>
          <w:rFonts w:cs="Times New Roman"/>
          <w:color w:val="auto"/>
          <w:szCs w:val="22"/>
          <w:lang w:val="pt-PT"/>
        </w:rPr>
        <w:t>8 </w:t>
      </w:r>
      <w:r w:rsidRPr="00110D6C">
        <w:rPr>
          <w:rFonts w:cs="Times New Roman"/>
          <w:color w:val="auto"/>
          <w:szCs w:val="22"/>
          <w:lang w:val="pt-PT"/>
        </w:rPr>
        <w:t>semanas. O seu médico irá decidir quando deve receber a próxima dose.</w:t>
      </w:r>
    </w:p>
    <w:p w14:paraId="428D8592" w14:textId="77777777" w:rsidR="00E15739" w:rsidRPr="00110D6C" w:rsidRDefault="00E15739" w:rsidP="00A17623">
      <w:pPr>
        <w:widowControl/>
        <w:rPr>
          <w:rFonts w:cs="Times New Roman"/>
          <w:bCs/>
          <w:color w:val="auto"/>
          <w:szCs w:val="22"/>
          <w:lang w:val="pt-PT"/>
        </w:rPr>
      </w:pPr>
      <w:bookmarkStart w:id="216" w:name="bookmark370"/>
    </w:p>
    <w:p w14:paraId="4A4A0A9B"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Crianças e adolescentes com idade igual ou superior a </w:t>
      </w:r>
      <w:r w:rsidR="00B910F9" w:rsidRPr="00110D6C">
        <w:rPr>
          <w:rFonts w:cs="Times New Roman"/>
          <w:b/>
          <w:bCs/>
          <w:color w:val="auto"/>
          <w:szCs w:val="22"/>
          <w:lang w:val="pt-PT"/>
        </w:rPr>
        <w:t>6 </w:t>
      </w:r>
      <w:r w:rsidRPr="00110D6C">
        <w:rPr>
          <w:rFonts w:cs="Times New Roman"/>
          <w:b/>
          <w:bCs/>
          <w:color w:val="auto"/>
          <w:szCs w:val="22"/>
          <w:lang w:val="pt-PT"/>
        </w:rPr>
        <w:t>anos</w:t>
      </w:r>
      <w:bookmarkEnd w:id="216"/>
    </w:p>
    <w:p w14:paraId="1585AA9D"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Psoríase</w:t>
      </w:r>
    </w:p>
    <w:p w14:paraId="43EEF565" w14:textId="696EC518" w:rsidR="0077031F" w:rsidRPr="00110D6C" w:rsidRDefault="00030085" w:rsidP="00D74B6E">
      <w:pPr>
        <w:pStyle w:val="Listenabsatz"/>
        <w:widowControl/>
        <w:numPr>
          <w:ilvl w:val="0"/>
          <w:numId w:val="16"/>
        </w:numPr>
        <w:ind w:left="567" w:hanging="567"/>
        <w:rPr>
          <w:rFonts w:cs="Times New Roman"/>
          <w:color w:val="auto"/>
          <w:szCs w:val="22"/>
          <w:lang w:val="pt-PT"/>
        </w:rPr>
      </w:pPr>
      <w:r w:rsidRPr="00110D6C">
        <w:rPr>
          <w:rFonts w:cs="Times New Roman"/>
          <w:color w:val="auto"/>
          <w:szCs w:val="22"/>
          <w:lang w:val="pt-PT"/>
        </w:rPr>
        <w:t xml:space="preserve">O médico irá determinar a dose indicada para si, incluindo a quantidade (volume) de </w:t>
      </w:r>
      <w:r w:rsidR="00D50CFA">
        <w:rPr>
          <w:rFonts w:cs="Times New Roman"/>
          <w:color w:val="auto"/>
          <w:szCs w:val="22"/>
          <w:lang w:val="pt-PT"/>
        </w:rPr>
        <w:t>Fymskina</w:t>
      </w:r>
      <w:r w:rsidRPr="00110D6C">
        <w:rPr>
          <w:rFonts w:cs="Times New Roman"/>
          <w:color w:val="auto"/>
          <w:szCs w:val="22"/>
          <w:lang w:val="pt-PT"/>
        </w:rPr>
        <w:t xml:space="preserve"> a</w:t>
      </w:r>
      <w:r w:rsidR="00E15739" w:rsidRPr="00110D6C">
        <w:rPr>
          <w:rFonts w:cs="Times New Roman"/>
          <w:color w:val="auto"/>
          <w:szCs w:val="22"/>
          <w:lang w:val="pt-PT"/>
        </w:rPr>
        <w:t xml:space="preserve"> </w:t>
      </w:r>
      <w:r w:rsidRPr="00110D6C">
        <w:rPr>
          <w:rFonts w:cs="Times New Roman"/>
          <w:color w:val="auto"/>
          <w:szCs w:val="22"/>
          <w:lang w:val="pt-PT"/>
        </w:rPr>
        <w:t>ser injetado para administrar a dose indicada. A dose indicada para si irá depender do seu peso corporal no momento em que cada dose é administrada.</w:t>
      </w:r>
    </w:p>
    <w:p w14:paraId="25813B1E" w14:textId="21F469A0" w:rsidR="0077031F" w:rsidRPr="00110D6C" w:rsidRDefault="00030085" w:rsidP="00D74B6E">
      <w:pPr>
        <w:pStyle w:val="Listenabsatz"/>
        <w:widowControl/>
        <w:numPr>
          <w:ilvl w:val="0"/>
          <w:numId w:val="16"/>
        </w:numPr>
        <w:ind w:left="567" w:hanging="567"/>
        <w:rPr>
          <w:rFonts w:cs="Times New Roman"/>
          <w:color w:val="auto"/>
          <w:szCs w:val="22"/>
          <w:lang w:val="pt-PT"/>
        </w:rPr>
      </w:pPr>
      <w:r w:rsidRPr="00110D6C">
        <w:rPr>
          <w:rFonts w:cs="Times New Roman"/>
          <w:color w:val="auto"/>
          <w:szCs w:val="22"/>
          <w:lang w:val="pt-PT"/>
        </w:rPr>
        <w:t>Se pesa menos de 6</w:t>
      </w:r>
      <w:r w:rsidR="00B910F9" w:rsidRPr="00110D6C">
        <w:rPr>
          <w:rFonts w:cs="Times New Roman"/>
          <w:color w:val="auto"/>
          <w:szCs w:val="22"/>
          <w:lang w:val="pt-PT"/>
        </w:rPr>
        <w:t>0 </w:t>
      </w:r>
      <w:r w:rsidRPr="00110D6C">
        <w:rPr>
          <w:rFonts w:cs="Times New Roman"/>
          <w:color w:val="auto"/>
          <w:szCs w:val="22"/>
          <w:lang w:val="pt-PT"/>
        </w:rPr>
        <w:t xml:space="preserve">kg, </w:t>
      </w:r>
      <w:r w:rsidR="0094463A">
        <w:rPr>
          <w:rFonts w:cs="Times New Roman"/>
          <w:color w:val="auto"/>
          <w:szCs w:val="22"/>
          <w:lang w:val="pt-PT"/>
        </w:rPr>
        <w:t>não existe uma formulação de Fymskina para crianças com menos de 60 </w:t>
      </w:r>
      <w:r w:rsidRPr="00110D6C">
        <w:rPr>
          <w:rFonts w:cs="Times New Roman"/>
          <w:color w:val="auto"/>
          <w:szCs w:val="22"/>
          <w:lang w:val="pt-PT"/>
        </w:rPr>
        <w:t>kg de peso corporal</w:t>
      </w:r>
      <w:r w:rsidR="0094463A">
        <w:rPr>
          <w:rFonts w:cs="Times New Roman"/>
          <w:color w:val="auto"/>
          <w:szCs w:val="22"/>
          <w:lang w:val="pt-PT"/>
        </w:rPr>
        <w:t xml:space="preserve"> e, por isso, devem ser utilizados outros medicamentos contendo ustecinumab</w:t>
      </w:r>
      <w:r w:rsidRPr="00110D6C">
        <w:rPr>
          <w:rFonts w:cs="Times New Roman"/>
          <w:color w:val="auto"/>
          <w:szCs w:val="22"/>
          <w:lang w:val="pt-PT"/>
        </w:rPr>
        <w:t>.</w:t>
      </w:r>
    </w:p>
    <w:p w14:paraId="69C5BEE5" w14:textId="3884E8B5" w:rsidR="0077031F" w:rsidRPr="00110D6C" w:rsidRDefault="00030085" w:rsidP="00D74B6E">
      <w:pPr>
        <w:pStyle w:val="Listenabsatz"/>
        <w:widowControl/>
        <w:numPr>
          <w:ilvl w:val="0"/>
          <w:numId w:val="16"/>
        </w:numPr>
        <w:ind w:left="567" w:hanging="567"/>
        <w:rPr>
          <w:rFonts w:cs="Times New Roman"/>
          <w:color w:val="auto"/>
          <w:szCs w:val="22"/>
          <w:lang w:val="pt-PT"/>
        </w:rPr>
      </w:pPr>
      <w:r w:rsidRPr="00110D6C">
        <w:rPr>
          <w:rFonts w:cs="Times New Roman"/>
          <w:color w:val="auto"/>
          <w:szCs w:val="22"/>
          <w:lang w:val="pt-PT"/>
        </w:rPr>
        <w:t>Se pesa entre 6</w:t>
      </w:r>
      <w:r w:rsidR="00B910F9" w:rsidRPr="00110D6C">
        <w:rPr>
          <w:rFonts w:cs="Times New Roman"/>
          <w:color w:val="auto"/>
          <w:szCs w:val="22"/>
          <w:lang w:val="pt-PT"/>
        </w:rPr>
        <w:t>0 </w:t>
      </w:r>
      <w:r w:rsidRPr="00110D6C">
        <w:rPr>
          <w:rFonts w:cs="Times New Roman"/>
          <w:color w:val="auto"/>
          <w:szCs w:val="22"/>
          <w:lang w:val="pt-PT"/>
        </w:rPr>
        <w:t>kg a 10</w:t>
      </w:r>
      <w:r w:rsidR="00B910F9" w:rsidRPr="00110D6C">
        <w:rPr>
          <w:rFonts w:cs="Times New Roman"/>
          <w:color w:val="auto"/>
          <w:szCs w:val="22"/>
          <w:lang w:val="pt-PT"/>
        </w:rPr>
        <w:t>0 </w:t>
      </w:r>
      <w:r w:rsidRPr="00110D6C">
        <w:rPr>
          <w:rFonts w:cs="Times New Roman"/>
          <w:color w:val="auto"/>
          <w:szCs w:val="22"/>
          <w:lang w:val="pt-PT"/>
        </w:rPr>
        <w:t>kg, a dose recomendada é de 4</w:t>
      </w:r>
      <w:r w:rsidR="00B910F9" w:rsidRPr="00110D6C">
        <w:rPr>
          <w:rFonts w:cs="Times New Roman"/>
          <w:color w:val="auto"/>
          <w:szCs w:val="22"/>
          <w:lang w:val="pt-PT"/>
        </w:rPr>
        <w:t>5 </w:t>
      </w:r>
      <w:r w:rsidRPr="00110D6C">
        <w:rPr>
          <w:rFonts w:cs="Times New Roman"/>
          <w:color w:val="auto"/>
          <w:szCs w:val="22"/>
          <w:lang w:val="pt-PT"/>
        </w:rPr>
        <w:t xml:space="preserve">mg de </w:t>
      </w:r>
      <w:r w:rsidR="00D50CFA">
        <w:rPr>
          <w:rFonts w:cs="Times New Roman"/>
          <w:color w:val="auto"/>
          <w:szCs w:val="22"/>
          <w:lang w:val="pt-PT"/>
        </w:rPr>
        <w:t>Fymskina</w:t>
      </w:r>
      <w:r w:rsidRPr="00110D6C">
        <w:rPr>
          <w:rFonts w:cs="Times New Roman"/>
          <w:color w:val="auto"/>
          <w:szCs w:val="22"/>
          <w:lang w:val="pt-PT"/>
        </w:rPr>
        <w:t>.</w:t>
      </w:r>
    </w:p>
    <w:p w14:paraId="62393E97" w14:textId="5DE02977" w:rsidR="0077031F" w:rsidRPr="00110D6C" w:rsidRDefault="00030085" w:rsidP="00D74B6E">
      <w:pPr>
        <w:pStyle w:val="Listenabsatz"/>
        <w:widowControl/>
        <w:numPr>
          <w:ilvl w:val="0"/>
          <w:numId w:val="16"/>
        </w:numPr>
        <w:ind w:left="567" w:hanging="567"/>
        <w:rPr>
          <w:rFonts w:cs="Times New Roman"/>
          <w:color w:val="auto"/>
          <w:szCs w:val="22"/>
          <w:lang w:val="pt-PT"/>
        </w:rPr>
      </w:pPr>
      <w:r w:rsidRPr="00110D6C">
        <w:rPr>
          <w:rFonts w:cs="Times New Roman"/>
          <w:color w:val="auto"/>
          <w:szCs w:val="22"/>
          <w:lang w:val="pt-PT"/>
        </w:rPr>
        <w:t>Se pesa mais de 10</w:t>
      </w:r>
      <w:r w:rsidR="00B910F9" w:rsidRPr="00110D6C">
        <w:rPr>
          <w:rFonts w:cs="Times New Roman"/>
          <w:color w:val="auto"/>
          <w:szCs w:val="22"/>
          <w:lang w:val="pt-PT"/>
        </w:rPr>
        <w:t>0 </w:t>
      </w:r>
      <w:r w:rsidRPr="00110D6C">
        <w:rPr>
          <w:rFonts w:cs="Times New Roman"/>
          <w:color w:val="auto"/>
          <w:szCs w:val="22"/>
          <w:lang w:val="pt-PT"/>
        </w:rPr>
        <w:t>kg, a dose recomendada é de 9</w:t>
      </w:r>
      <w:r w:rsidR="00B910F9" w:rsidRPr="00110D6C">
        <w:rPr>
          <w:rFonts w:cs="Times New Roman"/>
          <w:color w:val="auto"/>
          <w:szCs w:val="22"/>
          <w:lang w:val="pt-PT"/>
        </w:rPr>
        <w:t>0 </w:t>
      </w:r>
      <w:r w:rsidRPr="00110D6C">
        <w:rPr>
          <w:rFonts w:cs="Times New Roman"/>
          <w:color w:val="auto"/>
          <w:szCs w:val="22"/>
          <w:lang w:val="pt-PT"/>
        </w:rPr>
        <w:t xml:space="preserve">mg de </w:t>
      </w:r>
      <w:r w:rsidR="00D50CFA">
        <w:rPr>
          <w:rFonts w:cs="Times New Roman"/>
          <w:color w:val="auto"/>
          <w:szCs w:val="22"/>
          <w:lang w:val="pt-PT"/>
        </w:rPr>
        <w:t>Fymskina</w:t>
      </w:r>
      <w:r w:rsidRPr="00110D6C">
        <w:rPr>
          <w:rFonts w:cs="Times New Roman"/>
          <w:color w:val="auto"/>
          <w:szCs w:val="22"/>
          <w:lang w:val="pt-PT"/>
        </w:rPr>
        <w:t>.</w:t>
      </w:r>
    </w:p>
    <w:p w14:paraId="49231A2B" w14:textId="77777777" w:rsidR="0077031F" w:rsidRPr="00110D6C" w:rsidRDefault="00030085" w:rsidP="00D74B6E">
      <w:pPr>
        <w:pStyle w:val="Listenabsatz"/>
        <w:widowControl/>
        <w:numPr>
          <w:ilvl w:val="0"/>
          <w:numId w:val="16"/>
        </w:numPr>
        <w:ind w:left="567" w:hanging="567"/>
        <w:rPr>
          <w:rFonts w:cs="Times New Roman"/>
          <w:color w:val="auto"/>
          <w:szCs w:val="22"/>
          <w:lang w:val="pt-PT"/>
        </w:rPr>
      </w:pPr>
      <w:r w:rsidRPr="00110D6C">
        <w:rPr>
          <w:rFonts w:cs="Times New Roman"/>
          <w:color w:val="auto"/>
          <w:szCs w:val="22"/>
          <w:lang w:val="pt-PT"/>
        </w:rPr>
        <w:t xml:space="preserve">Após a dose inicial, receberá a próxima dose </w:t>
      </w:r>
      <w:r w:rsidR="00B910F9" w:rsidRPr="00110D6C">
        <w:rPr>
          <w:rFonts w:cs="Times New Roman"/>
          <w:color w:val="auto"/>
          <w:szCs w:val="22"/>
          <w:lang w:val="pt-PT"/>
        </w:rPr>
        <w:t>4 </w:t>
      </w:r>
      <w:r w:rsidRPr="00110D6C">
        <w:rPr>
          <w:rFonts w:cs="Times New Roman"/>
          <w:color w:val="auto"/>
          <w:szCs w:val="22"/>
          <w:lang w:val="pt-PT"/>
        </w:rPr>
        <w:t>semanas mais tarde, e depois a cada 1</w:t>
      </w:r>
      <w:r w:rsidR="00B910F9" w:rsidRPr="00110D6C">
        <w:rPr>
          <w:rFonts w:cs="Times New Roman"/>
          <w:color w:val="auto"/>
          <w:szCs w:val="22"/>
          <w:lang w:val="pt-PT"/>
        </w:rPr>
        <w:t>2 </w:t>
      </w:r>
      <w:r w:rsidRPr="00110D6C">
        <w:rPr>
          <w:rFonts w:cs="Times New Roman"/>
          <w:color w:val="auto"/>
          <w:szCs w:val="22"/>
          <w:lang w:val="pt-PT"/>
        </w:rPr>
        <w:t>semanas.</w:t>
      </w:r>
    </w:p>
    <w:p w14:paraId="62AFD25D" w14:textId="77777777" w:rsidR="00E15739" w:rsidRPr="00110D6C" w:rsidRDefault="00E15739" w:rsidP="00A17623">
      <w:pPr>
        <w:widowControl/>
        <w:rPr>
          <w:rFonts w:cs="Times New Roman"/>
          <w:color w:val="auto"/>
          <w:szCs w:val="22"/>
          <w:lang w:val="pt-PT"/>
        </w:rPr>
      </w:pPr>
    </w:p>
    <w:p w14:paraId="0E262576" w14:textId="7BA39F88" w:rsidR="0077031F" w:rsidRPr="00110D6C" w:rsidRDefault="00030085" w:rsidP="00A17623">
      <w:pPr>
        <w:widowControl/>
        <w:rPr>
          <w:rFonts w:cs="Times New Roman"/>
          <w:color w:val="auto"/>
          <w:szCs w:val="22"/>
          <w:lang w:val="pt-PT"/>
        </w:rPr>
      </w:pPr>
      <w:bookmarkStart w:id="217" w:name="bookmark373"/>
      <w:r w:rsidRPr="00110D6C">
        <w:rPr>
          <w:rFonts w:cs="Times New Roman"/>
          <w:b/>
          <w:bCs/>
          <w:color w:val="auto"/>
          <w:szCs w:val="22"/>
          <w:lang w:val="pt-PT"/>
        </w:rPr>
        <w:t xml:space="preserve">Como é administrado </w:t>
      </w:r>
      <w:bookmarkEnd w:id="217"/>
      <w:r w:rsidR="00D50CFA">
        <w:rPr>
          <w:rFonts w:cs="Times New Roman"/>
          <w:b/>
          <w:bCs/>
          <w:color w:val="auto"/>
          <w:szCs w:val="22"/>
          <w:lang w:val="pt-PT"/>
        </w:rPr>
        <w:t>Fymskina</w:t>
      </w:r>
    </w:p>
    <w:p w14:paraId="6877D404" w14:textId="08D188A4" w:rsidR="0077031F" w:rsidRPr="00110D6C" w:rsidRDefault="00D50CFA" w:rsidP="00D74B6E">
      <w:pPr>
        <w:pStyle w:val="Listenabsatz"/>
        <w:widowControl/>
        <w:numPr>
          <w:ilvl w:val="0"/>
          <w:numId w:val="16"/>
        </w:numPr>
        <w:ind w:left="567" w:hanging="567"/>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é administrado com uma injeção por baixo da pele (“via subcutânea”). No início do seu</w:t>
      </w:r>
      <w:r w:rsidR="00E15739" w:rsidRPr="00110D6C">
        <w:rPr>
          <w:rFonts w:cs="Times New Roman"/>
          <w:color w:val="auto"/>
          <w:szCs w:val="22"/>
          <w:lang w:val="pt-PT"/>
        </w:rPr>
        <w:t xml:space="preserve"> </w:t>
      </w:r>
      <w:r w:rsidR="00030085" w:rsidRPr="00110D6C">
        <w:rPr>
          <w:rFonts w:cs="Times New Roman"/>
          <w:color w:val="auto"/>
          <w:szCs w:val="22"/>
          <w:lang w:val="pt-PT"/>
        </w:rPr>
        <w:t xml:space="preserve">tratamento, o pessoal médico ou de enfermagem podem injetar-lhe </w:t>
      </w:r>
      <w:r>
        <w:rPr>
          <w:rFonts w:cs="Times New Roman"/>
          <w:color w:val="auto"/>
          <w:szCs w:val="22"/>
          <w:lang w:val="pt-PT"/>
        </w:rPr>
        <w:t>Fymskina</w:t>
      </w:r>
      <w:r w:rsidR="00030085" w:rsidRPr="00110D6C">
        <w:rPr>
          <w:rFonts w:cs="Times New Roman"/>
          <w:color w:val="auto"/>
          <w:szCs w:val="22"/>
          <w:lang w:val="pt-PT"/>
        </w:rPr>
        <w:t>.</w:t>
      </w:r>
    </w:p>
    <w:p w14:paraId="580D877A" w14:textId="173D672D" w:rsidR="0077031F" w:rsidRPr="00110D6C" w:rsidRDefault="00030085" w:rsidP="00D74B6E">
      <w:pPr>
        <w:pStyle w:val="Listenabsatz"/>
        <w:widowControl/>
        <w:numPr>
          <w:ilvl w:val="0"/>
          <w:numId w:val="16"/>
        </w:numPr>
        <w:ind w:left="567" w:hanging="567"/>
        <w:rPr>
          <w:rFonts w:cs="Times New Roman"/>
          <w:color w:val="auto"/>
          <w:szCs w:val="22"/>
          <w:lang w:val="pt-PT"/>
        </w:rPr>
      </w:pPr>
      <w:r w:rsidRPr="00110D6C">
        <w:rPr>
          <w:rFonts w:cs="Times New Roman"/>
          <w:color w:val="auto"/>
          <w:szCs w:val="22"/>
          <w:lang w:val="pt-PT"/>
        </w:rPr>
        <w:t xml:space="preserve">No entanto, você e o seu médico podem decidir que é capaz de administrar a sua própria injeção de </w:t>
      </w:r>
      <w:r w:rsidR="00D50CFA">
        <w:rPr>
          <w:rFonts w:cs="Times New Roman"/>
          <w:color w:val="auto"/>
          <w:szCs w:val="22"/>
          <w:lang w:val="pt-PT"/>
        </w:rPr>
        <w:t>Fymskina</w:t>
      </w:r>
      <w:r w:rsidRPr="00110D6C">
        <w:rPr>
          <w:rFonts w:cs="Times New Roman"/>
          <w:color w:val="auto"/>
          <w:szCs w:val="22"/>
          <w:lang w:val="pt-PT"/>
        </w:rPr>
        <w:t xml:space="preserve">. Neste caso, irá ser instruído sobre como injetar </w:t>
      </w:r>
      <w:r w:rsidR="00D50CFA">
        <w:rPr>
          <w:rFonts w:cs="Times New Roman"/>
          <w:color w:val="auto"/>
          <w:szCs w:val="22"/>
          <w:lang w:val="pt-PT"/>
        </w:rPr>
        <w:t>Fymskina</w:t>
      </w:r>
      <w:r w:rsidRPr="00110D6C">
        <w:rPr>
          <w:rFonts w:cs="Times New Roman"/>
          <w:color w:val="auto"/>
          <w:szCs w:val="22"/>
          <w:lang w:val="pt-PT"/>
        </w:rPr>
        <w:t xml:space="preserve"> a si próprio.</w:t>
      </w:r>
      <w:r w:rsidR="0094463A">
        <w:rPr>
          <w:rFonts w:cs="Times New Roman"/>
          <w:color w:val="auto"/>
          <w:szCs w:val="22"/>
          <w:lang w:val="pt-PT"/>
        </w:rPr>
        <w:t xml:space="preserve"> Em crianças com 6 anos de idade ou mais, recomenda-se que Fymskina seja administrado por um profissional de saúde ou cuidador após devida formação.</w:t>
      </w:r>
    </w:p>
    <w:p w14:paraId="1A132DFC" w14:textId="29ABDFAC" w:rsidR="0077031F" w:rsidRPr="00110D6C" w:rsidRDefault="00030085" w:rsidP="00D74B6E">
      <w:pPr>
        <w:pStyle w:val="Listenabsatz"/>
        <w:widowControl/>
        <w:numPr>
          <w:ilvl w:val="0"/>
          <w:numId w:val="16"/>
        </w:numPr>
        <w:ind w:left="567" w:hanging="567"/>
        <w:rPr>
          <w:rFonts w:cs="Times New Roman"/>
          <w:color w:val="auto"/>
          <w:szCs w:val="22"/>
          <w:lang w:val="pt-PT"/>
        </w:rPr>
      </w:pPr>
      <w:r w:rsidRPr="00110D6C">
        <w:rPr>
          <w:rFonts w:cs="Times New Roman"/>
          <w:color w:val="auto"/>
          <w:szCs w:val="22"/>
          <w:lang w:val="pt-PT"/>
        </w:rPr>
        <w:lastRenderedPageBreak/>
        <w:t xml:space="preserve">Para instruções sobre como injetar </w:t>
      </w:r>
      <w:r w:rsidR="00D50CFA">
        <w:rPr>
          <w:rFonts w:cs="Times New Roman"/>
          <w:color w:val="auto"/>
          <w:szCs w:val="22"/>
          <w:lang w:val="pt-PT"/>
        </w:rPr>
        <w:t>Fymskina</w:t>
      </w:r>
      <w:r w:rsidRPr="00110D6C">
        <w:rPr>
          <w:rFonts w:cs="Times New Roman"/>
          <w:color w:val="auto"/>
          <w:szCs w:val="22"/>
          <w:lang w:val="pt-PT"/>
        </w:rPr>
        <w:t>, ver “Instruções para administração” no final deste</w:t>
      </w:r>
      <w:r w:rsidR="00E15739" w:rsidRPr="00110D6C">
        <w:rPr>
          <w:rFonts w:cs="Times New Roman"/>
          <w:color w:val="auto"/>
          <w:szCs w:val="22"/>
          <w:lang w:val="pt-PT"/>
        </w:rPr>
        <w:t xml:space="preserve"> </w:t>
      </w:r>
      <w:r w:rsidRPr="00110D6C">
        <w:rPr>
          <w:rFonts w:cs="Times New Roman"/>
          <w:color w:val="auto"/>
          <w:szCs w:val="22"/>
          <w:lang w:val="pt-PT"/>
        </w:rPr>
        <w:t>folheto informativo.</w:t>
      </w:r>
    </w:p>
    <w:p w14:paraId="6CD7EE24" w14:textId="77777777" w:rsidR="0077031F" w:rsidRPr="00110D6C" w:rsidRDefault="00030085" w:rsidP="00B24AAC">
      <w:pPr>
        <w:keepNext/>
        <w:keepLines/>
        <w:widowControl/>
        <w:rPr>
          <w:rFonts w:cs="Times New Roman"/>
          <w:color w:val="auto"/>
          <w:szCs w:val="22"/>
          <w:lang w:val="pt-PT"/>
        </w:rPr>
      </w:pPr>
      <w:r w:rsidRPr="00110D6C">
        <w:rPr>
          <w:rFonts w:cs="Times New Roman"/>
          <w:color w:val="auto"/>
          <w:szCs w:val="22"/>
          <w:lang w:val="pt-PT"/>
        </w:rPr>
        <w:t>Fale com o seu médico se tiver qualquer dúvida sobre a administração da injeção a si próprio.</w:t>
      </w:r>
    </w:p>
    <w:p w14:paraId="32D7D3DD" w14:textId="77777777" w:rsidR="00E15739" w:rsidRPr="00110D6C" w:rsidRDefault="00E15739" w:rsidP="00B24AAC">
      <w:pPr>
        <w:keepNext/>
        <w:keepLines/>
        <w:widowControl/>
        <w:rPr>
          <w:rFonts w:cs="Times New Roman"/>
          <w:bCs/>
          <w:color w:val="auto"/>
          <w:szCs w:val="22"/>
          <w:lang w:val="pt-PT"/>
        </w:rPr>
      </w:pPr>
      <w:bookmarkStart w:id="218" w:name="bookmark375"/>
    </w:p>
    <w:p w14:paraId="1CE797A2" w14:textId="41B09769" w:rsidR="0077031F" w:rsidRPr="00110D6C" w:rsidRDefault="00030085" w:rsidP="00B24AAC">
      <w:pPr>
        <w:keepNext/>
        <w:keepLines/>
        <w:widowControl/>
        <w:rPr>
          <w:rFonts w:cs="Times New Roman"/>
          <w:color w:val="auto"/>
          <w:szCs w:val="22"/>
          <w:lang w:val="pt-PT"/>
        </w:rPr>
      </w:pPr>
      <w:r w:rsidRPr="00110D6C">
        <w:rPr>
          <w:rFonts w:cs="Times New Roman"/>
          <w:b/>
          <w:bCs/>
          <w:color w:val="auto"/>
          <w:szCs w:val="22"/>
          <w:lang w:val="pt-PT"/>
        </w:rPr>
        <w:t xml:space="preserve">Se utilizar mais </w:t>
      </w:r>
      <w:r w:rsidR="00D50CFA">
        <w:rPr>
          <w:rFonts w:cs="Times New Roman"/>
          <w:b/>
          <w:bCs/>
          <w:color w:val="auto"/>
          <w:szCs w:val="22"/>
          <w:lang w:val="pt-PT"/>
        </w:rPr>
        <w:t>Fymskina</w:t>
      </w:r>
      <w:r w:rsidRPr="00110D6C">
        <w:rPr>
          <w:rFonts w:cs="Times New Roman"/>
          <w:b/>
          <w:bCs/>
          <w:color w:val="auto"/>
          <w:szCs w:val="22"/>
          <w:lang w:val="pt-PT"/>
        </w:rPr>
        <w:t xml:space="preserve"> do que deveria</w:t>
      </w:r>
      <w:bookmarkEnd w:id="218"/>
    </w:p>
    <w:p w14:paraId="7BB0ED3A" w14:textId="270212CB"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Caso tenha utilizado ou lhe tenha sido administrado mais </w:t>
      </w:r>
      <w:r w:rsidR="00D50CFA">
        <w:rPr>
          <w:rFonts w:cs="Times New Roman"/>
          <w:color w:val="auto"/>
          <w:szCs w:val="22"/>
          <w:lang w:val="pt-PT"/>
        </w:rPr>
        <w:t>Fymskina</w:t>
      </w:r>
      <w:r w:rsidRPr="00110D6C">
        <w:rPr>
          <w:rFonts w:cs="Times New Roman"/>
          <w:color w:val="auto"/>
          <w:szCs w:val="22"/>
          <w:lang w:val="pt-PT"/>
        </w:rPr>
        <w:t xml:space="preserve"> do que deveria, informe imediatamente um médico ou farmacêutico. Tenha sempre a embalagem exterior do medicamento consigo, mesmo que esteja vazia.</w:t>
      </w:r>
    </w:p>
    <w:p w14:paraId="4D89BFEF" w14:textId="77777777" w:rsidR="00E15739" w:rsidRPr="00110D6C" w:rsidRDefault="00E15739" w:rsidP="00A17623">
      <w:pPr>
        <w:widowControl/>
        <w:rPr>
          <w:rFonts w:cs="Times New Roman"/>
          <w:bCs/>
          <w:color w:val="auto"/>
          <w:szCs w:val="22"/>
          <w:lang w:val="pt-PT"/>
        </w:rPr>
      </w:pPr>
      <w:bookmarkStart w:id="219" w:name="bookmark377"/>
    </w:p>
    <w:p w14:paraId="38950306" w14:textId="1597C972"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Caso se tenha esquecido de utilizar </w:t>
      </w:r>
      <w:bookmarkEnd w:id="219"/>
      <w:r w:rsidR="00D50CFA">
        <w:rPr>
          <w:rFonts w:cs="Times New Roman"/>
          <w:b/>
          <w:bCs/>
          <w:color w:val="auto"/>
          <w:szCs w:val="22"/>
          <w:lang w:val="pt-PT"/>
        </w:rPr>
        <w:t>Fymskina</w:t>
      </w:r>
    </w:p>
    <w:p w14:paraId="47A1D6CB"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Caso se tenha esquecido de uma dose, contacte o seu médico ou farmacêutico. Não tome uma dose a dobrar para compensar uma dose que se esqueceu de tomar.</w:t>
      </w:r>
    </w:p>
    <w:p w14:paraId="26BA0CE1" w14:textId="77777777" w:rsidR="00E15739" w:rsidRPr="00110D6C" w:rsidRDefault="00E15739" w:rsidP="00A17623">
      <w:pPr>
        <w:widowControl/>
        <w:rPr>
          <w:rFonts w:cs="Times New Roman"/>
          <w:bCs/>
          <w:color w:val="auto"/>
          <w:szCs w:val="22"/>
          <w:lang w:val="pt-PT"/>
        </w:rPr>
      </w:pPr>
      <w:bookmarkStart w:id="220" w:name="bookmark379"/>
    </w:p>
    <w:p w14:paraId="4A8CD321" w14:textId="17EAB12D"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Se parar de utilizar </w:t>
      </w:r>
      <w:bookmarkEnd w:id="220"/>
      <w:r w:rsidR="00D50CFA">
        <w:rPr>
          <w:rFonts w:cs="Times New Roman"/>
          <w:b/>
          <w:bCs/>
          <w:color w:val="auto"/>
          <w:szCs w:val="22"/>
          <w:lang w:val="pt-PT"/>
        </w:rPr>
        <w:t>Fymskina</w:t>
      </w:r>
    </w:p>
    <w:p w14:paraId="178C6618" w14:textId="46849911"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Não é perigoso deixar de utilizar </w:t>
      </w:r>
      <w:r w:rsidR="00D50CFA">
        <w:rPr>
          <w:rFonts w:cs="Times New Roman"/>
          <w:color w:val="auto"/>
          <w:szCs w:val="22"/>
          <w:lang w:val="pt-PT"/>
        </w:rPr>
        <w:t>Fymskina</w:t>
      </w:r>
      <w:r w:rsidRPr="00110D6C">
        <w:rPr>
          <w:rFonts w:cs="Times New Roman"/>
          <w:color w:val="auto"/>
          <w:szCs w:val="22"/>
          <w:lang w:val="pt-PT"/>
        </w:rPr>
        <w:t>. No entanto, se parar, os seus sintomas podem voltar.</w:t>
      </w:r>
    </w:p>
    <w:p w14:paraId="003556AD" w14:textId="77777777" w:rsidR="00E15739" w:rsidRPr="00110D6C" w:rsidRDefault="00E15739" w:rsidP="00A17623">
      <w:pPr>
        <w:widowControl/>
        <w:rPr>
          <w:rFonts w:cs="Times New Roman"/>
          <w:color w:val="auto"/>
          <w:szCs w:val="22"/>
          <w:lang w:val="pt-PT"/>
        </w:rPr>
      </w:pPr>
    </w:p>
    <w:p w14:paraId="194AE7EB"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Caso ainda tenha dúvidas sobre a utilização deste medicamento, fale com o seu médico ou farmacêutico.</w:t>
      </w:r>
    </w:p>
    <w:p w14:paraId="69AFD745" w14:textId="77777777" w:rsidR="00E15739" w:rsidRPr="00110D6C" w:rsidRDefault="00E15739" w:rsidP="00A17623">
      <w:pPr>
        <w:widowControl/>
        <w:rPr>
          <w:rFonts w:cs="Times New Roman"/>
          <w:bCs/>
          <w:color w:val="auto"/>
          <w:szCs w:val="22"/>
          <w:lang w:val="pt-PT"/>
        </w:rPr>
      </w:pPr>
      <w:bookmarkStart w:id="221" w:name="bookmark381"/>
    </w:p>
    <w:p w14:paraId="19E2636B" w14:textId="77777777" w:rsidR="00E15739" w:rsidRPr="00110D6C" w:rsidRDefault="00E15739" w:rsidP="00A17623">
      <w:pPr>
        <w:widowControl/>
        <w:rPr>
          <w:rFonts w:cs="Times New Roman"/>
          <w:bCs/>
          <w:color w:val="auto"/>
          <w:szCs w:val="22"/>
          <w:lang w:val="pt-PT"/>
        </w:rPr>
      </w:pPr>
    </w:p>
    <w:p w14:paraId="1D0CB466" w14:textId="77777777" w:rsidR="0077031F" w:rsidRPr="00110D6C" w:rsidRDefault="00030085" w:rsidP="00E15739">
      <w:pPr>
        <w:widowControl/>
        <w:ind w:left="567" w:hanging="567"/>
        <w:rPr>
          <w:rFonts w:cs="Times New Roman"/>
          <w:color w:val="auto"/>
          <w:szCs w:val="22"/>
          <w:lang w:val="pt-PT"/>
        </w:rPr>
      </w:pPr>
      <w:r w:rsidRPr="00110D6C">
        <w:rPr>
          <w:rFonts w:cs="Times New Roman"/>
          <w:b/>
          <w:bCs/>
          <w:color w:val="auto"/>
          <w:szCs w:val="22"/>
          <w:lang w:val="pt-PT"/>
        </w:rPr>
        <w:t>4.</w:t>
      </w:r>
      <w:r w:rsidR="00E15739" w:rsidRPr="00110D6C">
        <w:rPr>
          <w:rFonts w:cs="Times New Roman"/>
          <w:b/>
          <w:bCs/>
          <w:color w:val="auto"/>
          <w:szCs w:val="22"/>
          <w:lang w:val="pt-PT"/>
        </w:rPr>
        <w:tab/>
      </w:r>
      <w:r w:rsidRPr="00110D6C">
        <w:rPr>
          <w:rFonts w:cs="Times New Roman"/>
          <w:b/>
          <w:bCs/>
          <w:color w:val="auto"/>
          <w:szCs w:val="22"/>
          <w:lang w:val="pt-PT"/>
        </w:rPr>
        <w:t>Efeitos indesejáveis possíveis</w:t>
      </w:r>
      <w:bookmarkEnd w:id="221"/>
    </w:p>
    <w:p w14:paraId="0B716D32" w14:textId="77777777" w:rsidR="00E15739" w:rsidRPr="00110D6C" w:rsidRDefault="00E15739" w:rsidP="00A17623">
      <w:pPr>
        <w:widowControl/>
        <w:rPr>
          <w:rFonts w:cs="Times New Roman"/>
          <w:color w:val="auto"/>
          <w:szCs w:val="22"/>
          <w:lang w:val="pt-PT"/>
        </w:rPr>
      </w:pPr>
    </w:p>
    <w:p w14:paraId="1976DD3A"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Como todos os medicamentos, este medicamento pode causar efeitos indesejáveis, embora estes não se manifestem em todas as pessoas.</w:t>
      </w:r>
    </w:p>
    <w:p w14:paraId="0011A72E" w14:textId="77777777" w:rsidR="00E15739" w:rsidRPr="00110D6C" w:rsidRDefault="00E15739" w:rsidP="00A17623">
      <w:pPr>
        <w:widowControl/>
        <w:rPr>
          <w:rFonts w:cs="Times New Roman"/>
          <w:bCs/>
          <w:color w:val="auto"/>
          <w:szCs w:val="22"/>
          <w:lang w:val="pt-PT"/>
        </w:rPr>
      </w:pPr>
      <w:bookmarkStart w:id="222" w:name="bookmark383"/>
    </w:p>
    <w:p w14:paraId="40475086"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Efeitos indesejáveis graves</w:t>
      </w:r>
      <w:bookmarkEnd w:id="222"/>
    </w:p>
    <w:p w14:paraId="0AE90318"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Alguns doentes têm efeitos indesejáveis graves que podem necessitar de tratamento urgente.</w:t>
      </w:r>
    </w:p>
    <w:p w14:paraId="28286BBD" w14:textId="77777777" w:rsidR="00E15739" w:rsidRPr="00110D6C" w:rsidRDefault="00E15739" w:rsidP="00A17623">
      <w:pPr>
        <w:widowControl/>
        <w:rPr>
          <w:rFonts w:cs="Times New Roman"/>
          <w:bCs/>
          <w:color w:val="auto"/>
          <w:szCs w:val="22"/>
          <w:lang w:val="pt-PT"/>
        </w:rPr>
      </w:pPr>
      <w:bookmarkStart w:id="223" w:name="bookmark385"/>
    </w:p>
    <w:p w14:paraId="31B9F818"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Reações alérgicas - pode necessitar de tratamento médico urgente. Fale com o seu médico ou tenha ajuda de emergência médica se notar algum dos seguintes sinais.</w:t>
      </w:r>
      <w:bookmarkEnd w:id="223"/>
    </w:p>
    <w:p w14:paraId="466F80AB" w14:textId="67F0FA30" w:rsidR="0077031F" w:rsidRPr="00110D6C" w:rsidRDefault="00030085" w:rsidP="00D74B6E">
      <w:pPr>
        <w:pStyle w:val="Listenabsatz"/>
        <w:widowControl/>
        <w:numPr>
          <w:ilvl w:val="0"/>
          <w:numId w:val="17"/>
        </w:numPr>
        <w:ind w:left="567" w:hanging="567"/>
        <w:rPr>
          <w:rFonts w:cs="Times New Roman"/>
          <w:color w:val="auto"/>
          <w:szCs w:val="22"/>
          <w:lang w:val="pt-PT"/>
        </w:rPr>
      </w:pPr>
      <w:r w:rsidRPr="00110D6C">
        <w:rPr>
          <w:rFonts w:cs="Times New Roman"/>
          <w:color w:val="auto"/>
          <w:szCs w:val="22"/>
          <w:lang w:val="pt-PT"/>
        </w:rPr>
        <w:t xml:space="preserve">Reações alérgicas graves (“anafilaxia”) são raras em pessoas que estão a utilizar </w:t>
      </w:r>
      <w:r w:rsidR="0094463A">
        <w:rPr>
          <w:rFonts w:cs="Times New Roman"/>
          <w:color w:val="auto"/>
          <w:szCs w:val="22"/>
          <w:lang w:val="pt-PT"/>
        </w:rPr>
        <w:t>medicamentos contendo ustecinumab</w:t>
      </w:r>
      <w:r w:rsidR="00E15739" w:rsidRPr="00110D6C">
        <w:rPr>
          <w:rFonts w:cs="Times New Roman"/>
          <w:color w:val="auto"/>
          <w:szCs w:val="22"/>
          <w:lang w:val="pt-PT"/>
        </w:rPr>
        <w:t xml:space="preserve"> </w:t>
      </w:r>
      <w:r w:rsidRPr="00110D6C">
        <w:rPr>
          <w:rFonts w:cs="Times New Roman"/>
          <w:color w:val="auto"/>
          <w:szCs w:val="22"/>
          <w:lang w:val="pt-PT"/>
        </w:rPr>
        <w:t xml:space="preserve">(pode afetar até </w:t>
      </w:r>
      <w:r w:rsidR="00B910F9" w:rsidRPr="00110D6C">
        <w:rPr>
          <w:rFonts w:cs="Times New Roman"/>
          <w:color w:val="auto"/>
          <w:szCs w:val="22"/>
          <w:lang w:val="pt-PT"/>
        </w:rPr>
        <w:t>1 </w:t>
      </w:r>
      <w:r w:rsidRPr="00110D6C">
        <w:rPr>
          <w:rFonts w:cs="Times New Roman"/>
          <w:color w:val="auto"/>
          <w:szCs w:val="22"/>
          <w:lang w:val="pt-PT"/>
        </w:rPr>
        <w:t>em cada 100</w:t>
      </w:r>
      <w:r w:rsidR="00B910F9" w:rsidRPr="00110D6C">
        <w:rPr>
          <w:rFonts w:cs="Times New Roman"/>
          <w:color w:val="auto"/>
          <w:szCs w:val="22"/>
          <w:lang w:val="pt-PT"/>
        </w:rPr>
        <w:t>0 </w:t>
      </w:r>
      <w:r w:rsidRPr="00110D6C">
        <w:rPr>
          <w:rFonts w:cs="Times New Roman"/>
          <w:color w:val="auto"/>
          <w:szCs w:val="22"/>
          <w:lang w:val="pt-PT"/>
        </w:rPr>
        <w:t>pessoas). Estes sinais incluem: o dificuldade em respirar ou engolir</w:t>
      </w:r>
    </w:p>
    <w:p w14:paraId="3EA7F2B1" w14:textId="77777777" w:rsidR="00E15739" w:rsidRPr="00110D6C" w:rsidRDefault="00030085" w:rsidP="00D74B6E">
      <w:pPr>
        <w:pStyle w:val="Listenabsatz"/>
        <w:widowControl/>
        <w:numPr>
          <w:ilvl w:val="0"/>
          <w:numId w:val="17"/>
        </w:numPr>
        <w:ind w:left="567" w:hanging="567"/>
        <w:rPr>
          <w:rFonts w:cs="Times New Roman"/>
          <w:color w:val="auto"/>
          <w:szCs w:val="22"/>
          <w:lang w:val="pt-PT"/>
        </w:rPr>
      </w:pPr>
      <w:r w:rsidRPr="00110D6C">
        <w:rPr>
          <w:rFonts w:cs="Times New Roman"/>
          <w:color w:val="auto"/>
          <w:szCs w:val="22"/>
          <w:lang w:val="pt-PT"/>
        </w:rPr>
        <w:t>o tensão arterial baixa,</w:t>
      </w:r>
    </w:p>
    <w:p w14:paraId="4C165095" w14:textId="77777777" w:rsidR="0077031F" w:rsidRPr="00110D6C" w:rsidRDefault="00030085" w:rsidP="00D74B6E">
      <w:pPr>
        <w:pStyle w:val="Listenabsatz"/>
        <w:widowControl/>
        <w:numPr>
          <w:ilvl w:val="0"/>
          <w:numId w:val="17"/>
        </w:numPr>
        <w:ind w:left="567" w:hanging="567"/>
        <w:rPr>
          <w:rFonts w:cs="Times New Roman"/>
          <w:color w:val="auto"/>
          <w:szCs w:val="22"/>
          <w:lang w:val="pt-PT"/>
        </w:rPr>
      </w:pPr>
      <w:r w:rsidRPr="00110D6C">
        <w:rPr>
          <w:rFonts w:cs="Times New Roman"/>
          <w:color w:val="auto"/>
          <w:szCs w:val="22"/>
          <w:lang w:val="pt-PT"/>
        </w:rPr>
        <w:t>o que pode causar vertigens ou tonturas</w:t>
      </w:r>
    </w:p>
    <w:p w14:paraId="0F1E4DA2" w14:textId="77777777" w:rsidR="0077031F" w:rsidRPr="00110D6C" w:rsidRDefault="00030085" w:rsidP="00D74B6E">
      <w:pPr>
        <w:pStyle w:val="Listenabsatz"/>
        <w:widowControl/>
        <w:numPr>
          <w:ilvl w:val="0"/>
          <w:numId w:val="17"/>
        </w:numPr>
        <w:ind w:left="567" w:hanging="567"/>
        <w:rPr>
          <w:rFonts w:cs="Times New Roman"/>
          <w:color w:val="auto"/>
          <w:szCs w:val="22"/>
          <w:lang w:val="pt-PT"/>
        </w:rPr>
      </w:pPr>
      <w:r w:rsidRPr="00110D6C">
        <w:rPr>
          <w:rFonts w:cs="Times New Roman"/>
          <w:color w:val="auto"/>
          <w:szCs w:val="22"/>
          <w:lang w:val="pt-PT"/>
        </w:rPr>
        <w:t>o</w:t>
      </w:r>
      <w:r w:rsidR="00E15739" w:rsidRPr="00110D6C">
        <w:rPr>
          <w:rFonts w:cs="Times New Roman"/>
          <w:color w:val="auto"/>
          <w:szCs w:val="22"/>
          <w:lang w:val="pt-PT"/>
        </w:rPr>
        <w:t xml:space="preserve"> </w:t>
      </w:r>
      <w:r w:rsidRPr="00110D6C">
        <w:rPr>
          <w:rFonts w:cs="Times New Roman"/>
          <w:color w:val="auto"/>
          <w:szCs w:val="22"/>
          <w:lang w:val="pt-PT"/>
        </w:rPr>
        <w:t>inchaço da face, lábios, boca ou garganta.</w:t>
      </w:r>
    </w:p>
    <w:p w14:paraId="1894E9BD" w14:textId="77777777" w:rsidR="0077031F" w:rsidRPr="00110D6C" w:rsidRDefault="00030085" w:rsidP="00D74B6E">
      <w:pPr>
        <w:pStyle w:val="Listenabsatz"/>
        <w:widowControl/>
        <w:numPr>
          <w:ilvl w:val="0"/>
          <w:numId w:val="17"/>
        </w:numPr>
        <w:ind w:left="567" w:hanging="567"/>
        <w:rPr>
          <w:rFonts w:cs="Times New Roman"/>
          <w:color w:val="auto"/>
          <w:szCs w:val="22"/>
          <w:lang w:val="pt-PT"/>
        </w:rPr>
      </w:pPr>
      <w:r w:rsidRPr="00110D6C">
        <w:rPr>
          <w:rFonts w:cs="Times New Roman"/>
          <w:color w:val="auto"/>
          <w:szCs w:val="22"/>
          <w:lang w:val="pt-PT"/>
        </w:rPr>
        <w:t>Sinais frequentes de uma reação alérgica podem incluir erupção na pele e urticária (pode</w:t>
      </w:r>
      <w:r w:rsidR="00E15739" w:rsidRPr="00110D6C">
        <w:rPr>
          <w:rFonts w:cs="Times New Roman"/>
          <w:color w:val="auto"/>
          <w:szCs w:val="22"/>
          <w:lang w:val="pt-PT"/>
        </w:rPr>
        <w:t xml:space="preserve"> </w:t>
      </w:r>
      <w:r w:rsidRPr="00110D6C">
        <w:rPr>
          <w:rFonts w:cs="Times New Roman"/>
          <w:color w:val="auto"/>
          <w:szCs w:val="22"/>
          <w:lang w:val="pt-PT"/>
        </w:rPr>
        <w:t xml:space="preserve">afetar até </w:t>
      </w:r>
      <w:r w:rsidR="00B910F9" w:rsidRPr="00110D6C">
        <w:rPr>
          <w:rFonts w:cs="Times New Roman"/>
          <w:color w:val="auto"/>
          <w:szCs w:val="22"/>
          <w:lang w:val="pt-PT"/>
        </w:rPr>
        <w:t>1 </w:t>
      </w:r>
      <w:r w:rsidRPr="00110D6C">
        <w:rPr>
          <w:rFonts w:cs="Times New Roman"/>
          <w:color w:val="auto"/>
          <w:szCs w:val="22"/>
          <w:lang w:val="pt-PT"/>
        </w:rPr>
        <w:t>em cada 10</w:t>
      </w:r>
      <w:r w:rsidR="00B910F9" w:rsidRPr="00110D6C">
        <w:rPr>
          <w:rFonts w:cs="Times New Roman"/>
          <w:color w:val="auto"/>
          <w:szCs w:val="22"/>
          <w:lang w:val="pt-PT"/>
        </w:rPr>
        <w:t>0 </w:t>
      </w:r>
      <w:r w:rsidRPr="00110D6C">
        <w:rPr>
          <w:rFonts w:cs="Times New Roman"/>
          <w:color w:val="auto"/>
          <w:szCs w:val="22"/>
          <w:lang w:val="pt-PT"/>
        </w:rPr>
        <w:t>pessoas).</w:t>
      </w:r>
    </w:p>
    <w:p w14:paraId="23D7BFBE" w14:textId="77777777" w:rsidR="00E15739" w:rsidRPr="00110D6C" w:rsidRDefault="00E15739" w:rsidP="00A17623">
      <w:pPr>
        <w:widowControl/>
        <w:rPr>
          <w:rFonts w:cs="Times New Roman"/>
          <w:bCs/>
          <w:color w:val="auto"/>
          <w:szCs w:val="22"/>
          <w:lang w:val="pt-PT"/>
        </w:rPr>
      </w:pPr>
    </w:p>
    <w:p w14:paraId="26E3ABD3"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Em casos raros, foram reportadas reações alérgicas pulmonares e inflamação pulmonar em doentes que receberam ustecinumab. Informe imediatamente o seu médico se desenvolver sintomas como tosse, falta de ar e febre.</w:t>
      </w:r>
    </w:p>
    <w:p w14:paraId="0743824A" w14:textId="77777777" w:rsidR="00E15739" w:rsidRPr="00110D6C" w:rsidRDefault="00E15739" w:rsidP="00A17623">
      <w:pPr>
        <w:widowControl/>
        <w:rPr>
          <w:rFonts w:cs="Times New Roman"/>
          <w:color w:val="auto"/>
          <w:szCs w:val="22"/>
          <w:lang w:val="pt-PT"/>
        </w:rPr>
      </w:pPr>
    </w:p>
    <w:p w14:paraId="43EA130B" w14:textId="22BAFB8D"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Se tiver uma reação alérgica grave, o seu médico pode decidir que não deve usar </w:t>
      </w:r>
      <w:r w:rsidR="00D50CFA">
        <w:rPr>
          <w:rFonts w:cs="Times New Roman"/>
          <w:color w:val="auto"/>
          <w:szCs w:val="22"/>
          <w:lang w:val="pt-PT"/>
        </w:rPr>
        <w:t>Fymskina</w:t>
      </w:r>
      <w:r w:rsidRPr="00110D6C">
        <w:rPr>
          <w:rFonts w:cs="Times New Roman"/>
          <w:color w:val="auto"/>
          <w:szCs w:val="22"/>
          <w:lang w:val="pt-PT"/>
        </w:rPr>
        <w:t xml:space="preserve"> novamente.</w:t>
      </w:r>
    </w:p>
    <w:p w14:paraId="05E975C0" w14:textId="77777777" w:rsidR="00E15739" w:rsidRPr="00110D6C" w:rsidRDefault="00E15739" w:rsidP="00A17623">
      <w:pPr>
        <w:widowControl/>
        <w:rPr>
          <w:rFonts w:cs="Times New Roman"/>
          <w:bCs/>
          <w:color w:val="auto"/>
          <w:szCs w:val="22"/>
          <w:lang w:val="pt-PT"/>
        </w:rPr>
      </w:pPr>
      <w:bookmarkStart w:id="224" w:name="bookmark387"/>
    </w:p>
    <w:p w14:paraId="6856F7AD"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Infeções - pode necessitar de tratamento médico urgente. Fale com o seu médico imediatamente se notar algum dos seguintes sinais.</w:t>
      </w:r>
      <w:bookmarkEnd w:id="224"/>
    </w:p>
    <w:p w14:paraId="6B689923" w14:textId="77777777" w:rsidR="0077031F" w:rsidRPr="00110D6C" w:rsidRDefault="00030085" w:rsidP="00D74B6E">
      <w:pPr>
        <w:pStyle w:val="Listenabsatz"/>
        <w:widowControl/>
        <w:numPr>
          <w:ilvl w:val="0"/>
          <w:numId w:val="17"/>
        </w:numPr>
        <w:ind w:left="567" w:hanging="567"/>
        <w:rPr>
          <w:rFonts w:cs="Times New Roman"/>
          <w:color w:val="auto"/>
          <w:szCs w:val="22"/>
          <w:lang w:val="pt-PT"/>
        </w:rPr>
      </w:pPr>
      <w:r w:rsidRPr="00110D6C">
        <w:rPr>
          <w:rFonts w:cs="Times New Roman"/>
          <w:color w:val="auto"/>
          <w:szCs w:val="22"/>
          <w:lang w:val="pt-PT"/>
        </w:rPr>
        <w:t>Infeções do nariz e da garganta e constipações comuns são frequentes (podem afetar até 1</w:t>
      </w:r>
      <w:r w:rsidR="00E15739" w:rsidRPr="00110D6C">
        <w:rPr>
          <w:rFonts w:cs="Times New Roman"/>
          <w:color w:val="auto"/>
          <w:szCs w:val="22"/>
          <w:lang w:val="pt-PT"/>
        </w:rPr>
        <w:t xml:space="preserve"> </w:t>
      </w:r>
      <w:r w:rsidRPr="00110D6C">
        <w:rPr>
          <w:rFonts w:cs="Times New Roman"/>
          <w:color w:val="auto"/>
          <w:szCs w:val="22"/>
          <w:lang w:val="pt-PT"/>
        </w:rPr>
        <w:t>em cada 1</w:t>
      </w:r>
      <w:r w:rsidR="00B910F9" w:rsidRPr="00110D6C">
        <w:rPr>
          <w:rFonts w:cs="Times New Roman"/>
          <w:color w:val="auto"/>
          <w:szCs w:val="22"/>
          <w:lang w:val="pt-PT"/>
        </w:rPr>
        <w:t>0 </w:t>
      </w:r>
      <w:r w:rsidRPr="00110D6C">
        <w:rPr>
          <w:rFonts w:cs="Times New Roman"/>
          <w:color w:val="auto"/>
          <w:szCs w:val="22"/>
          <w:lang w:val="pt-PT"/>
        </w:rPr>
        <w:t>pessoas)</w:t>
      </w:r>
    </w:p>
    <w:p w14:paraId="26C7C622" w14:textId="77777777" w:rsidR="0077031F" w:rsidRPr="00110D6C" w:rsidRDefault="00030085" w:rsidP="00D74B6E">
      <w:pPr>
        <w:pStyle w:val="Listenabsatz"/>
        <w:widowControl/>
        <w:numPr>
          <w:ilvl w:val="0"/>
          <w:numId w:val="17"/>
        </w:numPr>
        <w:ind w:left="567" w:hanging="567"/>
        <w:rPr>
          <w:rFonts w:cs="Times New Roman"/>
          <w:color w:val="auto"/>
          <w:szCs w:val="22"/>
          <w:lang w:val="pt-PT"/>
        </w:rPr>
      </w:pPr>
      <w:r w:rsidRPr="00110D6C">
        <w:rPr>
          <w:rFonts w:cs="Times New Roman"/>
          <w:color w:val="auto"/>
          <w:szCs w:val="22"/>
          <w:lang w:val="pt-PT"/>
        </w:rPr>
        <w:t xml:space="preserve">Infeções do tórax são pouco frequentes (podem afetar até </w:t>
      </w:r>
      <w:r w:rsidR="00B910F9" w:rsidRPr="00110D6C">
        <w:rPr>
          <w:rFonts w:cs="Times New Roman"/>
          <w:color w:val="auto"/>
          <w:szCs w:val="22"/>
          <w:lang w:val="pt-PT"/>
        </w:rPr>
        <w:t>1 </w:t>
      </w:r>
      <w:r w:rsidRPr="00110D6C">
        <w:rPr>
          <w:rFonts w:cs="Times New Roman"/>
          <w:color w:val="auto"/>
          <w:szCs w:val="22"/>
          <w:lang w:val="pt-PT"/>
        </w:rPr>
        <w:t>em cada 10</w:t>
      </w:r>
      <w:r w:rsidR="00B910F9" w:rsidRPr="00110D6C">
        <w:rPr>
          <w:rFonts w:cs="Times New Roman"/>
          <w:color w:val="auto"/>
          <w:szCs w:val="22"/>
          <w:lang w:val="pt-PT"/>
        </w:rPr>
        <w:t>0 </w:t>
      </w:r>
      <w:r w:rsidRPr="00110D6C">
        <w:rPr>
          <w:rFonts w:cs="Times New Roman"/>
          <w:color w:val="auto"/>
          <w:szCs w:val="22"/>
          <w:lang w:val="pt-PT"/>
        </w:rPr>
        <w:t>pessoas)</w:t>
      </w:r>
    </w:p>
    <w:p w14:paraId="5908C7EA" w14:textId="77777777" w:rsidR="0077031F" w:rsidRPr="00110D6C" w:rsidRDefault="00030085" w:rsidP="00D74B6E">
      <w:pPr>
        <w:pStyle w:val="Listenabsatz"/>
        <w:widowControl/>
        <w:numPr>
          <w:ilvl w:val="0"/>
          <w:numId w:val="17"/>
        </w:numPr>
        <w:ind w:left="567" w:hanging="567"/>
        <w:rPr>
          <w:rFonts w:cs="Times New Roman"/>
          <w:color w:val="auto"/>
          <w:szCs w:val="22"/>
          <w:lang w:val="pt-PT"/>
        </w:rPr>
      </w:pPr>
      <w:r w:rsidRPr="00110D6C">
        <w:rPr>
          <w:rFonts w:cs="Times New Roman"/>
          <w:color w:val="auto"/>
          <w:szCs w:val="22"/>
          <w:lang w:val="pt-PT"/>
        </w:rPr>
        <w:t>Inflamação dos tecidos por baixo da pele (“celulite”) é pouco frequente (pode afetar até 1</w:t>
      </w:r>
      <w:r w:rsidR="00E15739" w:rsidRPr="00110D6C">
        <w:rPr>
          <w:rFonts w:cs="Times New Roman"/>
          <w:color w:val="auto"/>
          <w:szCs w:val="22"/>
          <w:lang w:val="pt-PT"/>
        </w:rPr>
        <w:t xml:space="preserve"> </w:t>
      </w:r>
      <w:r w:rsidRPr="00110D6C">
        <w:rPr>
          <w:rFonts w:cs="Times New Roman"/>
          <w:color w:val="auto"/>
          <w:szCs w:val="22"/>
          <w:lang w:val="pt-PT"/>
        </w:rPr>
        <w:t>em cada 10</w:t>
      </w:r>
      <w:r w:rsidR="00B910F9" w:rsidRPr="00110D6C">
        <w:rPr>
          <w:rFonts w:cs="Times New Roman"/>
          <w:color w:val="auto"/>
          <w:szCs w:val="22"/>
          <w:lang w:val="pt-PT"/>
        </w:rPr>
        <w:t>0 </w:t>
      </w:r>
      <w:r w:rsidRPr="00110D6C">
        <w:rPr>
          <w:rFonts w:cs="Times New Roman"/>
          <w:color w:val="auto"/>
          <w:szCs w:val="22"/>
          <w:lang w:val="pt-PT"/>
        </w:rPr>
        <w:t>pessoas)</w:t>
      </w:r>
    </w:p>
    <w:p w14:paraId="40EA3360" w14:textId="77777777" w:rsidR="0077031F" w:rsidRPr="00110D6C" w:rsidRDefault="00030085" w:rsidP="00D74B6E">
      <w:pPr>
        <w:pStyle w:val="Listenabsatz"/>
        <w:widowControl/>
        <w:numPr>
          <w:ilvl w:val="0"/>
          <w:numId w:val="17"/>
        </w:numPr>
        <w:ind w:left="567" w:hanging="567"/>
        <w:rPr>
          <w:rFonts w:cs="Times New Roman"/>
          <w:color w:val="auto"/>
          <w:szCs w:val="22"/>
          <w:lang w:val="pt-PT"/>
        </w:rPr>
      </w:pPr>
      <w:r w:rsidRPr="00110D6C">
        <w:rPr>
          <w:rFonts w:cs="Times New Roman"/>
          <w:color w:val="auto"/>
          <w:szCs w:val="22"/>
          <w:lang w:val="pt-PT"/>
        </w:rPr>
        <w:t>Zona (um tipo de erupção na pele dolorosa com bolhas) é pouco frequente (pode afetar</w:t>
      </w:r>
      <w:r w:rsidR="00E15739" w:rsidRPr="00110D6C">
        <w:rPr>
          <w:rFonts w:cs="Times New Roman"/>
          <w:color w:val="auto"/>
          <w:szCs w:val="22"/>
          <w:lang w:val="pt-PT"/>
        </w:rPr>
        <w:t xml:space="preserve"> </w:t>
      </w:r>
      <w:r w:rsidRPr="00110D6C">
        <w:rPr>
          <w:rFonts w:cs="Times New Roman"/>
          <w:color w:val="auto"/>
          <w:szCs w:val="22"/>
          <w:lang w:val="pt-PT"/>
        </w:rPr>
        <w:t xml:space="preserve">até </w:t>
      </w:r>
      <w:r w:rsidR="00B910F9" w:rsidRPr="00110D6C">
        <w:rPr>
          <w:rFonts w:cs="Times New Roman"/>
          <w:color w:val="auto"/>
          <w:szCs w:val="22"/>
          <w:lang w:val="pt-PT"/>
        </w:rPr>
        <w:t>1 </w:t>
      </w:r>
      <w:r w:rsidRPr="00110D6C">
        <w:rPr>
          <w:rFonts w:cs="Times New Roman"/>
          <w:color w:val="auto"/>
          <w:szCs w:val="22"/>
          <w:lang w:val="pt-PT"/>
        </w:rPr>
        <w:t>em cada 10</w:t>
      </w:r>
      <w:r w:rsidR="00B910F9" w:rsidRPr="00110D6C">
        <w:rPr>
          <w:rFonts w:cs="Times New Roman"/>
          <w:color w:val="auto"/>
          <w:szCs w:val="22"/>
          <w:lang w:val="pt-PT"/>
        </w:rPr>
        <w:t>0 </w:t>
      </w:r>
      <w:r w:rsidRPr="00110D6C">
        <w:rPr>
          <w:rFonts w:cs="Times New Roman"/>
          <w:color w:val="auto"/>
          <w:szCs w:val="22"/>
          <w:lang w:val="pt-PT"/>
        </w:rPr>
        <w:t>pessoas).</w:t>
      </w:r>
    </w:p>
    <w:p w14:paraId="73C1BBC5" w14:textId="77777777" w:rsidR="00CE6188" w:rsidRPr="00110D6C" w:rsidRDefault="00CE6188" w:rsidP="00A17623">
      <w:pPr>
        <w:widowControl/>
        <w:rPr>
          <w:rFonts w:cs="Times New Roman"/>
          <w:color w:val="auto"/>
          <w:szCs w:val="22"/>
          <w:lang w:val="pt-PT"/>
        </w:rPr>
      </w:pPr>
    </w:p>
    <w:p w14:paraId="6A4D62DC" w14:textId="7A510A37" w:rsidR="0077031F" w:rsidRPr="00110D6C" w:rsidRDefault="00D50CFA" w:rsidP="00A17623">
      <w:pPr>
        <w:widowControl/>
        <w:rPr>
          <w:rFonts w:cs="Times New Roman"/>
          <w:color w:val="auto"/>
          <w:szCs w:val="22"/>
          <w:lang w:val="pt-PT"/>
        </w:rPr>
      </w:pPr>
      <w:r>
        <w:rPr>
          <w:rFonts w:cs="Times New Roman"/>
          <w:color w:val="auto"/>
          <w:szCs w:val="22"/>
          <w:lang w:val="pt-PT"/>
        </w:rPr>
        <w:lastRenderedPageBreak/>
        <w:t>Fymskina</w:t>
      </w:r>
      <w:r w:rsidR="00030085" w:rsidRPr="00110D6C">
        <w:rPr>
          <w:rFonts w:cs="Times New Roman"/>
          <w:color w:val="auto"/>
          <w:szCs w:val="22"/>
          <w:lang w:val="pt-PT"/>
        </w:rPr>
        <w:t xml:space="preserve"> pode torná-lo menos capaz para combater infeções. Algumas infeções podem tornar-se graves, e podem incluir infeções causadas por vírus, fungos, bactérias (incluindo tuberculose) ou parasitas, incluindo infeções que, maioritariamente, ocorrem em pessoas com o sistema imune debilitado (infeções oportunistas). Foram notificadas infeções oportunistas do cérebro (encefalite, meningite), dos pulmões e do olho em doentes que receberam tratamento com ustecinumab.</w:t>
      </w:r>
    </w:p>
    <w:p w14:paraId="35D67A26" w14:textId="77777777" w:rsidR="00CE6188" w:rsidRPr="00110D6C" w:rsidRDefault="00CE6188" w:rsidP="00A17623">
      <w:pPr>
        <w:widowControl/>
        <w:rPr>
          <w:rFonts w:cs="Times New Roman"/>
          <w:color w:val="auto"/>
          <w:szCs w:val="22"/>
          <w:lang w:val="pt-PT"/>
        </w:rPr>
      </w:pPr>
    </w:p>
    <w:p w14:paraId="0018D0AF" w14:textId="1201D073" w:rsidR="0077031F" w:rsidRPr="00110D6C" w:rsidRDefault="00030085" w:rsidP="00CE6188">
      <w:pPr>
        <w:keepNext/>
        <w:keepLines/>
        <w:widowControl/>
        <w:rPr>
          <w:rFonts w:cs="Times New Roman"/>
          <w:color w:val="auto"/>
          <w:szCs w:val="22"/>
          <w:lang w:val="pt-PT"/>
        </w:rPr>
      </w:pPr>
      <w:r w:rsidRPr="00110D6C">
        <w:rPr>
          <w:rFonts w:cs="Times New Roman"/>
          <w:color w:val="auto"/>
          <w:szCs w:val="22"/>
          <w:lang w:val="pt-PT"/>
        </w:rPr>
        <w:t xml:space="preserve">Deve estar atento a sinais de infeção enquanto estiver a utilizar </w:t>
      </w:r>
      <w:r w:rsidR="00D50CFA">
        <w:rPr>
          <w:rFonts w:cs="Times New Roman"/>
          <w:color w:val="auto"/>
          <w:szCs w:val="22"/>
          <w:lang w:val="pt-PT"/>
        </w:rPr>
        <w:t>Fymskina</w:t>
      </w:r>
      <w:r w:rsidRPr="00110D6C">
        <w:rPr>
          <w:rFonts w:cs="Times New Roman"/>
          <w:color w:val="auto"/>
          <w:szCs w:val="22"/>
          <w:lang w:val="pt-PT"/>
        </w:rPr>
        <w:t>. Isto inclui:</w:t>
      </w:r>
    </w:p>
    <w:p w14:paraId="530A8AFC" w14:textId="77777777" w:rsidR="0077031F" w:rsidRPr="00110D6C" w:rsidRDefault="00030085" w:rsidP="00D74B6E">
      <w:pPr>
        <w:pStyle w:val="Listenabsatz"/>
        <w:widowControl/>
        <w:numPr>
          <w:ilvl w:val="0"/>
          <w:numId w:val="17"/>
        </w:numPr>
        <w:ind w:left="567" w:hanging="567"/>
        <w:rPr>
          <w:rFonts w:cs="Times New Roman"/>
          <w:color w:val="auto"/>
          <w:szCs w:val="22"/>
          <w:lang w:val="pt-PT"/>
        </w:rPr>
      </w:pPr>
      <w:r w:rsidRPr="00110D6C">
        <w:rPr>
          <w:rFonts w:cs="Times New Roman"/>
          <w:color w:val="auto"/>
          <w:szCs w:val="22"/>
          <w:lang w:val="pt-PT"/>
        </w:rPr>
        <w:t>febre, sintomas de tipo gripal, transpiração excessiva durante a noite, perda de peso</w:t>
      </w:r>
    </w:p>
    <w:p w14:paraId="5682D557"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sensação de cansaço ou</w:t>
      </w:r>
      <w:r w:rsidR="00CE6188" w:rsidRPr="00110D6C">
        <w:rPr>
          <w:rFonts w:cs="Times New Roman"/>
          <w:color w:val="auto"/>
          <w:szCs w:val="22"/>
          <w:lang w:val="pt-PT"/>
        </w:rPr>
        <w:t xml:space="preserve"> </w:t>
      </w:r>
      <w:r w:rsidRPr="00110D6C">
        <w:rPr>
          <w:rFonts w:cs="Times New Roman"/>
          <w:color w:val="auto"/>
          <w:szCs w:val="22"/>
          <w:lang w:val="pt-PT"/>
        </w:rPr>
        <w:t>falta de ar, tosse</w:t>
      </w:r>
      <w:r w:rsidR="00CE6188" w:rsidRPr="00110D6C">
        <w:rPr>
          <w:rFonts w:cs="Times New Roman"/>
          <w:color w:val="auto"/>
          <w:szCs w:val="22"/>
          <w:lang w:val="pt-PT"/>
        </w:rPr>
        <w:t xml:space="preserve"> </w:t>
      </w:r>
      <w:r w:rsidRPr="00110D6C">
        <w:rPr>
          <w:rFonts w:cs="Times New Roman"/>
          <w:color w:val="auto"/>
          <w:szCs w:val="22"/>
          <w:lang w:val="pt-PT"/>
        </w:rPr>
        <w:t>que não</w:t>
      </w:r>
      <w:r w:rsidR="00CE6188" w:rsidRPr="00110D6C">
        <w:rPr>
          <w:rFonts w:cs="Times New Roman"/>
          <w:color w:val="auto"/>
          <w:szCs w:val="22"/>
          <w:lang w:val="pt-PT"/>
        </w:rPr>
        <w:t xml:space="preserve"> </w:t>
      </w:r>
      <w:r w:rsidRPr="00110D6C">
        <w:rPr>
          <w:rFonts w:cs="Times New Roman"/>
          <w:color w:val="auto"/>
          <w:szCs w:val="22"/>
          <w:lang w:val="pt-PT"/>
        </w:rPr>
        <w:t>desaparece</w:t>
      </w:r>
    </w:p>
    <w:p w14:paraId="743F5261"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pele quente, vermelha e</w:t>
      </w:r>
      <w:r w:rsidR="00CE6188" w:rsidRPr="00110D6C">
        <w:rPr>
          <w:rFonts w:cs="Times New Roman"/>
          <w:color w:val="auto"/>
          <w:szCs w:val="22"/>
          <w:lang w:val="pt-PT"/>
        </w:rPr>
        <w:t xml:space="preserve"> </w:t>
      </w:r>
      <w:r w:rsidRPr="00110D6C">
        <w:rPr>
          <w:rFonts w:cs="Times New Roman"/>
          <w:color w:val="auto"/>
          <w:szCs w:val="22"/>
          <w:lang w:val="pt-PT"/>
        </w:rPr>
        <w:t>dolorosa ou erupção cutânea</w:t>
      </w:r>
      <w:r w:rsidR="00CE6188" w:rsidRPr="00110D6C">
        <w:rPr>
          <w:rFonts w:cs="Times New Roman"/>
          <w:color w:val="auto"/>
          <w:szCs w:val="22"/>
          <w:lang w:val="pt-PT"/>
        </w:rPr>
        <w:t xml:space="preserve"> </w:t>
      </w:r>
      <w:r w:rsidRPr="00110D6C">
        <w:rPr>
          <w:rFonts w:cs="Times New Roman"/>
          <w:color w:val="auto"/>
          <w:szCs w:val="22"/>
          <w:lang w:val="pt-PT"/>
        </w:rPr>
        <w:t>dolorosa com bolhas</w:t>
      </w:r>
    </w:p>
    <w:p w14:paraId="3C484308"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ardor ao urinar</w:t>
      </w:r>
    </w:p>
    <w:p w14:paraId="3B40640C"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diarreia</w:t>
      </w:r>
    </w:p>
    <w:p w14:paraId="304AE78B"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perturbação visual ou perda de visão</w:t>
      </w:r>
    </w:p>
    <w:p w14:paraId="44A18867"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dores de cabeça, rigidez do pescoço, sensibilidade à luz, náuseas ou confusão.</w:t>
      </w:r>
    </w:p>
    <w:p w14:paraId="03FAA725" w14:textId="77777777" w:rsidR="00324B0C" w:rsidRPr="00110D6C" w:rsidRDefault="00324B0C" w:rsidP="00A17623">
      <w:pPr>
        <w:widowControl/>
        <w:rPr>
          <w:rFonts w:cs="Times New Roman"/>
          <w:color w:val="auto"/>
          <w:szCs w:val="22"/>
          <w:lang w:val="pt-PT"/>
        </w:rPr>
      </w:pPr>
    </w:p>
    <w:p w14:paraId="41EAF41C" w14:textId="6AA697FA"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Fale imediatamente com o seu médico se notar algum destes sinais de infeção. Estes podem ser sinais de infeções, tais como infeções do tórax, infeções da pele, zona ou infeções oportunistas, que podem apresentar complicações graves. Fale com o seu médico se tiver qualquer tipo de infeção que não desaparece ou continua a aparecer. O seu médico pode decidir que não deve utilizar </w:t>
      </w:r>
      <w:r w:rsidR="00D50CFA">
        <w:rPr>
          <w:rFonts w:cs="Times New Roman"/>
          <w:color w:val="auto"/>
          <w:szCs w:val="22"/>
          <w:lang w:val="pt-PT"/>
        </w:rPr>
        <w:t>Fymskina</w:t>
      </w:r>
      <w:r w:rsidRPr="00110D6C">
        <w:rPr>
          <w:rFonts w:cs="Times New Roman"/>
          <w:color w:val="auto"/>
          <w:szCs w:val="22"/>
          <w:lang w:val="pt-PT"/>
        </w:rPr>
        <w:t xml:space="preserve"> até a infeção desaparecer. Contacte também o seu médico se tiver quaisquer cortes ou feridas abertas uma vez que podem infetar.</w:t>
      </w:r>
    </w:p>
    <w:p w14:paraId="6DA39C74" w14:textId="77777777" w:rsidR="00324B0C" w:rsidRPr="00110D6C" w:rsidRDefault="00324B0C" w:rsidP="00A17623">
      <w:pPr>
        <w:widowControl/>
        <w:rPr>
          <w:rFonts w:cs="Times New Roman"/>
          <w:bCs/>
          <w:color w:val="auto"/>
          <w:szCs w:val="22"/>
          <w:lang w:val="pt-PT"/>
        </w:rPr>
      </w:pPr>
    </w:p>
    <w:p w14:paraId="38B5F684"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Descamação da pele - aumento da vermelhidão e descamação da pele numa maior área do corpo podem ser sintomas de psoríase eritrodérmica ou dermatite exfoliativa, que são doenças de pele graves. Deve falar com o seu médico imediatamente se notar algum destes sinais.</w:t>
      </w:r>
    </w:p>
    <w:p w14:paraId="37BF00D8" w14:textId="77777777" w:rsidR="00324B0C" w:rsidRPr="00110D6C" w:rsidRDefault="00324B0C" w:rsidP="00A17623">
      <w:pPr>
        <w:widowControl/>
        <w:rPr>
          <w:rFonts w:cs="Times New Roman"/>
          <w:bCs/>
          <w:color w:val="auto"/>
          <w:szCs w:val="22"/>
          <w:lang w:val="pt-PT"/>
        </w:rPr>
      </w:pPr>
      <w:bookmarkStart w:id="225" w:name="bookmark389"/>
    </w:p>
    <w:p w14:paraId="35901E9C"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Outros efeitos indesejáveis</w:t>
      </w:r>
      <w:bookmarkEnd w:id="225"/>
    </w:p>
    <w:p w14:paraId="74F30CBA" w14:textId="77777777" w:rsidR="00324B0C" w:rsidRPr="00110D6C" w:rsidRDefault="00324B0C" w:rsidP="00A17623">
      <w:pPr>
        <w:widowControl/>
        <w:rPr>
          <w:rFonts w:cs="Times New Roman"/>
          <w:bCs/>
          <w:color w:val="auto"/>
          <w:szCs w:val="22"/>
          <w:lang w:val="pt-PT"/>
        </w:rPr>
      </w:pPr>
    </w:p>
    <w:p w14:paraId="2B3C3568"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Efeitos indesejáveis frequentes </w:t>
      </w:r>
      <w:r w:rsidRPr="00110D6C">
        <w:rPr>
          <w:rFonts w:cs="Times New Roman"/>
          <w:color w:val="auto"/>
          <w:szCs w:val="22"/>
          <w:lang w:val="pt-PT"/>
        </w:rPr>
        <w:t xml:space="preserve">(podem afetar até </w:t>
      </w:r>
      <w:r w:rsidR="00B910F9" w:rsidRPr="00110D6C">
        <w:rPr>
          <w:rFonts w:cs="Times New Roman"/>
          <w:color w:val="auto"/>
          <w:szCs w:val="22"/>
          <w:lang w:val="pt-PT"/>
        </w:rPr>
        <w:t>1 </w:t>
      </w:r>
      <w:r w:rsidRPr="00110D6C">
        <w:rPr>
          <w:rFonts w:cs="Times New Roman"/>
          <w:color w:val="auto"/>
          <w:szCs w:val="22"/>
          <w:lang w:val="pt-PT"/>
        </w:rPr>
        <w:t>em cada 1</w:t>
      </w:r>
      <w:r w:rsidR="00B910F9" w:rsidRPr="00110D6C">
        <w:rPr>
          <w:rFonts w:cs="Times New Roman"/>
          <w:color w:val="auto"/>
          <w:szCs w:val="22"/>
          <w:lang w:val="pt-PT"/>
        </w:rPr>
        <w:t>0 </w:t>
      </w:r>
      <w:r w:rsidRPr="00110D6C">
        <w:rPr>
          <w:rFonts w:cs="Times New Roman"/>
          <w:color w:val="auto"/>
          <w:szCs w:val="22"/>
          <w:lang w:val="pt-PT"/>
        </w:rPr>
        <w:t>pessoas):</w:t>
      </w:r>
    </w:p>
    <w:p w14:paraId="3FD997BF"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Diarreia</w:t>
      </w:r>
    </w:p>
    <w:p w14:paraId="199F405F"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Náuseas</w:t>
      </w:r>
    </w:p>
    <w:p w14:paraId="0D754904"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Vómito</w:t>
      </w:r>
    </w:p>
    <w:p w14:paraId="677EE363"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Sensação de cansaço</w:t>
      </w:r>
    </w:p>
    <w:p w14:paraId="09E62B01"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Sensação de tontura</w:t>
      </w:r>
    </w:p>
    <w:p w14:paraId="5E0C7744"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Dor de cabeça</w:t>
      </w:r>
    </w:p>
    <w:p w14:paraId="1F48447F"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Comichão (“prurido”)</w:t>
      </w:r>
    </w:p>
    <w:p w14:paraId="327878FB"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Dor nos músculos, nas articulações ou nas costas</w:t>
      </w:r>
    </w:p>
    <w:p w14:paraId="52C5FB8A"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Dor de garganta</w:t>
      </w:r>
    </w:p>
    <w:p w14:paraId="104FCC7B"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Vermelhidão e dor no local de injeção</w:t>
      </w:r>
    </w:p>
    <w:p w14:paraId="60643B03"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Infeção dos seios perinasais</w:t>
      </w:r>
    </w:p>
    <w:p w14:paraId="0038C201" w14:textId="77777777" w:rsidR="00324B0C" w:rsidRPr="00110D6C" w:rsidRDefault="00324B0C" w:rsidP="00A17623">
      <w:pPr>
        <w:widowControl/>
        <w:rPr>
          <w:rFonts w:cs="Times New Roman"/>
          <w:bCs/>
          <w:color w:val="auto"/>
          <w:szCs w:val="22"/>
          <w:lang w:val="pt-PT"/>
        </w:rPr>
      </w:pPr>
    </w:p>
    <w:p w14:paraId="1C7740A9"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Efeitos indesejáveis pouco frequentes </w:t>
      </w:r>
      <w:r w:rsidRPr="00110D6C">
        <w:rPr>
          <w:rFonts w:cs="Times New Roman"/>
          <w:color w:val="auto"/>
          <w:szCs w:val="22"/>
          <w:lang w:val="pt-PT"/>
        </w:rPr>
        <w:t xml:space="preserve">(podem afetar até </w:t>
      </w:r>
      <w:r w:rsidR="00B910F9" w:rsidRPr="00110D6C">
        <w:rPr>
          <w:rFonts w:cs="Times New Roman"/>
          <w:color w:val="auto"/>
          <w:szCs w:val="22"/>
          <w:lang w:val="pt-PT"/>
        </w:rPr>
        <w:t>1 </w:t>
      </w:r>
      <w:r w:rsidRPr="00110D6C">
        <w:rPr>
          <w:rFonts w:cs="Times New Roman"/>
          <w:color w:val="auto"/>
          <w:szCs w:val="22"/>
          <w:lang w:val="pt-PT"/>
        </w:rPr>
        <w:t>em cada 10</w:t>
      </w:r>
      <w:r w:rsidR="00B910F9" w:rsidRPr="00110D6C">
        <w:rPr>
          <w:rFonts w:cs="Times New Roman"/>
          <w:color w:val="auto"/>
          <w:szCs w:val="22"/>
          <w:lang w:val="pt-PT"/>
        </w:rPr>
        <w:t>0 </w:t>
      </w:r>
      <w:r w:rsidRPr="00110D6C">
        <w:rPr>
          <w:rFonts w:cs="Times New Roman"/>
          <w:color w:val="auto"/>
          <w:szCs w:val="22"/>
          <w:lang w:val="pt-PT"/>
        </w:rPr>
        <w:t>pessoas):</w:t>
      </w:r>
    </w:p>
    <w:p w14:paraId="25F851E3"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Infeções nos dentes</w:t>
      </w:r>
    </w:p>
    <w:p w14:paraId="426A460F"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Infeção fúngica vaginal</w:t>
      </w:r>
    </w:p>
    <w:p w14:paraId="020E8A11"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Depressão</w:t>
      </w:r>
    </w:p>
    <w:p w14:paraId="02D34EC6"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Nariz entupido</w:t>
      </w:r>
    </w:p>
    <w:p w14:paraId="7F81B5EE"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Hemorragia, nódoas negras, endurecimento, inchaço e comichão no local da injeção</w:t>
      </w:r>
    </w:p>
    <w:p w14:paraId="2E2D5E8C"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Sensação de fraqueza</w:t>
      </w:r>
    </w:p>
    <w:p w14:paraId="1D90F335"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Queda da pálpebra e flacidez dos músculos de um lado da cara (“paralisia facial” ou</w:t>
      </w:r>
      <w:r w:rsidR="00324B0C" w:rsidRPr="00110D6C">
        <w:rPr>
          <w:rFonts w:cs="Times New Roman"/>
          <w:color w:val="auto"/>
          <w:szCs w:val="22"/>
          <w:lang w:val="pt-PT"/>
        </w:rPr>
        <w:t xml:space="preserve"> </w:t>
      </w:r>
      <w:r w:rsidRPr="00110D6C">
        <w:rPr>
          <w:rFonts w:cs="Times New Roman"/>
          <w:color w:val="auto"/>
          <w:szCs w:val="22"/>
          <w:lang w:val="pt-PT"/>
        </w:rPr>
        <w:t>“paralisia de Bell”), que é, habitualmente, temporário</w:t>
      </w:r>
    </w:p>
    <w:p w14:paraId="5CCF03A1"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Uma alteração na psoríase, com vermelhidão e novas e pequenas bolhas amarelas ou</w:t>
      </w:r>
      <w:r w:rsidR="00324B0C" w:rsidRPr="00110D6C">
        <w:rPr>
          <w:rFonts w:cs="Times New Roman"/>
          <w:color w:val="auto"/>
          <w:szCs w:val="22"/>
          <w:lang w:val="pt-PT"/>
        </w:rPr>
        <w:t xml:space="preserve"> </w:t>
      </w:r>
      <w:r w:rsidRPr="00110D6C">
        <w:rPr>
          <w:rFonts w:cs="Times New Roman"/>
          <w:color w:val="auto"/>
          <w:szCs w:val="22"/>
          <w:lang w:val="pt-PT"/>
        </w:rPr>
        <w:t>brancas, por vezes acompanhada de febre (psoríase pustular)</w:t>
      </w:r>
    </w:p>
    <w:p w14:paraId="0CCB2D5B"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Descamação da pele (exfoliação da pele)</w:t>
      </w:r>
    </w:p>
    <w:p w14:paraId="6997A4D1"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Acne</w:t>
      </w:r>
    </w:p>
    <w:p w14:paraId="799ADEEF" w14:textId="77777777" w:rsidR="00324B0C" w:rsidRPr="00110D6C" w:rsidRDefault="00324B0C" w:rsidP="00A17623">
      <w:pPr>
        <w:widowControl/>
        <w:rPr>
          <w:rFonts w:cs="Times New Roman"/>
          <w:bCs/>
          <w:color w:val="auto"/>
          <w:szCs w:val="22"/>
          <w:lang w:val="pt-PT"/>
        </w:rPr>
      </w:pPr>
    </w:p>
    <w:p w14:paraId="45675E13"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lastRenderedPageBreak/>
        <w:t xml:space="preserve">Efeitos indesejáveis raros </w:t>
      </w:r>
      <w:r w:rsidRPr="00110D6C">
        <w:rPr>
          <w:rFonts w:cs="Times New Roman"/>
          <w:color w:val="auto"/>
          <w:szCs w:val="22"/>
          <w:lang w:val="pt-PT"/>
        </w:rPr>
        <w:t xml:space="preserve">(podem afetar até </w:t>
      </w:r>
      <w:r w:rsidR="00B910F9" w:rsidRPr="00110D6C">
        <w:rPr>
          <w:rFonts w:cs="Times New Roman"/>
          <w:color w:val="auto"/>
          <w:szCs w:val="22"/>
          <w:lang w:val="pt-PT"/>
        </w:rPr>
        <w:t>1 </w:t>
      </w:r>
      <w:r w:rsidRPr="00110D6C">
        <w:rPr>
          <w:rFonts w:cs="Times New Roman"/>
          <w:color w:val="auto"/>
          <w:szCs w:val="22"/>
          <w:lang w:val="pt-PT"/>
        </w:rPr>
        <w:t>em cada 100</w:t>
      </w:r>
      <w:r w:rsidR="00B910F9" w:rsidRPr="00110D6C">
        <w:rPr>
          <w:rFonts w:cs="Times New Roman"/>
          <w:color w:val="auto"/>
          <w:szCs w:val="22"/>
          <w:lang w:val="pt-PT"/>
        </w:rPr>
        <w:t>0 </w:t>
      </w:r>
      <w:r w:rsidRPr="00110D6C">
        <w:rPr>
          <w:rFonts w:cs="Times New Roman"/>
          <w:color w:val="auto"/>
          <w:szCs w:val="22"/>
          <w:lang w:val="pt-PT"/>
        </w:rPr>
        <w:t>pessoas):</w:t>
      </w:r>
    </w:p>
    <w:p w14:paraId="2990E46F"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Aumento da vermelhidão e descamação da pele numa maior área do corpo, que pode</w:t>
      </w:r>
      <w:r w:rsidR="00324B0C" w:rsidRPr="00110D6C">
        <w:rPr>
          <w:rFonts w:cs="Times New Roman"/>
          <w:color w:val="auto"/>
          <w:szCs w:val="22"/>
          <w:lang w:val="pt-PT"/>
        </w:rPr>
        <w:t xml:space="preserve"> </w:t>
      </w:r>
      <w:r w:rsidRPr="00110D6C">
        <w:rPr>
          <w:rFonts w:cs="Times New Roman"/>
          <w:color w:val="auto"/>
          <w:szCs w:val="22"/>
          <w:lang w:val="pt-PT"/>
        </w:rPr>
        <w:t>provocar comichão ou dor (dermatite exfoliativa). Por vezes, podem desenvolver-se</w:t>
      </w:r>
      <w:r w:rsidR="00324B0C" w:rsidRPr="00110D6C">
        <w:rPr>
          <w:rFonts w:cs="Times New Roman"/>
          <w:color w:val="auto"/>
          <w:szCs w:val="22"/>
          <w:lang w:val="pt-PT"/>
        </w:rPr>
        <w:t xml:space="preserve"> </w:t>
      </w:r>
      <w:r w:rsidRPr="00110D6C">
        <w:rPr>
          <w:rFonts w:cs="Times New Roman"/>
          <w:color w:val="auto"/>
          <w:szCs w:val="22"/>
          <w:lang w:val="pt-PT"/>
        </w:rPr>
        <w:t>sintomas semelhantes como alterações naturais no tipo de sintomas da psoríase (psoríase eritrodérmica)</w:t>
      </w:r>
    </w:p>
    <w:p w14:paraId="36982E85"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Inflamação de pequenos vasos sanguíneos, que pode conduzir a uma erupção na pele com</w:t>
      </w:r>
      <w:r w:rsidR="00324B0C" w:rsidRPr="00110D6C">
        <w:rPr>
          <w:rFonts w:cs="Times New Roman"/>
          <w:color w:val="auto"/>
          <w:szCs w:val="22"/>
          <w:lang w:val="pt-PT"/>
        </w:rPr>
        <w:t xml:space="preserve"> </w:t>
      </w:r>
      <w:r w:rsidRPr="00110D6C">
        <w:rPr>
          <w:rFonts w:cs="Times New Roman"/>
          <w:color w:val="auto"/>
          <w:szCs w:val="22"/>
          <w:lang w:val="pt-PT"/>
        </w:rPr>
        <w:t>pequenas borbulhas vermelhas ou roxas, febre ou dores nas articulações (vasculite)</w:t>
      </w:r>
    </w:p>
    <w:p w14:paraId="073D8700" w14:textId="77777777" w:rsidR="00324B0C" w:rsidRPr="00110D6C" w:rsidRDefault="00324B0C" w:rsidP="00A17623">
      <w:pPr>
        <w:widowControl/>
        <w:rPr>
          <w:rFonts w:cs="Times New Roman"/>
          <w:bCs/>
          <w:color w:val="auto"/>
          <w:szCs w:val="22"/>
          <w:lang w:val="pt-PT"/>
        </w:rPr>
      </w:pPr>
    </w:p>
    <w:p w14:paraId="5E70C6F1"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Efeitos indesejáveis muito raros </w:t>
      </w:r>
      <w:r w:rsidRPr="00110D6C">
        <w:rPr>
          <w:rFonts w:cs="Times New Roman"/>
          <w:color w:val="auto"/>
          <w:szCs w:val="22"/>
          <w:lang w:val="pt-PT"/>
        </w:rPr>
        <w:t xml:space="preserve">(podem afetar </w:t>
      </w:r>
      <w:r w:rsidR="00B910F9" w:rsidRPr="00110D6C">
        <w:rPr>
          <w:rFonts w:cs="Times New Roman"/>
          <w:color w:val="auto"/>
          <w:szCs w:val="22"/>
          <w:lang w:val="pt-PT"/>
        </w:rPr>
        <w:t>1 </w:t>
      </w:r>
      <w:r w:rsidRPr="00110D6C">
        <w:rPr>
          <w:rFonts w:cs="Times New Roman"/>
          <w:color w:val="auto"/>
          <w:szCs w:val="22"/>
          <w:lang w:val="pt-PT"/>
        </w:rPr>
        <w:t>em cada 1</w:t>
      </w:r>
      <w:r w:rsidR="00B910F9" w:rsidRPr="00110D6C">
        <w:rPr>
          <w:rFonts w:cs="Times New Roman"/>
          <w:color w:val="auto"/>
          <w:szCs w:val="22"/>
          <w:lang w:val="pt-PT"/>
        </w:rPr>
        <w:t>0 </w:t>
      </w:r>
      <w:r w:rsidRPr="00110D6C">
        <w:rPr>
          <w:rFonts w:cs="Times New Roman"/>
          <w:color w:val="auto"/>
          <w:szCs w:val="22"/>
          <w:lang w:val="pt-PT"/>
        </w:rPr>
        <w:t>00</w:t>
      </w:r>
      <w:r w:rsidR="00B910F9" w:rsidRPr="00110D6C">
        <w:rPr>
          <w:rFonts w:cs="Times New Roman"/>
          <w:color w:val="auto"/>
          <w:szCs w:val="22"/>
          <w:lang w:val="pt-PT"/>
        </w:rPr>
        <w:t>0 </w:t>
      </w:r>
      <w:r w:rsidRPr="00110D6C">
        <w:rPr>
          <w:rFonts w:cs="Times New Roman"/>
          <w:color w:val="auto"/>
          <w:szCs w:val="22"/>
          <w:lang w:val="pt-PT"/>
        </w:rPr>
        <w:t>pessoas):</w:t>
      </w:r>
    </w:p>
    <w:p w14:paraId="278CF161"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Bolhas na pele que podem provocar vermelhidão, comichão e dor (penfigóide bolhoso).</w:t>
      </w:r>
    </w:p>
    <w:p w14:paraId="6514EA4E"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Lúpus cutâneo ou síndrome do tipo lúpus (erupção cutânea avermelhada, saliente e</w:t>
      </w:r>
      <w:r w:rsidR="00324B0C" w:rsidRPr="00110D6C">
        <w:rPr>
          <w:rFonts w:cs="Times New Roman"/>
          <w:color w:val="auto"/>
          <w:szCs w:val="22"/>
          <w:lang w:val="pt-PT"/>
        </w:rPr>
        <w:t xml:space="preserve"> </w:t>
      </w:r>
      <w:r w:rsidRPr="00110D6C">
        <w:rPr>
          <w:rFonts w:cs="Times New Roman"/>
          <w:color w:val="auto"/>
          <w:szCs w:val="22"/>
          <w:lang w:val="pt-PT"/>
        </w:rPr>
        <w:t>descamativa em áreas da pele expostas ao sol, possivelmente com dores articulares).</w:t>
      </w:r>
    </w:p>
    <w:p w14:paraId="6E6DAAE5" w14:textId="77777777" w:rsidR="00324B0C" w:rsidRPr="00110D6C" w:rsidRDefault="00324B0C" w:rsidP="00A17623">
      <w:pPr>
        <w:widowControl/>
        <w:rPr>
          <w:rFonts w:cs="Times New Roman"/>
          <w:bCs/>
          <w:color w:val="auto"/>
          <w:szCs w:val="22"/>
          <w:lang w:val="pt-PT"/>
        </w:rPr>
      </w:pPr>
      <w:bookmarkStart w:id="226" w:name="bookmark391"/>
    </w:p>
    <w:p w14:paraId="0041F700"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Comunicação de efeitos indesejáveis</w:t>
      </w:r>
      <w:bookmarkEnd w:id="226"/>
    </w:p>
    <w:p w14:paraId="7DAD6C60" w14:textId="5998D836"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Se tiver quaisquer efeitos indesejáveis, incluindo possíveis efeitos indesejáveis não indicados neste folheto, fale com o seu médico ou farmacêutico. Também poderá comunicar efeitos indesejáveis diretamente através </w:t>
      </w:r>
      <w:r w:rsidRPr="00110D6C">
        <w:rPr>
          <w:rFonts w:cs="Times New Roman"/>
          <w:color w:val="auto"/>
          <w:szCs w:val="22"/>
          <w:highlight w:val="lightGray"/>
          <w:lang w:val="pt-PT"/>
        </w:rPr>
        <w:t xml:space="preserve">do sistema nacional de notificação mencionado no </w:t>
      </w:r>
      <w:hyperlink r:id="rId28" w:history="1">
        <w:r w:rsidRPr="0094463A">
          <w:rPr>
            <w:rStyle w:val="Hyperlink"/>
            <w:rFonts w:cs="Times New Roman"/>
            <w:szCs w:val="22"/>
            <w:highlight w:val="lightGray"/>
            <w:lang w:val="pt-PT"/>
          </w:rPr>
          <w:t>Apêndice</w:t>
        </w:r>
        <w:r w:rsidR="00655946" w:rsidRPr="0094463A">
          <w:rPr>
            <w:rStyle w:val="Hyperlink"/>
            <w:rFonts w:cs="Times New Roman"/>
            <w:szCs w:val="22"/>
            <w:highlight w:val="lightGray"/>
            <w:lang w:val="pt-PT"/>
          </w:rPr>
          <w:t> </w:t>
        </w:r>
        <w:r w:rsidRPr="0094463A">
          <w:rPr>
            <w:rStyle w:val="Hyperlink"/>
            <w:rFonts w:cs="Times New Roman"/>
            <w:szCs w:val="22"/>
            <w:highlight w:val="lightGray"/>
            <w:lang w:val="pt-PT"/>
          </w:rPr>
          <w:t>V</w:t>
        </w:r>
      </w:hyperlink>
      <w:r w:rsidRPr="00110D6C">
        <w:rPr>
          <w:rFonts w:cs="Times New Roman"/>
          <w:color w:val="auto"/>
          <w:szCs w:val="22"/>
          <w:u w:val="single"/>
          <w:lang w:val="pt-PT"/>
        </w:rPr>
        <w:t>.</w:t>
      </w:r>
      <w:r w:rsidR="0094463A">
        <w:rPr>
          <w:rFonts w:cs="Times New Roman"/>
          <w:color w:val="auto"/>
          <w:szCs w:val="22"/>
          <w:u w:val="single"/>
          <w:lang w:val="pt-PT"/>
        </w:rPr>
        <w:t xml:space="preserve"> </w:t>
      </w:r>
      <w:r w:rsidRPr="00110D6C">
        <w:rPr>
          <w:rFonts w:cs="Times New Roman"/>
          <w:color w:val="auto"/>
          <w:szCs w:val="22"/>
          <w:lang w:val="pt-PT"/>
        </w:rPr>
        <w:t>Ao comunicar efeitos indesejáveis, estará a ajudar a fornecer mais informações sobre a segurança deste medicamento.</w:t>
      </w:r>
    </w:p>
    <w:p w14:paraId="0123939E" w14:textId="77777777" w:rsidR="00324B0C" w:rsidRPr="00110D6C" w:rsidRDefault="00324B0C" w:rsidP="00A17623">
      <w:pPr>
        <w:widowControl/>
        <w:ind w:left="567" w:hanging="567"/>
        <w:rPr>
          <w:rFonts w:cs="Times New Roman"/>
          <w:bCs/>
          <w:color w:val="auto"/>
          <w:szCs w:val="22"/>
          <w:lang w:val="pt-PT"/>
        </w:rPr>
      </w:pPr>
      <w:bookmarkStart w:id="227" w:name="bookmark393"/>
    </w:p>
    <w:p w14:paraId="4CE2D61C" w14:textId="77777777" w:rsidR="00324B0C" w:rsidRPr="00110D6C" w:rsidRDefault="00324B0C" w:rsidP="00A17623">
      <w:pPr>
        <w:widowControl/>
        <w:ind w:left="567" w:hanging="567"/>
        <w:rPr>
          <w:rFonts w:cs="Times New Roman"/>
          <w:bCs/>
          <w:color w:val="auto"/>
          <w:szCs w:val="22"/>
          <w:lang w:val="pt-PT"/>
        </w:rPr>
      </w:pPr>
    </w:p>
    <w:p w14:paraId="353CD57A" w14:textId="1421479C" w:rsidR="0077031F" w:rsidRPr="00110D6C" w:rsidRDefault="00DC3C01" w:rsidP="00A17623">
      <w:pPr>
        <w:widowControl/>
        <w:ind w:left="567" w:hanging="567"/>
        <w:rPr>
          <w:rFonts w:cs="Times New Roman"/>
          <w:color w:val="auto"/>
          <w:szCs w:val="22"/>
          <w:lang w:val="pt-PT"/>
        </w:rPr>
      </w:pPr>
      <w:r w:rsidRPr="00110D6C">
        <w:rPr>
          <w:rFonts w:cs="Times New Roman"/>
          <w:b/>
          <w:bCs/>
          <w:color w:val="auto"/>
          <w:szCs w:val="22"/>
          <w:lang w:val="pt-PT"/>
        </w:rPr>
        <w:t>5.</w:t>
      </w:r>
      <w:r w:rsidRPr="00110D6C">
        <w:rPr>
          <w:rFonts w:cs="Times New Roman"/>
          <w:b/>
          <w:bCs/>
          <w:color w:val="auto"/>
          <w:szCs w:val="22"/>
          <w:lang w:val="pt-PT"/>
        </w:rPr>
        <w:tab/>
      </w:r>
      <w:r w:rsidR="00030085" w:rsidRPr="00110D6C">
        <w:rPr>
          <w:rFonts w:cs="Times New Roman"/>
          <w:b/>
          <w:bCs/>
          <w:color w:val="auto"/>
          <w:szCs w:val="22"/>
          <w:lang w:val="pt-PT"/>
        </w:rPr>
        <w:t xml:space="preserve">Como conservar </w:t>
      </w:r>
      <w:bookmarkEnd w:id="227"/>
      <w:r w:rsidR="00D50CFA">
        <w:rPr>
          <w:rFonts w:cs="Times New Roman"/>
          <w:b/>
          <w:bCs/>
          <w:color w:val="auto"/>
          <w:szCs w:val="22"/>
          <w:lang w:val="pt-PT"/>
        </w:rPr>
        <w:t>Fymskina</w:t>
      </w:r>
    </w:p>
    <w:p w14:paraId="79D67E70"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Manter este medicamento fora da vista e do alcance das crianças.</w:t>
      </w:r>
    </w:p>
    <w:p w14:paraId="34BD75B7" w14:textId="7746BE09"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Conservar no frigorífico (2</w:t>
      </w:r>
      <w:r w:rsidR="0094463A">
        <w:rPr>
          <w:rFonts w:cs="Times New Roman"/>
          <w:color w:val="auto"/>
          <w:szCs w:val="22"/>
          <w:lang w:val="pt-PT"/>
        </w:rPr>
        <w:t> </w:t>
      </w:r>
      <w:r w:rsidRPr="00110D6C">
        <w:rPr>
          <w:rFonts w:cs="Times New Roman"/>
          <w:color w:val="auto"/>
          <w:szCs w:val="22"/>
          <w:lang w:val="pt-PT"/>
        </w:rPr>
        <w:t>°C–8</w:t>
      </w:r>
      <w:r w:rsidR="0094463A">
        <w:rPr>
          <w:rFonts w:cs="Times New Roman"/>
          <w:color w:val="auto"/>
          <w:szCs w:val="22"/>
          <w:lang w:val="pt-PT"/>
        </w:rPr>
        <w:t> </w:t>
      </w:r>
      <w:r w:rsidRPr="00110D6C">
        <w:rPr>
          <w:rFonts w:cs="Times New Roman"/>
          <w:color w:val="auto"/>
          <w:szCs w:val="22"/>
          <w:lang w:val="pt-PT"/>
        </w:rPr>
        <w:t>°C). Não congelar.</w:t>
      </w:r>
    </w:p>
    <w:p w14:paraId="6359BE07"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Manter a seringa pré-cheia dentro da embalagem exterior para proteger da luz.</w:t>
      </w:r>
    </w:p>
    <w:p w14:paraId="04DBF680" w14:textId="4692955D"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 xml:space="preserve">Se necessário, as seringas individuais pré-cheias de </w:t>
      </w:r>
      <w:r w:rsidR="00D50CFA">
        <w:rPr>
          <w:rFonts w:cs="Times New Roman"/>
          <w:color w:val="auto"/>
          <w:szCs w:val="22"/>
          <w:lang w:val="pt-PT"/>
        </w:rPr>
        <w:t>Fymskina</w:t>
      </w:r>
      <w:r w:rsidRPr="00110D6C">
        <w:rPr>
          <w:rFonts w:cs="Times New Roman"/>
          <w:color w:val="auto"/>
          <w:szCs w:val="22"/>
          <w:lang w:val="pt-PT"/>
        </w:rPr>
        <w:t xml:space="preserve"> podem também ser conservadas à</w:t>
      </w:r>
      <w:r w:rsidR="00324B0C" w:rsidRPr="00110D6C">
        <w:rPr>
          <w:rFonts w:cs="Times New Roman"/>
          <w:color w:val="auto"/>
          <w:szCs w:val="22"/>
          <w:lang w:val="pt-PT"/>
        </w:rPr>
        <w:t xml:space="preserve"> </w:t>
      </w:r>
      <w:r w:rsidRPr="00110D6C">
        <w:rPr>
          <w:rFonts w:cs="Times New Roman"/>
          <w:color w:val="auto"/>
          <w:szCs w:val="22"/>
          <w:lang w:val="pt-PT"/>
        </w:rPr>
        <w:t>temperatura ambiente até 30</w:t>
      </w:r>
      <w:r w:rsidR="0094463A">
        <w:rPr>
          <w:rFonts w:cs="Times New Roman"/>
          <w:color w:val="auto"/>
          <w:szCs w:val="22"/>
          <w:lang w:val="pt-PT"/>
        </w:rPr>
        <w:t> </w:t>
      </w:r>
      <w:r w:rsidRPr="00110D6C">
        <w:rPr>
          <w:rFonts w:cs="Times New Roman"/>
          <w:color w:val="auto"/>
          <w:szCs w:val="22"/>
          <w:lang w:val="pt-PT"/>
        </w:rPr>
        <w:t>°C por um período de tempo único máximo de até 3</w:t>
      </w:r>
      <w:r w:rsidR="00B910F9" w:rsidRPr="00110D6C">
        <w:rPr>
          <w:rFonts w:cs="Times New Roman"/>
          <w:color w:val="auto"/>
          <w:szCs w:val="22"/>
          <w:lang w:val="pt-PT"/>
        </w:rPr>
        <w:t>0 </w:t>
      </w:r>
      <w:r w:rsidRPr="00110D6C">
        <w:rPr>
          <w:rFonts w:cs="Times New Roman"/>
          <w:color w:val="auto"/>
          <w:szCs w:val="22"/>
          <w:lang w:val="pt-PT"/>
        </w:rPr>
        <w:t>dias, na embalagem de origem para proteger da luz. Tome nota da data quando a seringa pré-cheia é removida pela primeira vez do frigorífico e da data de eliminação no</w:t>
      </w:r>
      <w:r w:rsidR="0094463A">
        <w:rPr>
          <w:rFonts w:cs="Times New Roman"/>
          <w:color w:val="auto"/>
          <w:szCs w:val="22"/>
          <w:lang w:val="pt-PT"/>
        </w:rPr>
        <w:t>s</w:t>
      </w:r>
      <w:r w:rsidRPr="00110D6C">
        <w:rPr>
          <w:rFonts w:cs="Times New Roman"/>
          <w:color w:val="auto"/>
          <w:szCs w:val="22"/>
          <w:lang w:val="pt-PT"/>
        </w:rPr>
        <w:t xml:space="preserve"> espaço</w:t>
      </w:r>
      <w:r w:rsidR="0094463A">
        <w:rPr>
          <w:rFonts w:cs="Times New Roman"/>
          <w:color w:val="auto"/>
          <w:szCs w:val="22"/>
          <w:lang w:val="pt-PT"/>
        </w:rPr>
        <w:t>s</w:t>
      </w:r>
      <w:r w:rsidRPr="00110D6C">
        <w:rPr>
          <w:rFonts w:cs="Times New Roman"/>
          <w:color w:val="auto"/>
          <w:szCs w:val="22"/>
          <w:lang w:val="pt-PT"/>
        </w:rPr>
        <w:t xml:space="preserve"> para o efeito na embalagem exterior. A data de eliminação não deve exceder o prazo de validade original impresso na embalagem. Uma vez uma seringa conservada à temperatura ambiente (até 30</w:t>
      </w:r>
      <w:r w:rsidR="0094463A">
        <w:rPr>
          <w:rFonts w:cs="Times New Roman"/>
          <w:color w:val="auto"/>
          <w:szCs w:val="22"/>
          <w:lang w:val="pt-PT"/>
        </w:rPr>
        <w:t> </w:t>
      </w:r>
      <w:r w:rsidRPr="00110D6C">
        <w:rPr>
          <w:rFonts w:cs="Times New Roman"/>
          <w:color w:val="auto"/>
          <w:szCs w:val="22"/>
          <w:lang w:val="pt-PT"/>
        </w:rPr>
        <w:t>°C), não deve voltar ao frigorífico. Elimine a seringa se não foi utilizada dentro do espaço de 3</w:t>
      </w:r>
      <w:r w:rsidR="00B910F9" w:rsidRPr="00110D6C">
        <w:rPr>
          <w:rFonts w:cs="Times New Roman"/>
          <w:color w:val="auto"/>
          <w:szCs w:val="22"/>
          <w:lang w:val="pt-PT"/>
        </w:rPr>
        <w:t>0 </w:t>
      </w:r>
      <w:r w:rsidRPr="00110D6C">
        <w:rPr>
          <w:rFonts w:cs="Times New Roman"/>
          <w:color w:val="auto"/>
          <w:szCs w:val="22"/>
          <w:lang w:val="pt-PT"/>
        </w:rPr>
        <w:t>dias conservada à temperatura ambiente ou dentro do prazo de validade original, aquele que ocorrer primeiro.</w:t>
      </w:r>
    </w:p>
    <w:p w14:paraId="058C4BD1" w14:textId="0078DDBE"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 xml:space="preserve">Não agite a seringa pré-cheia de </w:t>
      </w:r>
      <w:r w:rsidR="00D50CFA">
        <w:rPr>
          <w:rFonts w:cs="Times New Roman"/>
          <w:color w:val="auto"/>
          <w:szCs w:val="22"/>
          <w:lang w:val="pt-PT"/>
        </w:rPr>
        <w:t>Fymskina</w:t>
      </w:r>
      <w:r w:rsidRPr="00110D6C">
        <w:rPr>
          <w:rFonts w:cs="Times New Roman"/>
          <w:color w:val="auto"/>
          <w:szCs w:val="22"/>
          <w:lang w:val="pt-PT"/>
        </w:rPr>
        <w:t>. Uma agitação vigorosa prolongada pode danificar o medicamento.</w:t>
      </w:r>
    </w:p>
    <w:p w14:paraId="7245570E" w14:textId="77777777" w:rsidR="00324B0C" w:rsidRPr="00110D6C" w:rsidRDefault="00324B0C" w:rsidP="00A17623">
      <w:pPr>
        <w:widowControl/>
        <w:rPr>
          <w:rFonts w:cs="Times New Roman"/>
          <w:bCs/>
          <w:color w:val="auto"/>
          <w:szCs w:val="22"/>
          <w:lang w:val="pt-PT"/>
        </w:rPr>
      </w:pPr>
      <w:bookmarkStart w:id="228" w:name="bookmark395"/>
    </w:p>
    <w:p w14:paraId="6929B4E3"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Não utilize este medicamento:</w:t>
      </w:r>
      <w:bookmarkEnd w:id="228"/>
    </w:p>
    <w:p w14:paraId="000D4B99"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Após o prazo de validade impresso no rótulo e na embalagem exterior, após “VAL”. O prazo de</w:t>
      </w:r>
      <w:r w:rsidR="00324B0C" w:rsidRPr="00110D6C">
        <w:rPr>
          <w:rFonts w:cs="Times New Roman"/>
          <w:color w:val="auto"/>
          <w:szCs w:val="22"/>
          <w:lang w:val="pt-PT"/>
        </w:rPr>
        <w:t xml:space="preserve"> </w:t>
      </w:r>
      <w:r w:rsidRPr="00110D6C">
        <w:rPr>
          <w:rFonts w:cs="Times New Roman"/>
          <w:color w:val="auto"/>
          <w:szCs w:val="22"/>
          <w:lang w:val="pt-PT"/>
        </w:rPr>
        <w:t>validade corresponde ao último dia do mês indicado.</w:t>
      </w:r>
    </w:p>
    <w:p w14:paraId="1919EBF9" w14:textId="37DF640B"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Se o líquido estiver descolorado, turvo ou se observar outras partículas estranhas em suspensão</w:t>
      </w:r>
      <w:r w:rsidR="00324B0C" w:rsidRPr="00110D6C">
        <w:rPr>
          <w:rFonts w:cs="Times New Roman"/>
          <w:color w:val="auto"/>
          <w:szCs w:val="22"/>
          <w:lang w:val="pt-PT"/>
        </w:rPr>
        <w:t xml:space="preserve"> </w:t>
      </w:r>
      <w:r w:rsidRPr="00110D6C">
        <w:rPr>
          <w:rFonts w:cs="Times New Roman"/>
          <w:color w:val="auto"/>
          <w:szCs w:val="22"/>
          <w:lang w:val="pt-PT"/>
        </w:rPr>
        <w:t xml:space="preserve">(ver a secção </w:t>
      </w:r>
      <w:r w:rsidR="00B910F9" w:rsidRPr="00110D6C">
        <w:rPr>
          <w:rFonts w:cs="Times New Roman"/>
          <w:color w:val="auto"/>
          <w:szCs w:val="22"/>
          <w:lang w:val="pt-PT"/>
        </w:rPr>
        <w:t>6 </w:t>
      </w:r>
      <w:r w:rsidRPr="00110D6C">
        <w:rPr>
          <w:rFonts w:cs="Times New Roman"/>
          <w:color w:val="auto"/>
          <w:szCs w:val="22"/>
          <w:lang w:val="pt-PT"/>
        </w:rPr>
        <w:t xml:space="preserve">“Qual o aspeto de </w:t>
      </w:r>
      <w:r w:rsidR="00D50CFA">
        <w:rPr>
          <w:rFonts w:cs="Times New Roman"/>
          <w:color w:val="auto"/>
          <w:szCs w:val="22"/>
          <w:lang w:val="pt-PT"/>
        </w:rPr>
        <w:t>Fymskina</w:t>
      </w:r>
      <w:r w:rsidRPr="00110D6C">
        <w:rPr>
          <w:rFonts w:cs="Times New Roman"/>
          <w:color w:val="auto"/>
          <w:szCs w:val="22"/>
          <w:lang w:val="pt-PT"/>
        </w:rPr>
        <w:t xml:space="preserve"> e conteúdo da embalagem”).</w:t>
      </w:r>
    </w:p>
    <w:p w14:paraId="127E7C90"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Se sabe ou pensa que o medicamento tenha sido exposto a temperaturas extremas (tal como</w:t>
      </w:r>
      <w:r w:rsidR="00324B0C" w:rsidRPr="00110D6C">
        <w:rPr>
          <w:rFonts w:cs="Times New Roman"/>
          <w:color w:val="auto"/>
          <w:szCs w:val="22"/>
          <w:lang w:val="pt-PT"/>
        </w:rPr>
        <w:t xml:space="preserve"> </w:t>
      </w:r>
      <w:r w:rsidRPr="00110D6C">
        <w:rPr>
          <w:rFonts w:cs="Times New Roman"/>
          <w:color w:val="auto"/>
          <w:szCs w:val="22"/>
          <w:lang w:val="pt-PT"/>
        </w:rPr>
        <w:t>acidentalmente congelado ou aquecido).</w:t>
      </w:r>
    </w:p>
    <w:p w14:paraId="197D5DED"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Se o medicamento foi vigorosamente agitado.</w:t>
      </w:r>
    </w:p>
    <w:p w14:paraId="7989048F" w14:textId="77777777" w:rsidR="00324B0C" w:rsidRPr="00110D6C" w:rsidRDefault="00324B0C" w:rsidP="00A17623">
      <w:pPr>
        <w:widowControl/>
        <w:rPr>
          <w:rFonts w:cs="Times New Roman"/>
          <w:color w:val="auto"/>
          <w:szCs w:val="22"/>
          <w:lang w:val="pt-PT"/>
        </w:rPr>
      </w:pPr>
    </w:p>
    <w:p w14:paraId="1880EA31" w14:textId="100DBF4F" w:rsidR="0077031F" w:rsidRPr="00110D6C" w:rsidRDefault="00D50CFA" w:rsidP="00A17623">
      <w:pPr>
        <w:widowControl/>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destina-se apenas para administração única. Qualquer produto não utilizado que fique na seringa deve ser deitado fora. Não deite fora quaisquer medicamentos na canalização ou no lixo doméstico. Pergunte ao seu farmacêutico como deitar fora os medicamentos que já não utiliza. Estas medidas ajudarão a proteger o ambiente.</w:t>
      </w:r>
    </w:p>
    <w:p w14:paraId="24A50E07" w14:textId="77777777" w:rsidR="00324B0C" w:rsidRPr="00110D6C" w:rsidRDefault="00324B0C" w:rsidP="00A17623">
      <w:pPr>
        <w:widowControl/>
        <w:rPr>
          <w:rFonts w:cs="Times New Roman"/>
          <w:color w:val="auto"/>
          <w:szCs w:val="22"/>
          <w:lang w:val="pt-PT"/>
        </w:rPr>
      </w:pPr>
    </w:p>
    <w:p w14:paraId="6B17ED2B" w14:textId="77777777" w:rsidR="00324B0C" w:rsidRPr="00110D6C" w:rsidRDefault="00324B0C" w:rsidP="00A17623">
      <w:pPr>
        <w:widowControl/>
        <w:rPr>
          <w:rFonts w:cs="Times New Roman"/>
          <w:color w:val="auto"/>
          <w:szCs w:val="22"/>
          <w:lang w:val="pt-PT"/>
        </w:rPr>
      </w:pPr>
    </w:p>
    <w:p w14:paraId="0FF28788" w14:textId="77777777" w:rsidR="0077031F" w:rsidRPr="00110D6C" w:rsidRDefault="00DC3C01" w:rsidP="00A17623">
      <w:pPr>
        <w:widowControl/>
        <w:ind w:left="567" w:hanging="567"/>
        <w:rPr>
          <w:rFonts w:cs="Times New Roman"/>
          <w:color w:val="auto"/>
          <w:szCs w:val="22"/>
          <w:lang w:val="pt-PT"/>
        </w:rPr>
      </w:pPr>
      <w:bookmarkStart w:id="229" w:name="bookmark397"/>
      <w:r w:rsidRPr="00110D6C">
        <w:rPr>
          <w:rFonts w:cs="Times New Roman"/>
          <w:b/>
          <w:bCs/>
          <w:color w:val="auto"/>
          <w:szCs w:val="22"/>
          <w:lang w:val="pt-PT"/>
        </w:rPr>
        <w:t>6.</w:t>
      </w:r>
      <w:r w:rsidRPr="00110D6C">
        <w:rPr>
          <w:rFonts w:cs="Times New Roman"/>
          <w:b/>
          <w:bCs/>
          <w:color w:val="auto"/>
          <w:szCs w:val="22"/>
          <w:lang w:val="pt-PT"/>
        </w:rPr>
        <w:tab/>
      </w:r>
      <w:r w:rsidR="00030085" w:rsidRPr="00110D6C">
        <w:rPr>
          <w:rFonts w:cs="Times New Roman"/>
          <w:b/>
          <w:bCs/>
          <w:color w:val="auto"/>
          <w:szCs w:val="22"/>
          <w:lang w:val="pt-PT"/>
        </w:rPr>
        <w:t>Conteúdo da embalagem e outras informações</w:t>
      </w:r>
      <w:bookmarkEnd w:id="229"/>
    </w:p>
    <w:p w14:paraId="66461816" w14:textId="77777777" w:rsidR="00324B0C" w:rsidRPr="00110D6C" w:rsidRDefault="00324B0C" w:rsidP="00A17623">
      <w:pPr>
        <w:widowControl/>
        <w:rPr>
          <w:rFonts w:cs="Times New Roman"/>
          <w:bCs/>
          <w:color w:val="auto"/>
          <w:szCs w:val="22"/>
          <w:lang w:val="pt-PT"/>
        </w:rPr>
      </w:pPr>
    </w:p>
    <w:p w14:paraId="2A17003A" w14:textId="7A70F94F"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Qual a composição de </w:t>
      </w:r>
      <w:r w:rsidR="00D50CFA">
        <w:rPr>
          <w:rFonts w:cs="Times New Roman"/>
          <w:b/>
          <w:bCs/>
          <w:color w:val="auto"/>
          <w:szCs w:val="22"/>
          <w:lang w:val="pt-PT"/>
        </w:rPr>
        <w:t>Fymskina</w:t>
      </w:r>
    </w:p>
    <w:p w14:paraId="4F706AB1"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A substância ativa é o ustecinumab. Cada seringa pré-cheia contém 9</w:t>
      </w:r>
      <w:r w:rsidR="00B910F9" w:rsidRPr="00110D6C">
        <w:rPr>
          <w:rFonts w:cs="Times New Roman"/>
          <w:color w:val="auto"/>
          <w:szCs w:val="22"/>
          <w:lang w:val="pt-PT"/>
        </w:rPr>
        <w:t>0 </w:t>
      </w:r>
      <w:r w:rsidRPr="00110D6C">
        <w:rPr>
          <w:rFonts w:cs="Times New Roman"/>
          <w:color w:val="auto"/>
          <w:szCs w:val="22"/>
          <w:lang w:val="pt-PT"/>
        </w:rPr>
        <w:t>mg de ustecinumab em</w:t>
      </w:r>
      <w:r w:rsidR="00324B0C" w:rsidRPr="00110D6C">
        <w:rPr>
          <w:rFonts w:cs="Times New Roman"/>
          <w:color w:val="auto"/>
          <w:szCs w:val="22"/>
          <w:lang w:val="pt-PT"/>
        </w:rPr>
        <w:t xml:space="preserve"> </w:t>
      </w:r>
      <w:r w:rsidR="00B910F9" w:rsidRPr="00110D6C">
        <w:rPr>
          <w:rFonts w:cs="Times New Roman"/>
          <w:color w:val="auto"/>
          <w:szCs w:val="22"/>
          <w:lang w:val="pt-PT"/>
        </w:rPr>
        <w:t>1 </w:t>
      </w:r>
      <w:r w:rsidRPr="00110D6C">
        <w:rPr>
          <w:rFonts w:cs="Times New Roman"/>
          <w:color w:val="auto"/>
          <w:szCs w:val="22"/>
          <w:lang w:val="pt-PT"/>
        </w:rPr>
        <w:t>ml.</w:t>
      </w:r>
    </w:p>
    <w:p w14:paraId="26B9D5EE" w14:textId="220EC654"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lastRenderedPageBreak/>
        <w:t>Os outros componentes são L-histidina, polissorbato 80</w:t>
      </w:r>
      <w:r w:rsidR="00AB1957">
        <w:rPr>
          <w:rFonts w:cs="Times New Roman"/>
          <w:color w:val="auto"/>
          <w:szCs w:val="22"/>
          <w:lang w:val="pt-PT"/>
        </w:rPr>
        <w:t xml:space="preserve"> (E433)</w:t>
      </w:r>
      <w:r w:rsidRPr="00110D6C">
        <w:rPr>
          <w:rFonts w:cs="Times New Roman"/>
          <w:color w:val="auto"/>
          <w:szCs w:val="22"/>
          <w:lang w:val="pt-PT"/>
        </w:rPr>
        <w:t>, sacarose</w:t>
      </w:r>
      <w:r w:rsidR="0094463A">
        <w:rPr>
          <w:rFonts w:cs="Times New Roman"/>
          <w:color w:val="auto"/>
          <w:szCs w:val="22"/>
          <w:lang w:val="pt-PT"/>
        </w:rPr>
        <w:t>,</w:t>
      </w:r>
      <w:r w:rsidRPr="00110D6C">
        <w:rPr>
          <w:rFonts w:cs="Times New Roman"/>
          <w:color w:val="auto"/>
          <w:szCs w:val="22"/>
          <w:lang w:val="pt-PT"/>
        </w:rPr>
        <w:t xml:space="preserve"> água para preparações injetáveis</w:t>
      </w:r>
      <w:r w:rsidR="0094463A">
        <w:rPr>
          <w:rFonts w:cs="Times New Roman"/>
          <w:color w:val="auto"/>
          <w:szCs w:val="22"/>
          <w:lang w:val="pt-PT"/>
        </w:rPr>
        <w:t xml:space="preserve"> e ácido clorídrico (para ajuste do pH)</w:t>
      </w:r>
      <w:r w:rsidRPr="00110D6C">
        <w:rPr>
          <w:rFonts w:cs="Times New Roman"/>
          <w:color w:val="auto"/>
          <w:szCs w:val="22"/>
          <w:lang w:val="pt-PT"/>
        </w:rPr>
        <w:t>.</w:t>
      </w:r>
    </w:p>
    <w:p w14:paraId="4250C5D5" w14:textId="77777777" w:rsidR="00324B0C" w:rsidRPr="00110D6C" w:rsidRDefault="00324B0C" w:rsidP="00A17623">
      <w:pPr>
        <w:widowControl/>
        <w:rPr>
          <w:rFonts w:cs="Times New Roman"/>
          <w:bCs/>
          <w:color w:val="auto"/>
          <w:szCs w:val="22"/>
          <w:lang w:val="pt-PT"/>
        </w:rPr>
      </w:pPr>
      <w:bookmarkStart w:id="230" w:name="bookmark400"/>
    </w:p>
    <w:p w14:paraId="2FC242F6" w14:textId="2BDB555D"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 xml:space="preserve">Qual o aspeto de </w:t>
      </w:r>
      <w:r w:rsidR="00D50CFA">
        <w:rPr>
          <w:rFonts w:cs="Times New Roman"/>
          <w:b/>
          <w:bCs/>
          <w:color w:val="auto"/>
          <w:szCs w:val="22"/>
          <w:lang w:val="pt-PT"/>
        </w:rPr>
        <w:t>Fymskina</w:t>
      </w:r>
      <w:r w:rsidRPr="00110D6C">
        <w:rPr>
          <w:rFonts w:cs="Times New Roman"/>
          <w:b/>
          <w:bCs/>
          <w:color w:val="auto"/>
          <w:szCs w:val="22"/>
          <w:lang w:val="pt-PT"/>
        </w:rPr>
        <w:t xml:space="preserve"> e conteúdo da embalagem</w:t>
      </w:r>
      <w:bookmarkEnd w:id="230"/>
    </w:p>
    <w:p w14:paraId="4A8FB541" w14:textId="1E629610" w:rsidR="0077031F" w:rsidRPr="00110D6C" w:rsidRDefault="00D50CFA" w:rsidP="00A17623">
      <w:pPr>
        <w:widowControl/>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é uma solução injetável transparente, incolor a </w:t>
      </w:r>
      <w:r w:rsidR="0094463A">
        <w:rPr>
          <w:rFonts w:cs="Times New Roman"/>
          <w:color w:val="auto"/>
          <w:szCs w:val="22"/>
          <w:lang w:val="pt-PT"/>
        </w:rPr>
        <w:t xml:space="preserve">ligeiramente </w:t>
      </w:r>
      <w:r w:rsidR="00030085" w:rsidRPr="00110D6C">
        <w:rPr>
          <w:rFonts w:cs="Times New Roman"/>
          <w:color w:val="auto"/>
          <w:szCs w:val="22"/>
          <w:lang w:val="pt-PT"/>
        </w:rPr>
        <w:t>amarel</w:t>
      </w:r>
      <w:r w:rsidR="0094463A">
        <w:rPr>
          <w:rFonts w:cs="Times New Roman"/>
          <w:color w:val="auto"/>
          <w:szCs w:val="22"/>
          <w:lang w:val="pt-PT"/>
        </w:rPr>
        <w:t>o-acastanhada</w:t>
      </w:r>
      <w:r w:rsidR="00030085" w:rsidRPr="00110D6C">
        <w:rPr>
          <w:rFonts w:cs="Times New Roman"/>
          <w:color w:val="auto"/>
          <w:szCs w:val="22"/>
          <w:lang w:val="pt-PT"/>
        </w:rPr>
        <w:t xml:space="preserve">. Apresenta-se numa embalagem de cartão contendo </w:t>
      </w:r>
      <w:r w:rsidR="00B910F9" w:rsidRPr="00110D6C">
        <w:rPr>
          <w:rFonts w:cs="Times New Roman"/>
          <w:color w:val="auto"/>
          <w:szCs w:val="22"/>
          <w:lang w:val="pt-PT"/>
        </w:rPr>
        <w:t>1 </w:t>
      </w:r>
      <w:r w:rsidR="00030085" w:rsidRPr="00110D6C">
        <w:rPr>
          <w:rFonts w:cs="Times New Roman"/>
          <w:color w:val="auto"/>
          <w:szCs w:val="22"/>
          <w:lang w:val="pt-PT"/>
        </w:rPr>
        <w:t xml:space="preserve">seringa pré-cheia de vidro de dose única de </w:t>
      </w:r>
      <w:r w:rsidR="00B910F9" w:rsidRPr="00110D6C">
        <w:rPr>
          <w:rFonts w:cs="Times New Roman"/>
          <w:color w:val="auto"/>
          <w:szCs w:val="22"/>
          <w:lang w:val="pt-PT"/>
        </w:rPr>
        <w:t>1 </w:t>
      </w:r>
      <w:r w:rsidR="00030085" w:rsidRPr="00110D6C">
        <w:rPr>
          <w:rFonts w:cs="Times New Roman"/>
          <w:color w:val="auto"/>
          <w:szCs w:val="22"/>
          <w:lang w:val="pt-PT"/>
        </w:rPr>
        <w:t>ml. Cada seringa pré-cheia contém 9</w:t>
      </w:r>
      <w:r w:rsidR="00B910F9" w:rsidRPr="00110D6C">
        <w:rPr>
          <w:rFonts w:cs="Times New Roman"/>
          <w:color w:val="auto"/>
          <w:szCs w:val="22"/>
          <w:lang w:val="pt-PT"/>
        </w:rPr>
        <w:t>0 </w:t>
      </w:r>
      <w:r w:rsidR="00030085" w:rsidRPr="00110D6C">
        <w:rPr>
          <w:rFonts w:cs="Times New Roman"/>
          <w:color w:val="auto"/>
          <w:szCs w:val="22"/>
          <w:lang w:val="pt-PT"/>
        </w:rPr>
        <w:t xml:space="preserve">mg de ustecinumab em </w:t>
      </w:r>
      <w:r w:rsidR="00B910F9" w:rsidRPr="00110D6C">
        <w:rPr>
          <w:rFonts w:cs="Times New Roman"/>
          <w:color w:val="auto"/>
          <w:szCs w:val="22"/>
          <w:lang w:val="pt-PT"/>
        </w:rPr>
        <w:t>1 </w:t>
      </w:r>
      <w:r w:rsidR="00030085" w:rsidRPr="00110D6C">
        <w:rPr>
          <w:rFonts w:cs="Times New Roman"/>
          <w:color w:val="auto"/>
          <w:szCs w:val="22"/>
          <w:lang w:val="pt-PT"/>
        </w:rPr>
        <w:t>ml de solução injetável.</w:t>
      </w:r>
    </w:p>
    <w:p w14:paraId="062948F2" w14:textId="77777777" w:rsidR="00324B0C" w:rsidRPr="00110D6C" w:rsidRDefault="00324B0C" w:rsidP="00A17623">
      <w:pPr>
        <w:widowControl/>
        <w:rPr>
          <w:rFonts w:cs="Times New Roman"/>
          <w:bCs/>
          <w:color w:val="auto"/>
          <w:szCs w:val="22"/>
          <w:lang w:val="pt-PT"/>
        </w:rPr>
      </w:pPr>
      <w:bookmarkStart w:id="231" w:name="bookmark402"/>
    </w:p>
    <w:p w14:paraId="78E02694" w14:textId="7B2D2980"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Titular da Autorização de Introdução no Mercado</w:t>
      </w:r>
      <w:bookmarkEnd w:id="231"/>
      <w:ins w:id="232" w:author="translator" w:date="2025-06-25T11:21:00Z">
        <w:r w:rsidR="00EA3686">
          <w:rPr>
            <w:rFonts w:cs="Times New Roman"/>
            <w:b/>
            <w:bCs/>
            <w:color w:val="auto"/>
            <w:szCs w:val="22"/>
            <w:lang w:val="pt-PT"/>
          </w:rPr>
          <w:t xml:space="preserve"> e Fabricante</w:t>
        </w:r>
      </w:ins>
    </w:p>
    <w:p w14:paraId="011FE813" w14:textId="77777777" w:rsidR="0094463A" w:rsidRPr="00492A01" w:rsidRDefault="0094463A" w:rsidP="0094463A">
      <w:pPr>
        <w:rPr>
          <w:lang w:val="pt-PT"/>
        </w:rPr>
      </w:pPr>
      <w:r w:rsidRPr="00492A01">
        <w:rPr>
          <w:lang w:val="pt-PT"/>
        </w:rPr>
        <w:t>Formycon AG</w:t>
      </w:r>
    </w:p>
    <w:p w14:paraId="4016C0AC" w14:textId="77777777" w:rsidR="0094463A" w:rsidRPr="00492A01" w:rsidRDefault="0094463A" w:rsidP="0094463A">
      <w:pPr>
        <w:rPr>
          <w:lang w:val="pt-PT"/>
        </w:rPr>
      </w:pPr>
      <w:r w:rsidRPr="00492A01">
        <w:rPr>
          <w:lang w:val="pt-PT"/>
        </w:rPr>
        <w:t>Fraunhoferstraße 15</w:t>
      </w:r>
    </w:p>
    <w:p w14:paraId="43EA60ED" w14:textId="77777777" w:rsidR="0094463A" w:rsidRPr="00492A01" w:rsidRDefault="0094463A" w:rsidP="0094463A">
      <w:pPr>
        <w:rPr>
          <w:lang w:val="pt-PT"/>
        </w:rPr>
      </w:pPr>
      <w:r w:rsidRPr="00492A01">
        <w:rPr>
          <w:lang w:val="pt-PT"/>
        </w:rPr>
        <w:t>82152 Martinsried/Planegg</w:t>
      </w:r>
    </w:p>
    <w:p w14:paraId="7CC84161" w14:textId="77777777" w:rsidR="0094463A" w:rsidRDefault="0094463A" w:rsidP="00A17623">
      <w:pPr>
        <w:widowControl/>
        <w:rPr>
          <w:rFonts w:cs="Times New Roman"/>
          <w:color w:val="auto"/>
          <w:szCs w:val="22"/>
          <w:lang w:val="pt-PT"/>
        </w:rPr>
      </w:pPr>
      <w:r>
        <w:rPr>
          <w:rFonts w:cs="Times New Roman"/>
          <w:color w:val="auto"/>
          <w:szCs w:val="22"/>
          <w:lang w:val="pt-PT"/>
        </w:rPr>
        <w:t>Alemanha</w:t>
      </w:r>
    </w:p>
    <w:p w14:paraId="42D5EBC0" w14:textId="0B4A3311" w:rsidR="00324B0C" w:rsidRPr="00110D6C" w:rsidDel="00EA3686" w:rsidRDefault="00324B0C" w:rsidP="00A17623">
      <w:pPr>
        <w:widowControl/>
        <w:rPr>
          <w:del w:id="233" w:author="translator" w:date="2025-06-25T11:21:00Z"/>
          <w:rFonts w:cs="Times New Roman"/>
          <w:bCs/>
          <w:color w:val="auto"/>
          <w:szCs w:val="22"/>
          <w:lang w:val="pt-PT"/>
        </w:rPr>
      </w:pPr>
      <w:bookmarkStart w:id="234" w:name="bookmark404"/>
    </w:p>
    <w:p w14:paraId="23C1EA5C" w14:textId="44E45B01" w:rsidR="0077031F" w:rsidRPr="00110D6C" w:rsidDel="00EA3686" w:rsidRDefault="00030085" w:rsidP="00A17623">
      <w:pPr>
        <w:widowControl/>
        <w:rPr>
          <w:del w:id="235" w:author="translator" w:date="2025-06-25T11:21:00Z"/>
          <w:rFonts w:cs="Times New Roman"/>
          <w:color w:val="auto"/>
          <w:szCs w:val="22"/>
          <w:lang w:val="pt-PT"/>
        </w:rPr>
      </w:pPr>
      <w:del w:id="236" w:author="translator" w:date="2025-06-25T11:21:00Z">
        <w:r w:rsidRPr="00110D6C" w:rsidDel="00EA3686">
          <w:rPr>
            <w:rFonts w:cs="Times New Roman"/>
            <w:b/>
            <w:bCs/>
            <w:color w:val="auto"/>
            <w:szCs w:val="22"/>
            <w:lang w:val="pt-PT"/>
          </w:rPr>
          <w:delText>Fabricante</w:delText>
        </w:r>
        <w:bookmarkEnd w:id="234"/>
      </w:del>
    </w:p>
    <w:p w14:paraId="6497B512" w14:textId="7033F077" w:rsidR="0094463A" w:rsidRPr="00492A01" w:rsidDel="00EA3686" w:rsidRDefault="0094463A" w:rsidP="0094463A">
      <w:pPr>
        <w:keepNext/>
        <w:widowControl/>
        <w:rPr>
          <w:del w:id="237" w:author="translator" w:date="2025-06-25T11:21:00Z"/>
          <w:lang w:val="it-IT"/>
        </w:rPr>
      </w:pPr>
      <w:del w:id="238" w:author="translator" w:date="2025-06-25T11:21:00Z">
        <w:r w:rsidRPr="00492A01" w:rsidDel="00EA3686">
          <w:rPr>
            <w:lang w:val="it-IT"/>
          </w:rPr>
          <w:delText>Fresenius Kabi Austria GmbH</w:delText>
        </w:r>
      </w:del>
    </w:p>
    <w:p w14:paraId="2B0A5493" w14:textId="0867F65A" w:rsidR="0094463A" w:rsidRPr="00492A01" w:rsidDel="00EA3686" w:rsidRDefault="0094463A" w:rsidP="0094463A">
      <w:pPr>
        <w:keepNext/>
        <w:widowControl/>
        <w:rPr>
          <w:del w:id="239" w:author="translator" w:date="2025-06-25T11:21:00Z"/>
          <w:lang w:val="it-IT"/>
        </w:rPr>
      </w:pPr>
      <w:del w:id="240" w:author="translator" w:date="2025-06-25T11:21:00Z">
        <w:r w:rsidRPr="00492A01" w:rsidDel="00EA3686">
          <w:rPr>
            <w:lang w:val="it-IT"/>
          </w:rPr>
          <w:delText>Hafnerstraße 36</w:delText>
        </w:r>
      </w:del>
    </w:p>
    <w:p w14:paraId="465B477F" w14:textId="38E13795" w:rsidR="0094463A" w:rsidRPr="00133412" w:rsidDel="00EA3686" w:rsidRDefault="0094463A" w:rsidP="0094463A">
      <w:pPr>
        <w:keepNext/>
        <w:widowControl/>
        <w:rPr>
          <w:del w:id="241" w:author="translator" w:date="2025-06-25T11:21:00Z"/>
          <w:lang w:val="pt-PT"/>
        </w:rPr>
      </w:pPr>
      <w:del w:id="242" w:author="translator" w:date="2025-06-25T11:21:00Z">
        <w:r w:rsidRPr="00133412" w:rsidDel="00EA3686">
          <w:rPr>
            <w:lang w:val="pt-PT"/>
          </w:rPr>
          <w:delText>8055 Graz</w:delText>
        </w:r>
      </w:del>
    </w:p>
    <w:p w14:paraId="36D2A08A" w14:textId="264A6CF3" w:rsidR="0094463A" w:rsidRPr="00133412" w:rsidDel="00EA3686" w:rsidRDefault="0094463A" w:rsidP="0094463A">
      <w:pPr>
        <w:keepNext/>
        <w:widowControl/>
        <w:rPr>
          <w:del w:id="243" w:author="translator" w:date="2025-06-25T11:21:00Z"/>
          <w:lang w:val="pt-PT"/>
        </w:rPr>
      </w:pPr>
      <w:del w:id="244" w:author="translator" w:date="2025-06-25T11:21:00Z">
        <w:r w:rsidRPr="00133412" w:rsidDel="00EA3686">
          <w:rPr>
            <w:lang w:val="pt-PT"/>
          </w:rPr>
          <w:delText>Áustria</w:delText>
        </w:r>
      </w:del>
    </w:p>
    <w:p w14:paraId="78BAA349" w14:textId="77777777" w:rsidR="00403A3C" w:rsidRPr="00110D6C" w:rsidRDefault="00403A3C" w:rsidP="00A17623">
      <w:pPr>
        <w:widowControl/>
        <w:rPr>
          <w:rFonts w:cs="Times New Roman"/>
          <w:bCs/>
          <w:color w:val="auto"/>
          <w:szCs w:val="22"/>
          <w:lang w:val="pt-PT"/>
        </w:rPr>
      </w:pPr>
      <w:bookmarkStart w:id="245" w:name="bookmark406"/>
    </w:p>
    <w:p w14:paraId="2211C1D4" w14:textId="77777777" w:rsidR="006F7F0F" w:rsidRPr="00E124FE" w:rsidRDefault="006F7F0F" w:rsidP="006F7F0F">
      <w:pPr>
        <w:numPr>
          <w:ilvl w:val="12"/>
          <w:numId w:val="0"/>
        </w:numPr>
        <w:rPr>
          <w:szCs w:val="22"/>
        </w:rPr>
      </w:pPr>
      <w:r w:rsidRPr="00E124FE">
        <w:rPr>
          <w:szCs w:val="22"/>
        </w:rPr>
        <w:t xml:space="preserve">Para quaisquer informações sobre este medicamento, queira </w:t>
      </w:r>
      <w:r w:rsidRPr="00043C2E">
        <w:rPr>
          <w:szCs w:val="22"/>
          <w:lang w:val="pt-PT"/>
        </w:rPr>
        <w:t>contactar</w:t>
      </w:r>
      <w:r w:rsidRPr="00E124FE">
        <w:rPr>
          <w:szCs w:val="22"/>
        </w:rPr>
        <w:t xml:space="preserve"> o representante local do Titular da Autorização de Introdução no Mercado:</w:t>
      </w:r>
    </w:p>
    <w:p w14:paraId="1E459951" w14:textId="77777777" w:rsidR="006F7F0F" w:rsidRPr="00043C2E" w:rsidRDefault="006F7F0F" w:rsidP="006F7F0F">
      <w:pPr>
        <w:pStyle w:val="Textkrper"/>
        <w:rPr>
          <w:rFonts w:asciiTheme="majorBidi" w:hAnsiTheme="majorBidi" w:cstheme="majorBidi"/>
          <w:lang w:val="pt-PT"/>
        </w:rPr>
      </w:pPr>
    </w:p>
    <w:p w14:paraId="6F176DD9" w14:textId="77777777" w:rsidR="006F7F0F" w:rsidRPr="0097727A" w:rsidRDefault="006F7F0F" w:rsidP="006F7F0F">
      <w:pPr>
        <w:pStyle w:val="Textkrper"/>
        <w:rPr>
          <w:rFonts w:asciiTheme="majorBidi" w:hAnsiTheme="majorBidi" w:cstheme="majorBidi"/>
          <w:b/>
          <w:bCs/>
          <w:lang w:val="pt-PT"/>
        </w:rPr>
      </w:pPr>
      <w:r w:rsidRPr="0097727A">
        <w:rPr>
          <w:rFonts w:asciiTheme="majorBidi" w:hAnsiTheme="majorBidi" w:cstheme="majorBidi"/>
          <w:b/>
          <w:bCs/>
          <w:lang w:val="pt-PT"/>
        </w:rPr>
        <w:t>BE / BG / CZ / DK / EE / IE / IS / EL / ES / FR / HR / IT / CY / LV / LT / LU / HU / MT / NL / NO / AT / PL / PT / RO / SI / SK / FI / SE</w:t>
      </w:r>
    </w:p>
    <w:p w14:paraId="70DE0B3A" w14:textId="77777777" w:rsidR="006F7F0F" w:rsidRPr="0097727A" w:rsidRDefault="006F7F0F" w:rsidP="006F7F0F">
      <w:pPr>
        <w:pStyle w:val="Textkrper"/>
        <w:rPr>
          <w:rFonts w:asciiTheme="majorBidi" w:hAnsiTheme="majorBidi" w:cstheme="majorBidi"/>
          <w:lang w:val="pt-PT"/>
        </w:rPr>
      </w:pPr>
      <w:r w:rsidRPr="0097727A">
        <w:rPr>
          <w:rFonts w:asciiTheme="majorBidi" w:hAnsiTheme="majorBidi" w:cstheme="majorBidi"/>
          <w:lang w:val="pt-PT"/>
        </w:rPr>
        <w:t>Formycon AG</w:t>
      </w:r>
    </w:p>
    <w:p w14:paraId="11619168" w14:textId="5B930E08" w:rsidR="006F7F0F" w:rsidRPr="0097727A" w:rsidRDefault="002B784E" w:rsidP="002B784E">
      <w:pPr>
        <w:pStyle w:val="Textkrper"/>
        <w:rPr>
          <w:rFonts w:asciiTheme="majorBidi" w:hAnsiTheme="majorBidi" w:cstheme="majorBidi"/>
          <w:lang w:val="pt-PT"/>
        </w:rPr>
      </w:pPr>
      <w:r w:rsidRPr="002B784E">
        <w:rPr>
          <w:rFonts w:asciiTheme="majorBidi" w:hAnsiTheme="majorBidi" w:cstheme="majorBidi"/>
          <w:lang w:val="nl-NL"/>
        </w:rPr>
        <w:t>Tel</w:t>
      </w:r>
      <w:r w:rsidRPr="0097727A">
        <w:rPr>
          <w:rFonts w:asciiTheme="majorBidi" w:hAnsiTheme="majorBidi" w:cstheme="majorBidi"/>
          <w:lang w:val="pt-PT"/>
        </w:rPr>
        <w:t>/Tél/Te</w:t>
      </w:r>
      <w:r w:rsidRPr="002B784E">
        <w:rPr>
          <w:rFonts w:asciiTheme="majorBidi" w:hAnsiTheme="majorBidi" w:cstheme="majorBidi"/>
          <w:lang w:val="de-DE" w:bidi="pt-BR"/>
        </w:rPr>
        <w:t>л</w:t>
      </w:r>
      <w:r w:rsidRPr="0097727A">
        <w:rPr>
          <w:rFonts w:asciiTheme="majorBidi" w:hAnsiTheme="majorBidi" w:cstheme="majorBidi"/>
          <w:lang w:val="pt-PT"/>
        </w:rPr>
        <w:t>./Tlf/</w:t>
      </w:r>
      <w:r w:rsidRPr="002B784E">
        <w:rPr>
          <w:rFonts w:asciiTheme="majorBidi" w:hAnsiTheme="majorBidi" w:cstheme="majorBidi"/>
          <w:lang w:val="de-DE" w:bidi="pt-BR"/>
        </w:rPr>
        <w:t>Τηλ</w:t>
      </w:r>
      <w:r w:rsidRPr="0097727A">
        <w:rPr>
          <w:rFonts w:asciiTheme="majorBidi" w:hAnsiTheme="majorBidi" w:cstheme="majorBidi"/>
          <w:lang w:val="pt-PT"/>
        </w:rPr>
        <w:t>/Sími/Puh</w:t>
      </w:r>
      <w:r w:rsidR="006F7F0F" w:rsidRPr="0097727A">
        <w:rPr>
          <w:rFonts w:asciiTheme="majorBidi" w:hAnsiTheme="majorBidi" w:cstheme="majorBidi"/>
          <w:lang w:val="pt-PT"/>
        </w:rPr>
        <w:t>: + 49 89 864 667 100</w:t>
      </w:r>
    </w:p>
    <w:p w14:paraId="6713F475" w14:textId="77777777" w:rsidR="006F7F0F" w:rsidRPr="0097727A" w:rsidRDefault="006F7F0F" w:rsidP="006F7F0F">
      <w:pPr>
        <w:pStyle w:val="Textkrper"/>
        <w:rPr>
          <w:rFonts w:asciiTheme="majorBidi" w:hAnsiTheme="majorBidi" w:cstheme="majorBidi"/>
          <w:lang w:val="pt-PT"/>
        </w:rPr>
      </w:pPr>
    </w:p>
    <w:p w14:paraId="039616C2" w14:textId="079F53B8" w:rsidR="006F7F0F" w:rsidRPr="0097727A" w:rsidRDefault="00F708A1" w:rsidP="00F708A1">
      <w:pPr>
        <w:rPr>
          <w:lang w:val="pt-PT" w:bidi="de-DE"/>
        </w:rPr>
      </w:pPr>
      <w:r w:rsidRPr="0097727A">
        <w:rPr>
          <w:b/>
          <w:lang w:val="pt-PT" w:bidi="de-DE"/>
        </w:rPr>
        <w:t>Alemanha</w:t>
      </w:r>
    </w:p>
    <w:p w14:paraId="2FF3B352" w14:textId="77777777" w:rsidR="006F7F0F" w:rsidRPr="0097727A" w:rsidRDefault="006F7F0F" w:rsidP="006F7F0F">
      <w:pPr>
        <w:rPr>
          <w:lang w:val="pt-PT" w:bidi="de-DE"/>
        </w:rPr>
      </w:pPr>
      <w:r w:rsidRPr="0097727A">
        <w:rPr>
          <w:lang w:val="pt-PT" w:bidi="de-DE"/>
        </w:rPr>
        <w:t xml:space="preserve">ratiopharm GmbH </w:t>
      </w:r>
    </w:p>
    <w:p w14:paraId="33331606" w14:textId="77777777" w:rsidR="006F7F0F" w:rsidRPr="00043C2E" w:rsidRDefault="006F7F0F" w:rsidP="006F7F0F">
      <w:pPr>
        <w:pStyle w:val="Textkrper"/>
        <w:rPr>
          <w:lang w:val="pt-PT" w:bidi="de-DE"/>
        </w:rPr>
      </w:pPr>
      <w:r w:rsidRPr="00043C2E">
        <w:rPr>
          <w:lang w:val="pt-PT" w:bidi="de-DE"/>
        </w:rPr>
        <w:t>Tel: +49 731 402 02</w:t>
      </w:r>
    </w:p>
    <w:p w14:paraId="436AB523" w14:textId="77777777" w:rsidR="006F7F0F" w:rsidRDefault="006F7F0F" w:rsidP="00A17623">
      <w:pPr>
        <w:widowControl/>
        <w:rPr>
          <w:rFonts w:cs="Times New Roman"/>
          <w:b/>
          <w:bCs/>
          <w:color w:val="auto"/>
          <w:szCs w:val="22"/>
          <w:lang w:val="pt-PT"/>
        </w:rPr>
      </w:pPr>
    </w:p>
    <w:p w14:paraId="00AD1203" w14:textId="77777777" w:rsidR="006F7F0F" w:rsidRDefault="006F7F0F" w:rsidP="00A17623">
      <w:pPr>
        <w:widowControl/>
        <w:rPr>
          <w:rFonts w:cs="Times New Roman"/>
          <w:b/>
          <w:bCs/>
          <w:color w:val="auto"/>
          <w:szCs w:val="22"/>
          <w:lang w:val="pt-PT"/>
        </w:rPr>
      </w:pPr>
    </w:p>
    <w:p w14:paraId="2B172B05" w14:textId="7F2D1C8C"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t>Este folheto foi revisto pela última vez em</w:t>
      </w:r>
      <w:bookmarkEnd w:id="245"/>
    </w:p>
    <w:p w14:paraId="32DA3044" w14:textId="77777777" w:rsidR="00920500" w:rsidRPr="00110D6C" w:rsidRDefault="00920500" w:rsidP="00A17623">
      <w:pPr>
        <w:widowControl/>
        <w:rPr>
          <w:rFonts w:cs="Times New Roman"/>
          <w:color w:val="auto"/>
          <w:szCs w:val="22"/>
          <w:lang w:val="pt-PT"/>
        </w:rPr>
      </w:pPr>
    </w:p>
    <w:p w14:paraId="777A652F" w14:textId="57E993E5"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Está disponível informação pormenorizada sobre este medicamento no sítio da internet da Agência Europeia de Medicamentos: </w:t>
      </w:r>
      <w:hyperlink r:id="rId29" w:history="1">
        <w:r w:rsidR="0089078E" w:rsidRPr="0089078E">
          <w:rPr>
            <w:rStyle w:val="Hyperlink"/>
            <w:rFonts w:cs="Times New Roman"/>
            <w:szCs w:val="22"/>
            <w:lang w:val="pt-PT"/>
          </w:rPr>
          <w:t>https://www.ema.europa.eu</w:t>
        </w:r>
      </w:hyperlink>
      <w:r w:rsidRPr="00110D6C">
        <w:rPr>
          <w:rFonts w:cs="Times New Roman"/>
          <w:color w:val="auto"/>
          <w:szCs w:val="22"/>
          <w:lang w:val="pt-PT"/>
        </w:rPr>
        <w:t>.</w:t>
      </w:r>
    </w:p>
    <w:p w14:paraId="2D88BD07" w14:textId="77777777" w:rsidR="00920500" w:rsidRPr="00110D6C" w:rsidRDefault="00920500">
      <w:pPr>
        <w:rPr>
          <w:rFonts w:cs="Times New Roman"/>
          <w:bCs/>
          <w:color w:val="auto"/>
          <w:szCs w:val="22"/>
          <w:lang w:val="pt-PT"/>
        </w:rPr>
      </w:pPr>
      <w:bookmarkStart w:id="246" w:name="bookmark408"/>
      <w:r w:rsidRPr="00110D6C">
        <w:rPr>
          <w:rFonts w:cs="Times New Roman"/>
          <w:b/>
          <w:bCs/>
          <w:color w:val="auto"/>
          <w:szCs w:val="22"/>
          <w:lang w:val="pt-PT"/>
        </w:rPr>
        <w:br w:type="page"/>
      </w:r>
    </w:p>
    <w:p w14:paraId="71C8803E" w14:textId="77777777" w:rsidR="0077031F" w:rsidRPr="00110D6C" w:rsidRDefault="00030085" w:rsidP="00A17623">
      <w:pPr>
        <w:widowControl/>
        <w:rPr>
          <w:rFonts w:cs="Times New Roman"/>
          <w:color w:val="auto"/>
          <w:szCs w:val="22"/>
          <w:lang w:val="pt-PT"/>
        </w:rPr>
      </w:pPr>
      <w:r w:rsidRPr="00110D6C">
        <w:rPr>
          <w:rFonts w:cs="Times New Roman"/>
          <w:b/>
          <w:bCs/>
          <w:color w:val="auto"/>
          <w:szCs w:val="22"/>
          <w:lang w:val="pt-PT"/>
        </w:rPr>
        <w:lastRenderedPageBreak/>
        <w:t>Instruções para administração</w:t>
      </w:r>
      <w:bookmarkEnd w:id="246"/>
    </w:p>
    <w:p w14:paraId="33ECCE66" w14:textId="77777777" w:rsidR="00920500" w:rsidRPr="00110D6C" w:rsidRDefault="00920500" w:rsidP="00A17623">
      <w:pPr>
        <w:widowControl/>
        <w:rPr>
          <w:rFonts w:cs="Times New Roman"/>
          <w:color w:val="auto"/>
          <w:szCs w:val="22"/>
          <w:lang w:val="pt-PT"/>
        </w:rPr>
      </w:pPr>
    </w:p>
    <w:p w14:paraId="1EB6ECE8" w14:textId="5E9FB671"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No início do tratamento, o seu prestador de cuidados de saúde ajudá-lo-á com a sua primeira injeção. No entanto, o seu médico pode decidir que é capaz de injetar </w:t>
      </w:r>
      <w:r w:rsidR="00D50CFA">
        <w:rPr>
          <w:rFonts w:cs="Times New Roman"/>
          <w:color w:val="auto"/>
          <w:szCs w:val="22"/>
          <w:lang w:val="pt-PT"/>
        </w:rPr>
        <w:t>Fymskina</w:t>
      </w:r>
      <w:r w:rsidRPr="00110D6C">
        <w:rPr>
          <w:rFonts w:cs="Times New Roman"/>
          <w:color w:val="auto"/>
          <w:szCs w:val="22"/>
          <w:lang w:val="pt-PT"/>
        </w:rPr>
        <w:t xml:space="preserve"> a si próprio. Se isto acontecer, irá receber treino sobre como injetar </w:t>
      </w:r>
      <w:r w:rsidR="00D50CFA">
        <w:rPr>
          <w:rFonts w:cs="Times New Roman"/>
          <w:color w:val="auto"/>
          <w:szCs w:val="22"/>
          <w:lang w:val="pt-PT"/>
        </w:rPr>
        <w:t>Fymskina</w:t>
      </w:r>
      <w:r w:rsidRPr="00110D6C">
        <w:rPr>
          <w:rFonts w:cs="Times New Roman"/>
          <w:color w:val="auto"/>
          <w:szCs w:val="22"/>
          <w:lang w:val="pt-PT"/>
        </w:rPr>
        <w:t>. Fale com o seu médico se tiver qualquer dúvida sobre como administrar a injeção a si mesmo.</w:t>
      </w:r>
      <w:r w:rsidR="0089078E">
        <w:rPr>
          <w:rFonts w:cs="Times New Roman"/>
          <w:color w:val="auto"/>
          <w:szCs w:val="22"/>
          <w:lang w:val="pt-PT"/>
        </w:rPr>
        <w:t xml:space="preserve"> Em crianças com 6 anos de idade ou mais, recomenda-se que Fymskina seja administrado por um profissional de saúde ou cuidador após devida formação.</w:t>
      </w:r>
    </w:p>
    <w:p w14:paraId="6AAB4F8E" w14:textId="30270443"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 xml:space="preserve">Não misture </w:t>
      </w:r>
      <w:r w:rsidR="00D50CFA">
        <w:rPr>
          <w:rFonts w:cs="Times New Roman"/>
          <w:color w:val="auto"/>
          <w:szCs w:val="22"/>
          <w:lang w:val="pt-PT"/>
        </w:rPr>
        <w:t>Fymskina</w:t>
      </w:r>
      <w:r w:rsidRPr="00110D6C">
        <w:rPr>
          <w:rFonts w:cs="Times New Roman"/>
          <w:color w:val="auto"/>
          <w:szCs w:val="22"/>
          <w:lang w:val="pt-PT"/>
        </w:rPr>
        <w:t xml:space="preserve"> com outros líquidos injetáveis.</w:t>
      </w:r>
    </w:p>
    <w:p w14:paraId="4917DB2B" w14:textId="63DB57CD"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 xml:space="preserve">Não agite as seringas pré-cheias de </w:t>
      </w:r>
      <w:r w:rsidR="00D50CFA">
        <w:rPr>
          <w:rFonts w:cs="Times New Roman"/>
          <w:color w:val="auto"/>
          <w:szCs w:val="22"/>
          <w:lang w:val="pt-PT"/>
        </w:rPr>
        <w:t>Fymskina</w:t>
      </w:r>
      <w:r w:rsidRPr="00110D6C">
        <w:rPr>
          <w:rFonts w:cs="Times New Roman"/>
          <w:color w:val="auto"/>
          <w:szCs w:val="22"/>
          <w:lang w:val="pt-PT"/>
        </w:rPr>
        <w:t>, porque uma agitação forte pode danificar o</w:t>
      </w:r>
      <w:r w:rsidR="00920500" w:rsidRPr="00110D6C">
        <w:rPr>
          <w:rFonts w:cs="Times New Roman"/>
          <w:color w:val="auto"/>
          <w:szCs w:val="22"/>
          <w:lang w:val="pt-PT"/>
        </w:rPr>
        <w:t xml:space="preserve"> </w:t>
      </w:r>
      <w:r w:rsidRPr="00110D6C">
        <w:rPr>
          <w:rFonts w:cs="Times New Roman"/>
          <w:color w:val="auto"/>
          <w:szCs w:val="22"/>
          <w:lang w:val="pt-PT"/>
        </w:rPr>
        <w:t>medicamento. Não utilize o medicamento se este tiver sido vigorosamente agitado.</w:t>
      </w:r>
    </w:p>
    <w:p w14:paraId="333FDFA2" w14:textId="77777777" w:rsidR="00920500" w:rsidRPr="00110D6C" w:rsidRDefault="00920500" w:rsidP="00A17623">
      <w:pPr>
        <w:widowControl/>
        <w:rPr>
          <w:rFonts w:cs="Times New Roman"/>
          <w:color w:val="auto"/>
          <w:szCs w:val="22"/>
          <w:lang w:val="pt-PT"/>
        </w:rPr>
      </w:pPr>
    </w:p>
    <w:p w14:paraId="3473099E"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 xml:space="preserve">A Figura </w:t>
      </w:r>
      <w:r w:rsidR="00B910F9" w:rsidRPr="00110D6C">
        <w:rPr>
          <w:rFonts w:cs="Times New Roman"/>
          <w:color w:val="auto"/>
          <w:szCs w:val="22"/>
          <w:lang w:val="pt-PT"/>
        </w:rPr>
        <w:t>1 </w:t>
      </w:r>
      <w:r w:rsidRPr="00110D6C">
        <w:rPr>
          <w:rFonts w:cs="Times New Roman"/>
          <w:color w:val="auto"/>
          <w:szCs w:val="22"/>
          <w:lang w:val="pt-PT"/>
        </w:rPr>
        <w:t>ilustra uma seringa pré-cheia.</w:t>
      </w:r>
    </w:p>
    <w:p w14:paraId="3C44BBFB" w14:textId="77777777" w:rsidR="00920500" w:rsidRPr="00110D6C" w:rsidRDefault="00920500" w:rsidP="00A17623">
      <w:pPr>
        <w:widowControl/>
        <w:rPr>
          <w:rFonts w:cs="Times New Roman"/>
          <w:color w:val="auto"/>
          <w:szCs w:val="22"/>
          <w:lang w:val="pt-PT"/>
        </w:rPr>
      </w:pPr>
    </w:p>
    <w:p w14:paraId="33EC4DE6" w14:textId="70C44F07" w:rsidR="0077031F" w:rsidRPr="00110D6C" w:rsidRDefault="0077031F" w:rsidP="00920500">
      <w:pPr>
        <w:widowControl/>
        <w:jc w:val="center"/>
        <w:rPr>
          <w:rFonts w:cs="Times New Roman"/>
          <w:color w:val="auto"/>
          <w:szCs w:val="22"/>
          <w:lang w:val="pt-PT"/>
        </w:rPr>
      </w:pPr>
    </w:p>
    <w:p w14:paraId="53171737" w14:textId="2471410C" w:rsidR="0089078E" w:rsidRPr="00492A01" w:rsidRDefault="00133412" w:rsidP="0089078E">
      <w:pPr>
        <w:pStyle w:val="Textkrper"/>
        <w:rPr>
          <w:lang w:val="pt-PT"/>
        </w:rPr>
      </w:pPr>
      <w:r>
        <w:rPr>
          <w:rFonts w:cs="Arial Unicode MS"/>
          <w:noProof/>
          <w:color w:val="000000"/>
          <w:szCs w:val="24"/>
          <w:lang w:val="pt-BR"/>
        </w:rPr>
        <mc:AlternateContent>
          <mc:Choice Requires="wps">
            <w:drawing>
              <wp:anchor distT="45720" distB="45720" distL="114300" distR="114300" simplePos="0" relativeHeight="251672576" behindDoc="0" locked="0" layoutInCell="1" allowOverlap="1" wp14:anchorId="744FD7B8" wp14:editId="4CDF0FE2">
                <wp:simplePos x="0" y="0"/>
                <wp:positionH relativeFrom="column">
                  <wp:posOffset>968375</wp:posOffset>
                </wp:positionH>
                <wp:positionV relativeFrom="paragraph">
                  <wp:posOffset>83185</wp:posOffset>
                </wp:positionV>
                <wp:extent cx="927735" cy="466090"/>
                <wp:effectExtent l="0" t="0" r="0" b="0"/>
                <wp:wrapNone/>
                <wp:docPr id="13" name="Caixa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466090"/>
                        </a:xfrm>
                        <a:prstGeom prst="rect">
                          <a:avLst/>
                        </a:prstGeom>
                        <a:noFill/>
                        <a:ln w="9525">
                          <a:noFill/>
                          <a:miter lim="800000"/>
                          <a:headEnd/>
                          <a:tailEnd/>
                        </a:ln>
                      </wps:spPr>
                      <wps:txbx>
                        <w:txbxContent>
                          <w:p w14:paraId="75E6EDC7" w14:textId="77777777" w:rsidR="009C3A83" w:rsidRPr="00CC1FC4" w:rsidRDefault="009C3A83" w:rsidP="0089078E">
                            <w:pPr>
                              <w:jc w:val="center"/>
                              <w:rPr>
                                <w:rFonts w:asciiTheme="minorBidi" w:hAnsiTheme="minorBidi" w:cstheme="minorBidi"/>
                                <w:sz w:val="19"/>
                                <w:szCs w:val="19"/>
                              </w:rPr>
                            </w:pPr>
                            <w:r>
                              <w:rPr>
                                <w:rFonts w:asciiTheme="minorBidi" w:hAnsiTheme="minorBidi" w:cstheme="minorBidi"/>
                                <w:sz w:val="19"/>
                                <w:szCs w:val="19"/>
                              </w:rPr>
                              <w:t>Clips da ativação da proteção da agulha</w:t>
                            </w:r>
                          </w:p>
                          <w:p w14:paraId="5E7C38A9" w14:textId="749695E2" w:rsidR="009C3A83" w:rsidRPr="00CC1FC4" w:rsidRDefault="009C3A83" w:rsidP="0089078E">
                            <w:pPr>
                              <w:jc w:val="center"/>
                              <w:rPr>
                                <w:rFonts w:asciiTheme="minorBidi" w:hAnsiTheme="minorBidi" w:cstheme="minorBidi"/>
                                <w:sz w:val="19"/>
                                <w:szCs w:val="19"/>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4FD7B8" id="Caixa de texto 13" o:spid="_x0000_s1037" type="#_x0000_t202" style="position:absolute;margin-left:76.25pt;margin-top:6.55pt;width:73.05pt;height:36.7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" filled="f" stroked="f">
                <v:textbox inset="0,0,0,0">
                  <w:txbxContent>
                    <w:p w14:paraId="75E6EDC7" w14:textId="77777777" w:rsidR="009C3A83" w:rsidRPr="00CC1FC4" w:rsidRDefault="009C3A83" w:rsidP="0089078E">
                      <w:pPr>
                        <w:jc w:val="center"/>
                        <w:rPr>
                          <w:rFonts w:asciiTheme="minorBidi" w:hAnsiTheme="minorBidi" w:cstheme="minorBidi"/>
                          <w:sz w:val="19"/>
                          <w:szCs w:val="19"/>
                        </w:rPr>
                      </w:pPr>
                      <w:r>
                        <w:rPr>
                          <w:rFonts w:asciiTheme="minorBidi" w:hAnsiTheme="minorBidi" w:cstheme="minorBidi"/>
                          <w:sz w:val="19"/>
                          <w:szCs w:val="19"/>
                        </w:rPr>
                        <w:t>Clips da ativação da proteção da agulha</w:t>
                      </w:r>
                    </w:p>
                    <w:p w14:paraId="5E7C38A9" w14:textId="749695E2" w:rsidR="009C3A83" w:rsidRPr="00CC1FC4" w:rsidRDefault="009C3A83" w:rsidP="0089078E">
                      <w:pPr>
                        <w:jc w:val="center"/>
                        <w:rPr>
                          <w:rFonts w:asciiTheme="minorBidi" w:hAnsiTheme="minorBidi" w:cstheme="minorBidi"/>
                          <w:sz w:val="19"/>
                          <w:szCs w:val="19"/>
                        </w:rPr>
                      </w:pPr>
                    </w:p>
                  </w:txbxContent>
                </v:textbox>
              </v:shape>
            </w:pict>
          </mc:Fallback>
        </mc:AlternateContent>
      </w:r>
    </w:p>
    <w:p w14:paraId="0B752F7F" w14:textId="512EF51D" w:rsidR="00920500" w:rsidRPr="00110D6C" w:rsidRDefault="00133412" w:rsidP="0089078E">
      <w:pPr>
        <w:widowControl/>
        <w:jc w:val="center"/>
        <w:rPr>
          <w:rFonts w:cs="Times New Roman"/>
          <w:color w:val="auto"/>
          <w:szCs w:val="22"/>
          <w:lang w:val="pt-PT"/>
        </w:rPr>
      </w:pPr>
      <w:r>
        <w:rPr>
          <w:noProof/>
        </w:rPr>
        <mc:AlternateContent>
          <mc:Choice Requires="wps">
            <w:drawing>
              <wp:anchor distT="45720" distB="45720" distL="114300" distR="114300" simplePos="0" relativeHeight="251677696" behindDoc="0" locked="0" layoutInCell="1" allowOverlap="1" wp14:anchorId="040DBE10" wp14:editId="05776A20">
                <wp:simplePos x="0" y="0"/>
                <wp:positionH relativeFrom="margin">
                  <wp:posOffset>1334135</wp:posOffset>
                </wp:positionH>
                <wp:positionV relativeFrom="paragraph">
                  <wp:posOffset>1591945</wp:posOffset>
                </wp:positionV>
                <wp:extent cx="873125" cy="525780"/>
                <wp:effectExtent l="0" t="0" r="0" b="0"/>
                <wp:wrapNone/>
                <wp:docPr id="12" name="Caixa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525780"/>
                        </a:xfrm>
                        <a:prstGeom prst="rect">
                          <a:avLst/>
                        </a:prstGeom>
                        <a:noFill/>
                        <a:ln w="9525">
                          <a:noFill/>
                          <a:miter lim="800000"/>
                          <a:headEnd/>
                          <a:tailEnd/>
                        </a:ln>
                      </wps:spPr>
                      <wps:txbx>
                        <w:txbxContent>
                          <w:p w14:paraId="702C2237" w14:textId="77777777" w:rsidR="009C3A83" w:rsidRPr="00CC1FC4" w:rsidRDefault="009C3A83" w:rsidP="0089078E">
                            <w:pPr>
                              <w:jc w:val="center"/>
                              <w:rPr>
                                <w:rFonts w:asciiTheme="minorBidi" w:hAnsiTheme="minorBidi" w:cstheme="minorBidi"/>
                                <w:sz w:val="19"/>
                                <w:szCs w:val="19"/>
                              </w:rPr>
                            </w:pPr>
                            <w:r>
                              <w:rPr>
                                <w:rFonts w:asciiTheme="minorBidi" w:hAnsiTheme="minorBidi" w:cstheme="minorBidi"/>
                                <w:sz w:val="19"/>
                                <w:szCs w:val="19"/>
                              </w:rPr>
                              <w:t>Abas da proteção da agulha</w:t>
                            </w:r>
                          </w:p>
                          <w:p w14:paraId="3CA4DC2C" w14:textId="1BDCE7A9" w:rsidR="009C3A83" w:rsidRPr="00CC1FC4" w:rsidRDefault="009C3A83" w:rsidP="0089078E">
                            <w:pPr>
                              <w:jc w:val="center"/>
                              <w:rPr>
                                <w:rFonts w:asciiTheme="minorBidi" w:hAnsiTheme="minorBidi" w:cstheme="minorBidi"/>
                                <w:sz w:val="19"/>
                                <w:szCs w:val="19"/>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40DBE10" id="Caixa de texto 12" o:spid="_x0000_s1038" type="#_x0000_t202" style="position:absolute;left:0;text-align:left;margin-left:105.05pt;margin-top:125.35pt;width:68.75pt;height:41.4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" filled="f" stroked="f">
                <v:textbox inset="0,0,0,0">
                  <w:txbxContent>
                    <w:p w14:paraId="702C2237" w14:textId="77777777" w:rsidR="009C3A83" w:rsidRPr="00CC1FC4" w:rsidRDefault="009C3A83" w:rsidP="0089078E">
                      <w:pPr>
                        <w:jc w:val="center"/>
                        <w:rPr>
                          <w:rFonts w:asciiTheme="minorBidi" w:hAnsiTheme="minorBidi" w:cstheme="minorBidi"/>
                          <w:sz w:val="19"/>
                          <w:szCs w:val="19"/>
                        </w:rPr>
                      </w:pPr>
                      <w:r>
                        <w:rPr>
                          <w:rFonts w:asciiTheme="minorBidi" w:hAnsiTheme="minorBidi" w:cstheme="minorBidi"/>
                          <w:sz w:val="19"/>
                          <w:szCs w:val="19"/>
                        </w:rPr>
                        <w:t>Abas da proteção da agulha</w:t>
                      </w:r>
                    </w:p>
                    <w:p w14:paraId="3CA4DC2C" w14:textId="1BDCE7A9" w:rsidR="009C3A83" w:rsidRPr="00CC1FC4" w:rsidRDefault="009C3A83" w:rsidP="0089078E">
                      <w:pPr>
                        <w:jc w:val="center"/>
                        <w:rPr>
                          <w:rFonts w:asciiTheme="minorBidi" w:hAnsiTheme="minorBidi" w:cstheme="minorBidi"/>
                          <w:sz w:val="19"/>
                          <w:szCs w:val="19"/>
                        </w:rPr>
                      </w:pPr>
                    </w:p>
                  </w:txbxContent>
                </v:textbox>
                <w10:wrap anchorx="margin"/>
              </v:shape>
            </w:pict>
          </mc:Fallback>
        </mc:AlternateContent>
      </w:r>
      <w:r>
        <w:rPr>
          <w:noProof/>
          <w:lang w:val="en-US"/>
        </w:rPr>
        <mc:AlternateContent>
          <mc:Choice Requires="wps">
            <w:drawing>
              <wp:anchor distT="45720" distB="45720" distL="114300" distR="114300" simplePos="0" relativeHeight="251671552" behindDoc="0" locked="0" layoutInCell="1" allowOverlap="1" wp14:anchorId="52C9007F" wp14:editId="7C1BB685">
                <wp:simplePos x="0" y="0"/>
                <wp:positionH relativeFrom="column">
                  <wp:posOffset>314325</wp:posOffset>
                </wp:positionH>
                <wp:positionV relativeFrom="paragraph">
                  <wp:posOffset>49530</wp:posOffset>
                </wp:positionV>
                <wp:extent cx="606425" cy="198755"/>
                <wp:effectExtent l="0" t="0" r="0" b="0"/>
                <wp:wrapNone/>
                <wp:docPr id="1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198755"/>
                        </a:xfrm>
                        <a:prstGeom prst="rect">
                          <a:avLst/>
                        </a:prstGeom>
                        <a:noFill/>
                        <a:ln w="9525">
                          <a:noFill/>
                          <a:miter lim="800000"/>
                          <a:headEnd/>
                          <a:tailEnd/>
                        </a:ln>
                      </wps:spPr>
                      <wps:txbx>
                        <w:txbxContent>
                          <w:p w14:paraId="6369CBC4" w14:textId="1126F597" w:rsidR="009C3A83" w:rsidRPr="00CC1FC4" w:rsidRDefault="009C3A83" w:rsidP="0089078E">
                            <w:pPr>
                              <w:jc w:val="center"/>
                              <w:rPr>
                                <w:rFonts w:asciiTheme="minorBidi" w:hAnsiTheme="minorBidi" w:cstheme="minorBidi"/>
                                <w:sz w:val="19"/>
                                <w:szCs w:val="19"/>
                              </w:rPr>
                            </w:pPr>
                            <w:r>
                              <w:rPr>
                                <w:rFonts w:asciiTheme="minorBidi" w:hAnsiTheme="minorBidi" w:cstheme="minorBidi"/>
                                <w:sz w:val="19"/>
                                <w:szCs w:val="19"/>
                              </w:rPr>
                              <w:t>Êmbolo</w:t>
                            </w:r>
                          </w:p>
                          <w:p w14:paraId="41760A56" w14:textId="1F4197BB" w:rsidR="009C3A83" w:rsidRPr="00CC1FC4" w:rsidRDefault="009C3A83" w:rsidP="0089078E">
                            <w:pPr>
                              <w:jc w:val="center"/>
                              <w:rPr>
                                <w:rFonts w:asciiTheme="minorBidi" w:hAnsiTheme="minorBidi" w:cstheme="minorBidi"/>
                                <w:sz w:val="19"/>
                                <w:szCs w:val="19"/>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2C9007F" id="Caixa de texto 11" o:spid="_x0000_s1039" type="#_x0000_t202" style="position:absolute;left:0;text-align:left;margin-left:24.75pt;margin-top:3.9pt;width:47.75pt;height:15.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" filled="f" stroked="f">
                <v:textbox inset="0,0,0,0">
                  <w:txbxContent>
                    <w:p w14:paraId="6369CBC4" w14:textId="1126F597" w:rsidR="009C3A83" w:rsidRPr="00CC1FC4" w:rsidRDefault="009C3A83" w:rsidP="0089078E">
                      <w:pPr>
                        <w:jc w:val="center"/>
                        <w:rPr>
                          <w:rFonts w:asciiTheme="minorBidi" w:hAnsiTheme="minorBidi" w:cstheme="minorBidi"/>
                          <w:sz w:val="19"/>
                          <w:szCs w:val="19"/>
                        </w:rPr>
                      </w:pPr>
                      <w:r>
                        <w:rPr>
                          <w:rFonts w:asciiTheme="minorBidi" w:hAnsiTheme="minorBidi" w:cstheme="minorBidi"/>
                          <w:sz w:val="19"/>
                          <w:szCs w:val="19"/>
                        </w:rPr>
                        <w:t>Êmbolo</w:t>
                      </w:r>
                    </w:p>
                    <w:p w14:paraId="41760A56" w14:textId="1F4197BB" w:rsidR="009C3A83" w:rsidRPr="00CC1FC4" w:rsidRDefault="009C3A83" w:rsidP="0089078E">
                      <w:pPr>
                        <w:jc w:val="center"/>
                        <w:rPr>
                          <w:rFonts w:asciiTheme="minorBidi" w:hAnsiTheme="minorBidi" w:cstheme="minorBidi"/>
                          <w:sz w:val="19"/>
                          <w:szCs w:val="19"/>
                        </w:rPr>
                      </w:pPr>
                    </w:p>
                  </w:txbxContent>
                </v:textbox>
              </v:shape>
            </w:pict>
          </mc:Fallback>
        </mc:AlternateContent>
      </w:r>
      <w:r>
        <w:rPr>
          <w:noProof/>
        </w:rPr>
        <mc:AlternateContent>
          <mc:Choice Requires="wps">
            <w:drawing>
              <wp:anchor distT="45720" distB="45720" distL="114300" distR="114300" simplePos="0" relativeHeight="251679744" behindDoc="0" locked="0" layoutInCell="1" allowOverlap="1" wp14:anchorId="2E99131E" wp14:editId="2A069883">
                <wp:simplePos x="0" y="0"/>
                <wp:positionH relativeFrom="margin">
                  <wp:posOffset>3862705</wp:posOffset>
                </wp:positionH>
                <wp:positionV relativeFrom="paragraph">
                  <wp:posOffset>1639570</wp:posOffset>
                </wp:positionV>
                <wp:extent cx="606425" cy="180340"/>
                <wp:effectExtent l="0" t="0" r="0" b="0"/>
                <wp:wrapNone/>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180340"/>
                        </a:xfrm>
                        <a:prstGeom prst="rect">
                          <a:avLst/>
                        </a:prstGeom>
                        <a:noFill/>
                        <a:ln w="9525">
                          <a:noFill/>
                          <a:miter lim="800000"/>
                          <a:headEnd/>
                          <a:tailEnd/>
                        </a:ln>
                      </wps:spPr>
                      <wps:txbx>
                        <w:txbxContent>
                          <w:p w14:paraId="45008BE4" w14:textId="592FD8A0" w:rsidR="009C3A83" w:rsidRPr="00492A01" w:rsidRDefault="009C3A83" w:rsidP="0089078E">
                            <w:pPr>
                              <w:jc w:val="center"/>
                              <w:rPr>
                                <w:rFonts w:asciiTheme="minorBidi" w:hAnsiTheme="minorBidi" w:cstheme="minorBidi"/>
                                <w:sz w:val="19"/>
                                <w:szCs w:val="19"/>
                                <w:lang w:val="pt-PT"/>
                              </w:rPr>
                            </w:pPr>
                            <w:r>
                              <w:rPr>
                                <w:rFonts w:asciiTheme="minorBidi" w:hAnsiTheme="minorBidi" w:cstheme="minorBidi"/>
                                <w:sz w:val="19"/>
                                <w:szCs w:val="19"/>
                                <w:lang w:val="pt-PT"/>
                              </w:rPr>
                              <w:t>Agulha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E99131E" id="Caixa de texto 10" o:spid="_x0000_s1040" type="#_x0000_t202" style="position:absolute;left:0;text-align:left;margin-left:304.15pt;margin-top:129.1pt;width:47.75pt;height:14.2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" filled="f" stroked="f">
                <v:textbox inset="0,0,0,0">
                  <w:txbxContent>
                    <w:p w14:paraId="45008BE4" w14:textId="592FD8A0" w:rsidR="009C3A83" w:rsidRPr="00492A01" w:rsidRDefault="009C3A83" w:rsidP="0089078E">
                      <w:pPr>
                        <w:jc w:val="center"/>
                        <w:rPr>
                          <w:rFonts w:asciiTheme="minorBidi" w:hAnsiTheme="minorBidi" w:cstheme="minorBidi"/>
                          <w:sz w:val="19"/>
                          <w:szCs w:val="19"/>
                          <w:lang w:val="pt-PT"/>
                        </w:rPr>
                      </w:pPr>
                      <w:r>
                        <w:rPr>
                          <w:rFonts w:asciiTheme="minorBidi" w:hAnsiTheme="minorBidi" w:cstheme="minorBidi"/>
                          <w:sz w:val="19"/>
                          <w:szCs w:val="19"/>
                          <w:lang w:val="pt-PT"/>
                        </w:rPr>
                        <w:t>Agulha</w:t>
                      </w:r>
                    </w:p>
                  </w:txbxContent>
                </v:textbox>
                <w10:wrap anchorx="margin"/>
              </v:shape>
            </w:pict>
          </mc:Fallback>
        </mc:AlternateContent>
      </w:r>
      <w:r>
        <w:rPr>
          <w:noProof/>
        </w:rPr>
        <mc:AlternateContent>
          <mc:Choice Requires="wps">
            <w:drawing>
              <wp:anchor distT="45720" distB="45720" distL="114300" distR="114300" simplePos="0" relativeHeight="251678720" behindDoc="0" locked="0" layoutInCell="1" allowOverlap="1" wp14:anchorId="10550E35" wp14:editId="4164ED64">
                <wp:simplePos x="0" y="0"/>
                <wp:positionH relativeFrom="margin">
                  <wp:posOffset>2701925</wp:posOffset>
                </wp:positionH>
                <wp:positionV relativeFrom="paragraph">
                  <wp:posOffset>1616075</wp:posOffset>
                </wp:positionV>
                <wp:extent cx="560705" cy="180340"/>
                <wp:effectExtent l="0" t="0" r="0" b="0"/>
                <wp:wrapNone/>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180340"/>
                        </a:xfrm>
                        <a:prstGeom prst="rect">
                          <a:avLst/>
                        </a:prstGeom>
                        <a:noFill/>
                        <a:ln w="9525">
                          <a:noFill/>
                          <a:miter lim="800000"/>
                          <a:headEnd/>
                          <a:tailEnd/>
                        </a:ln>
                      </wps:spPr>
                      <wps:txbx>
                        <w:txbxContent>
                          <w:p w14:paraId="3C8EE36F" w14:textId="2E57E661" w:rsidR="009C3A83" w:rsidRPr="00492A01" w:rsidRDefault="009C3A83" w:rsidP="0089078E">
                            <w:pPr>
                              <w:jc w:val="center"/>
                              <w:rPr>
                                <w:rFonts w:asciiTheme="minorBidi" w:hAnsiTheme="minorBidi" w:cstheme="minorBidi"/>
                                <w:sz w:val="19"/>
                                <w:szCs w:val="19"/>
                                <w:lang w:val="pt-PT"/>
                              </w:rPr>
                            </w:pPr>
                            <w:r>
                              <w:rPr>
                                <w:rFonts w:asciiTheme="minorBidi" w:hAnsiTheme="minorBidi" w:cstheme="minorBidi"/>
                                <w:sz w:val="19"/>
                                <w:szCs w:val="19"/>
                                <w:lang w:val="pt-PT"/>
                              </w:rPr>
                              <w:t>Rótulo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0550E35" id="Caixa de texto 9" o:spid="_x0000_s1041" type="#_x0000_t202" style="position:absolute;left:0;text-align:left;margin-left:212.75pt;margin-top:127.25pt;width:44.15pt;height:14.2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" filled="f" stroked="f">
                <v:textbox inset="0,0,0,0">
                  <w:txbxContent>
                    <w:p w14:paraId="3C8EE36F" w14:textId="2E57E661" w:rsidR="009C3A83" w:rsidRPr="00492A01" w:rsidRDefault="009C3A83" w:rsidP="0089078E">
                      <w:pPr>
                        <w:jc w:val="center"/>
                        <w:rPr>
                          <w:rFonts w:asciiTheme="minorBidi" w:hAnsiTheme="minorBidi" w:cstheme="minorBidi"/>
                          <w:sz w:val="19"/>
                          <w:szCs w:val="19"/>
                          <w:lang w:val="pt-PT"/>
                        </w:rPr>
                      </w:pPr>
                      <w:r>
                        <w:rPr>
                          <w:rFonts w:asciiTheme="minorBidi" w:hAnsiTheme="minorBidi" w:cstheme="minorBidi"/>
                          <w:sz w:val="19"/>
                          <w:szCs w:val="19"/>
                          <w:lang w:val="pt-PT"/>
                        </w:rPr>
                        <w:t>Rótulo</w:t>
                      </w:r>
                    </w:p>
                  </w:txbxContent>
                </v:textbox>
                <w10:wrap anchorx="margin"/>
              </v:shape>
            </w:pict>
          </mc:Fallback>
        </mc:AlternateContent>
      </w:r>
      <w:r>
        <w:rPr>
          <w:noProof/>
        </w:rPr>
        <mc:AlternateContent>
          <mc:Choice Requires="wps">
            <w:drawing>
              <wp:anchor distT="45720" distB="45720" distL="114300" distR="114300" simplePos="0" relativeHeight="251676672" behindDoc="0" locked="0" layoutInCell="1" allowOverlap="1" wp14:anchorId="3D101563" wp14:editId="37B358E0">
                <wp:simplePos x="0" y="0"/>
                <wp:positionH relativeFrom="margin">
                  <wp:posOffset>236855</wp:posOffset>
                </wp:positionH>
                <wp:positionV relativeFrom="paragraph">
                  <wp:posOffset>1554480</wp:posOffset>
                </wp:positionV>
                <wp:extent cx="588010" cy="359410"/>
                <wp:effectExtent l="0" t="0" r="0" b="0"/>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359410"/>
                        </a:xfrm>
                        <a:prstGeom prst="rect">
                          <a:avLst/>
                        </a:prstGeom>
                        <a:noFill/>
                        <a:ln w="9525">
                          <a:noFill/>
                          <a:miter lim="800000"/>
                          <a:headEnd/>
                          <a:tailEnd/>
                        </a:ln>
                      </wps:spPr>
                      <wps:txbx>
                        <w:txbxContent>
                          <w:p w14:paraId="77842380" w14:textId="77777777" w:rsidR="009C3A83" w:rsidRPr="00CC1FC4" w:rsidRDefault="009C3A83" w:rsidP="0089078E">
                            <w:pPr>
                              <w:jc w:val="center"/>
                              <w:rPr>
                                <w:rFonts w:asciiTheme="minorBidi" w:hAnsiTheme="minorBidi" w:cstheme="minorBidi"/>
                                <w:sz w:val="19"/>
                                <w:szCs w:val="19"/>
                              </w:rPr>
                            </w:pPr>
                            <w:r>
                              <w:rPr>
                                <w:rFonts w:asciiTheme="minorBidi" w:hAnsiTheme="minorBidi" w:cstheme="minorBidi"/>
                                <w:sz w:val="19"/>
                                <w:szCs w:val="19"/>
                              </w:rPr>
                              <w:t>Cabeça do êmbolo</w:t>
                            </w:r>
                          </w:p>
                          <w:p w14:paraId="493E9796" w14:textId="262B9008" w:rsidR="009C3A83" w:rsidRPr="00CC1FC4" w:rsidRDefault="009C3A83" w:rsidP="0089078E">
                            <w:pPr>
                              <w:jc w:val="center"/>
                              <w:rPr>
                                <w:rFonts w:asciiTheme="minorBidi" w:hAnsiTheme="minorBidi" w:cstheme="minorBidi"/>
                                <w:sz w:val="19"/>
                                <w:szCs w:val="19"/>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D101563" id="Caixa de texto 8" o:spid="_x0000_s1042" type="#_x0000_t202" style="position:absolute;left:0;text-align:left;margin-left:18.65pt;margin-top:122.4pt;width:46.3pt;height:28.3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" filled="f" stroked="f">
                <v:textbox inset="0,0,0,0">
                  <w:txbxContent>
                    <w:p w14:paraId="77842380" w14:textId="77777777" w:rsidR="009C3A83" w:rsidRPr="00CC1FC4" w:rsidRDefault="009C3A83" w:rsidP="0089078E">
                      <w:pPr>
                        <w:jc w:val="center"/>
                        <w:rPr>
                          <w:rFonts w:asciiTheme="minorBidi" w:hAnsiTheme="minorBidi" w:cstheme="minorBidi"/>
                          <w:sz w:val="19"/>
                          <w:szCs w:val="19"/>
                        </w:rPr>
                      </w:pPr>
                      <w:r>
                        <w:rPr>
                          <w:rFonts w:asciiTheme="minorBidi" w:hAnsiTheme="minorBidi" w:cstheme="minorBidi"/>
                          <w:sz w:val="19"/>
                          <w:szCs w:val="19"/>
                        </w:rPr>
                        <w:t>Cabeça do êmbolo</w:t>
                      </w:r>
                    </w:p>
                    <w:p w14:paraId="493E9796" w14:textId="262B9008" w:rsidR="009C3A83" w:rsidRPr="00CC1FC4" w:rsidRDefault="009C3A83" w:rsidP="0089078E">
                      <w:pPr>
                        <w:jc w:val="center"/>
                        <w:rPr>
                          <w:rFonts w:asciiTheme="minorBidi" w:hAnsiTheme="minorBidi" w:cstheme="minorBidi"/>
                          <w:sz w:val="19"/>
                          <w:szCs w:val="19"/>
                        </w:rPr>
                      </w:pPr>
                    </w:p>
                  </w:txbxContent>
                </v:textbox>
                <w10:wrap anchorx="margin"/>
              </v:shape>
            </w:pict>
          </mc:Fallback>
        </mc:AlternateContent>
      </w:r>
      <w:r>
        <w:rPr>
          <w:noProof/>
        </w:rPr>
        <mc:AlternateContent>
          <mc:Choice Requires="wps">
            <w:drawing>
              <wp:anchor distT="45720" distB="45720" distL="114300" distR="114300" simplePos="0" relativeHeight="251675648" behindDoc="0" locked="0" layoutInCell="1" allowOverlap="1" wp14:anchorId="1ACA64DF" wp14:editId="47CFD706">
                <wp:simplePos x="0" y="0"/>
                <wp:positionH relativeFrom="margin">
                  <wp:posOffset>4641215</wp:posOffset>
                </wp:positionH>
                <wp:positionV relativeFrom="paragraph">
                  <wp:posOffset>49530</wp:posOffset>
                </wp:positionV>
                <wp:extent cx="560705" cy="325755"/>
                <wp:effectExtent l="0" t="0" r="0" b="0"/>
                <wp:wrapNone/>
                <wp:docPr id="7" name="Caixa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25755"/>
                        </a:xfrm>
                        <a:prstGeom prst="rect">
                          <a:avLst/>
                        </a:prstGeom>
                        <a:noFill/>
                        <a:ln w="9525">
                          <a:noFill/>
                          <a:miter lim="800000"/>
                          <a:headEnd/>
                          <a:tailEnd/>
                        </a:ln>
                      </wps:spPr>
                      <wps:txbx>
                        <w:txbxContent>
                          <w:p w14:paraId="07B2C385" w14:textId="77777777" w:rsidR="009C3A83" w:rsidRPr="00CC1FC4" w:rsidRDefault="009C3A83" w:rsidP="0089078E">
                            <w:pPr>
                              <w:jc w:val="center"/>
                              <w:rPr>
                                <w:rFonts w:asciiTheme="minorBidi" w:hAnsiTheme="minorBidi" w:cstheme="minorBidi"/>
                                <w:sz w:val="19"/>
                                <w:szCs w:val="19"/>
                              </w:rPr>
                            </w:pPr>
                            <w:r>
                              <w:rPr>
                                <w:rFonts w:asciiTheme="minorBidi" w:hAnsiTheme="minorBidi" w:cstheme="minorBidi"/>
                                <w:sz w:val="19"/>
                                <w:szCs w:val="19"/>
                              </w:rPr>
                              <w:t>Tampa da agulha</w:t>
                            </w:r>
                          </w:p>
                          <w:p w14:paraId="16BE9947" w14:textId="06C5AC46" w:rsidR="009C3A83" w:rsidRPr="00CC1FC4" w:rsidRDefault="009C3A83" w:rsidP="0089078E">
                            <w:pPr>
                              <w:jc w:val="center"/>
                              <w:rPr>
                                <w:rFonts w:asciiTheme="minorBidi" w:hAnsiTheme="minorBidi" w:cstheme="minorBidi"/>
                                <w:sz w:val="19"/>
                                <w:szCs w:val="19"/>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ACA64DF" id="Caixa de texto 7" o:spid="_x0000_s1043" type="#_x0000_t202" style="position:absolute;left:0;text-align:left;margin-left:365.45pt;margin-top:3.9pt;width:44.15pt;height:25.6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" filled="f" stroked="f">
                <v:textbox inset="0,0,0,0">
                  <w:txbxContent>
                    <w:p w14:paraId="07B2C385" w14:textId="77777777" w:rsidR="009C3A83" w:rsidRPr="00CC1FC4" w:rsidRDefault="009C3A83" w:rsidP="0089078E">
                      <w:pPr>
                        <w:jc w:val="center"/>
                        <w:rPr>
                          <w:rFonts w:asciiTheme="minorBidi" w:hAnsiTheme="minorBidi" w:cstheme="minorBidi"/>
                          <w:sz w:val="19"/>
                          <w:szCs w:val="19"/>
                        </w:rPr>
                      </w:pPr>
                      <w:r>
                        <w:rPr>
                          <w:rFonts w:asciiTheme="minorBidi" w:hAnsiTheme="minorBidi" w:cstheme="minorBidi"/>
                          <w:sz w:val="19"/>
                          <w:szCs w:val="19"/>
                        </w:rPr>
                        <w:t>Tampa da agulha</w:t>
                      </w:r>
                    </w:p>
                    <w:p w14:paraId="16BE9947" w14:textId="06C5AC46" w:rsidR="009C3A83" w:rsidRPr="00CC1FC4" w:rsidRDefault="009C3A83" w:rsidP="0089078E">
                      <w:pPr>
                        <w:jc w:val="center"/>
                        <w:rPr>
                          <w:rFonts w:asciiTheme="minorBidi" w:hAnsiTheme="minorBidi" w:cstheme="minorBidi"/>
                          <w:sz w:val="19"/>
                          <w:szCs w:val="19"/>
                        </w:rPr>
                      </w:pPr>
                    </w:p>
                  </w:txbxContent>
                </v:textbox>
                <w10:wrap anchorx="margin"/>
              </v:shape>
            </w:pict>
          </mc:Fallback>
        </mc:AlternateContent>
      </w:r>
      <w:r>
        <w:rPr>
          <w:noProof/>
        </w:rPr>
        <mc:AlternateContent>
          <mc:Choice Requires="wps">
            <w:drawing>
              <wp:anchor distT="45720" distB="45720" distL="114300" distR="114300" simplePos="0" relativeHeight="251674624" behindDoc="0" locked="0" layoutInCell="1" allowOverlap="1" wp14:anchorId="630A9E51" wp14:editId="3106DF74">
                <wp:simplePos x="0" y="0"/>
                <wp:positionH relativeFrom="margin">
                  <wp:posOffset>2916555</wp:posOffset>
                </wp:positionH>
                <wp:positionV relativeFrom="paragraph">
                  <wp:posOffset>81280</wp:posOffset>
                </wp:positionV>
                <wp:extent cx="560705" cy="325755"/>
                <wp:effectExtent l="0" t="0" r="0" b="0"/>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25755"/>
                        </a:xfrm>
                        <a:prstGeom prst="rect">
                          <a:avLst/>
                        </a:prstGeom>
                        <a:noFill/>
                        <a:ln w="9525">
                          <a:noFill/>
                          <a:miter lim="800000"/>
                          <a:headEnd/>
                          <a:tailEnd/>
                        </a:ln>
                      </wps:spPr>
                      <wps:txbx>
                        <w:txbxContent>
                          <w:p w14:paraId="23BDA8BE" w14:textId="46AAA12A" w:rsidR="009C3A83" w:rsidRPr="00492A01" w:rsidRDefault="009C3A83" w:rsidP="0089078E">
                            <w:pPr>
                              <w:jc w:val="center"/>
                              <w:rPr>
                                <w:rFonts w:asciiTheme="minorBidi" w:hAnsiTheme="minorBidi" w:cstheme="minorBidi"/>
                                <w:sz w:val="19"/>
                                <w:szCs w:val="19"/>
                                <w:lang w:val="pt-PT"/>
                              </w:rPr>
                            </w:pPr>
                            <w:r>
                              <w:rPr>
                                <w:rFonts w:asciiTheme="minorBidi" w:hAnsiTheme="minorBidi" w:cstheme="minorBidi"/>
                                <w:sz w:val="19"/>
                                <w:szCs w:val="19"/>
                                <w:lang w:val="pt-PT"/>
                              </w:rPr>
                              <w:t>Visor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0A9E51" id="Caixa de texto 6" o:spid="_x0000_s1044" type="#_x0000_t202" style="position:absolute;left:0;text-align:left;margin-left:229.65pt;margin-top:6.4pt;width:44.15pt;height:25.6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" filled="f" stroked="f">
                <v:textbox inset="0,0,0,0">
                  <w:txbxContent>
                    <w:p w14:paraId="23BDA8BE" w14:textId="46AAA12A" w:rsidR="009C3A83" w:rsidRPr="00492A01" w:rsidRDefault="009C3A83" w:rsidP="0089078E">
                      <w:pPr>
                        <w:jc w:val="center"/>
                        <w:rPr>
                          <w:rFonts w:asciiTheme="minorBidi" w:hAnsiTheme="minorBidi" w:cstheme="minorBidi"/>
                          <w:sz w:val="19"/>
                          <w:szCs w:val="19"/>
                          <w:lang w:val="pt-PT"/>
                        </w:rPr>
                      </w:pPr>
                      <w:r>
                        <w:rPr>
                          <w:rFonts w:asciiTheme="minorBidi" w:hAnsiTheme="minorBidi" w:cstheme="minorBidi"/>
                          <w:sz w:val="19"/>
                          <w:szCs w:val="19"/>
                          <w:lang w:val="pt-PT"/>
                        </w:rPr>
                        <w:t>Visor</w:t>
                      </w:r>
                    </w:p>
                  </w:txbxContent>
                </v:textbox>
                <w10:wrap anchorx="margin"/>
              </v:shape>
            </w:pict>
          </mc:Fallback>
        </mc:AlternateContent>
      </w:r>
      <w:r>
        <w:rPr>
          <w:noProof/>
        </w:rPr>
        <mc:AlternateContent>
          <mc:Choice Requires="wps">
            <w:drawing>
              <wp:anchor distT="45720" distB="45720" distL="114300" distR="114300" simplePos="0" relativeHeight="251673600" behindDoc="0" locked="0" layoutInCell="1" allowOverlap="1" wp14:anchorId="145EC475" wp14:editId="2B4ECCAA">
                <wp:simplePos x="0" y="0"/>
                <wp:positionH relativeFrom="margin">
                  <wp:posOffset>2185035</wp:posOffset>
                </wp:positionH>
                <wp:positionV relativeFrom="paragraph">
                  <wp:posOffset>81280</wp:posOffset>
                </wp:positionV>
                <wp:extent cx="506730" cy="185420"/>
                <wp:effectExtent l="0" t="0" r="0" b="0"/>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185420"/>
                        </a:xfrm>
                        <a:prstGeom prst="rect">
                          <a:avLst/>
                        </a:prstGeom>
                        <a:noFill/>
                        <a:ln w="9525">
                          <a:noFill/>
                          <a:miter lim="800000"/>
                          <a:headEnd/>
                          <a:tailEnd/>
                        </a:ln>
                      </wps:spPr>
                      <wps:txbx>
                        <w:txbxContent>
                          <w:p w14:paraId="035B6AEE" w14:textId="5A3C4390" w:rsidR="009C3A83" w:rsidRPr="00492A01" w:rsidRDefault="009C3A83" w:rsidP="0089078E">
                            <w:pPr>
                              <w:jc w:val="center"/>
                              <w:rPr>
                                <w:rFonts w:asciiTheme="minorBidi" w:hAnsiTheme="minorBidi" w:cstheme="minorBidi"/>
                                <w:sz w:val="19"/>
                                <w:szCs w:val="19"/>
                                <w:lang w:val="pt-PT"/>
                              </w:rPr>
                            </w:pPr>
                            <w:r>
                              <w:rPr>
                                <w:rFonts w:asciiTheme="minorBidi" w:hAnsiTheme="minorBidi" w:cstheme="minorBidi"/>
                                <w:sz w:val="19"/>
                                <w:szCs w:val="19"/>
                                <w:lang w:val="pt-PT"/>
                              </w:rPr>
                              <w:t>Corpo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45EC475" id="Caixa de texto 5" o:spid="_x0000_s1045" type="#_x0000_t202" style="position:absolute;left:0;text-align:left;margin-left:172.05pt;margin-top:6.4pt;width:39.9pt;height:14.6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" filled="f" stroked="f">
                <v:textbox inset="0,0,0,0">
                  <w:txbxContent>
                    <w:p w14:paraId="035B6AEE" w14:textId="5A3C4390" w:rsidR="009C3A83" w:rsidRPr="00492A01" w:rsidRDefault="009C3A83" w:rsidP="0089078E">
                      <w:pPr>
                        <w:jc w:val="center"/>
                        <w:rPr>
                          <w:rFonts w:asciiTheme="minorBidi" w:hAnsiTheme="minorBidi" w:cstheme="minorBidi"/>
                          <w:sz w:val="19"/>
                          <w:szCs w:val="19"/>
                          <w:lang w:val="pt-PT"/>
                        </w:rPr>
                      </w:pPr>
                      <w:r>
                        <w:rPr>
                          <w:rFonts w:asciiTheme="minorBidi" w:hAnsiTheme="minorBidi" w:cstheme="minorBidi"/>
                          <w:sz w:val="19"/>
                          <w:szCs w:val="19"/>
                          <w:lang w:val="pt-PT"/>
                        </w:rPr>
                        <w:t>Corpo</w:t>
                      </w:r>
                    </w:p>
                  </w:txbxContent>
                </v:textbox>
                <w10:wrap anchorx="margin"/>
              </v:shape>
            </w:pict>
          </mc:Fallback>
        </mc:AlternateContent>
      </w:r>
      <w:r w:rsidR="0089078E">
        <w:rPr>
          <w:bCs/>
          <w:noProof/>
        </w:rPr>
        <w:drawing>
          <wp:inline distT="0" distB="0" distL="0" distR="0" wp14:anchorId="1D4FC845" wp14:editId="18C2C6DA">
            <wp:extent cx="5195455" cy="2003367"/>
            <wp:effectExtent l="0" t="0" r="5715" b="0"/>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_1.jpg"/>
                    <pic:cNvPicPr/>
                  </pic:nvPicPr>
                  <pic:blipFill>
                    <a:blip r:embed="rId20">
                      <a:extLst>
                        <a:ext uri="{28A0092B-C50C-407E-A947-70E740481C1C}">
                          <a14:useLocalDpi xmlns:a14="http://schemas.microsoft.com/office/drawing/2010/main" val="0"/>
                        </a:ext>
                      </a:extLst>
                    </a:blip>
                    <a:stretch>
                      <a:fillRect/>
                    </a:stretch>
                  </pic:blipFill>
                  <pic:spPr>
                    <a:xfrm>
                      <a:off x="0" y="0"/>
                      <a:ext cx="5195455" cy="2003367"/>
                    </a:xfrm>
                    <a:prstGeom prst="rect">
                      <a:avLst/>
                    </a:prstGeom>
                  </pic:spPr>
                </pic:pic>
              </a:graphicData>
            </a:graphic>
          </wp:inline>
        </w:drawing>
      </w:r>
    </w:p>
    <w:p w14:paraId="29ABE4CB" w14:textId="77777777" w:rsidR="0077031F" w:rsidRPr="00110D6C" w:rsidRDefault="00030085" w:rsidP="00920500">
      <w:pPr>
        <w:widowControl/>
        <w:jc w:val="center"/>
        <w:rPr>
          <w:rFonts w:cs="Times New Roman"/>
          <w:color w:val="auto"/>
          <w:szCs w:val="22"/>
          <w:lang w:val="pt-PT"/>
        </w:rPr>
      </w:pPr>
      <w:r w:rsidRPr="00110D6C">
        <w:rPr>
          <w:rFonts w:cs="Times New Roman"/>
          <w:color w:val="auto"/>
          <w:szCs w:val="22"/>
          <w:lang w:val="pt-PT"/>
        </w:rPr>
        <w:t>Figura</w:t>
      </w:r>
      <w:r w:rsidR="00655946" w:rsidRPr="00110D6C">
        <w:rPr>
          <w:rFonts w:cs="Times New Roman"/>
          <w:color w:val="auto"/>
          <w:szCs w:val="22"/>
          <w:lang w:val="pt-PT"/>
        </w:rPr>
        <w:t> </w:t>
      </w:r>
      <w:r w:rsidRPr="00110D6C">
        <w:rPr>
          <w:rFonts w:cs="Times New Roman"/>
          <w:color w:val="auto"/>
          <w:szCs w:val="22"/>
          <w:lang w:val="pt-PT"/>
        </w:rPr>
        <w:t>1</w:t>
      </w:r>
    </w:p>
    <w:p w14:paraId="4275086D" w14:textId="77777777" w:rsidR="00920500" w:rsidRPr="00110D6C" w:rsidRDefault="00920500" w:rsidP="00920500">
      <w:pPr>
        <w:widowControl/>
        <w:rPr>
          <w:rFonts w:cs="Times New Roman"/>
          <w:color w:val="auto"/>
          <w:szCs w:val="22"/>
          <w:lang w:val="pt-PT"/>
        </w:rPr>
      </w:pPr>
    </w:p>
    <w:p w14:paraId="1ED11EC8" w14:textId="77777777" w:rsidR="00920500" w:rsidRPr="00110D6C" w:rsidRDefault="00920500" w:rsidP="00920500">
      <w:pPr>
        <w:widowControl/>
        <w:rPr>
          <w:rFonts w:cs="Times New Roman"/>
          <w:color w:val="auto"/>
          <w:szCs w:val="22"/>
          <w:lang w:val="pt-PT"/>
        </w:rPr>
      </w:pPr>
    </w:p>
    <w:p w14:paraId="5796A8AF" w14:textId="4A08C5B9" w:rsidR="0077031F" w:rsidRDefault="0089078E" w:rsidP="0089078E">
      <w:pPr>
        <w:widowControl/>
        <w:rPr>
          <w:rFonts w:cs="Times New Roman"/>
          <w:b/>
          <w:bCs/>
          <w:color w:val="auto"/>
          <w:szCs w:val="22"/>
          <w:lang w:val="pt-PT"/>
        </w:rPr>
      </w:pPr>
      <w:bookmarkStart w:id="247" w:name="bookmark410"/>
      <w:r w:rsidRPr="0089078E">
        <w:rPr>
          <w:rFonts w:cs="Times New Roman"/>
          <w:b/>
          <w:bCs/>
          <w:color w:val="auto"/>
          <w:szCs w:val="22"/>
          <w:lang w:val="pt-PT"/>
        </w:rPr>
        <w:t>1.</w:t>
      </w:r>
      <w:r>
        <w:rPr>
          <w:rFonts w:cs="Times New Roman"/>
          <w:b/>
          <w:bCs/>
          <w:color w:val="auto"/>
          <w:szCs w:val="22"/>
          <w:lang w:val="pt-PT"/>
        </w:rPr>
        <w:tab/>
      </w:r>
      <w:r w:rsidR="00030085" w:rsidRPr="00492A01">
        <w:rPr>
          <w:rFonts w:cs="Times New Roman"/>
          <w:b/>
          <w:bCs/>
          <w:color w:val="auto"/>
          <w:szCs w:val="22"/>
          <w:lang w:val="pt-PT"/>
        </w:rPr>
        <w:t>Confirme o número de seringas pré-cheias e prepare os materiais:</w:t>
      </w:r>
      <w:bookmarkEnd w:id="247"/>
    </w:p>
    <w:p w14:paraId="743DD0BA" w14:textId="77777777" w:rsidR="00844DFB" w:rsidRPr="00492A01" w:rsidRDefault="00844DFB" w:rsidP="0089078E">
      <w:pPr>
        <w:widowControl/>
        <w:rPr>
          <w:rFonts w:cs="Times New Roman"/>
          <w:color w:val="auto"/>
          <w:szCs w:val="22"/>
          <w:lang w:val="pt-PT"/>
        </w:rPr>
      </w:pPr>
    </w:p>
    <w:p w14:paraId="49D22D19"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Preparação para utilização da seringa pré-cheia:</w:t>
      </w:r>
    </w:p>
    <w:p w14:paraId="1F18E4A9"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Retire a seringa pré-cheia do frigorífico. Deixe a seringa pré-cheia em repouso fora da</w:t>
      </w:r>
      <w:r w:rsidR="00920500" w:rsidRPr="00110D6C">
        <w:rPr>
          <w:rFonts w:cs="Times New Roman"/>
          <w:color w:val="auto"/>
          <w:szCs w:val="22"/>
          <w:lang w:val="pt-PT"/>
        </w:rPr>
        <w:t xml:space="preserve"> </w:t>
      </w:r>
      <w:r w:rsidRPr="00110D6C">
        <w:rPr>
          <w:rFonts w:cs="Times New Roman"/>
          <w:color w:val="auto"/>
          <w:szCs w:val="22"/>
          <w:lang w:val="pt-PT"/>
        </w:rPr>
        <w:t>embalagem durante cerca de meia hora. Isto permitirá que o líquido fique a uma temperatura confortável para a injeção (temperatura ambiente). Não retire a tampa da agulha da seringa enquanto aguarda que esta atinja a temperatura ambiente.</w:t>
      </w:r>
    </w:p>
    <w:p w14:paraId="1908F34D"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Segure a seringa pré-cheia pelo corpo da seringa com a tampa da agulha virada para cima.</w:t>
      </w:r>
    </w:p>
    <w:p w14:paraId="076A8487"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Não segure a seringa pela cabeça do êmbolo, pelo êmbolo, pelas abas da proteção da agulha nem pela tampa da agulha.</w:t>
      </w:r>
    </w:p>
    <w:p w14:paraId="1C6AE153"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Não puxe o êmbolo, em momento algum.</w:t>
      </w:r>
    </w:p>
    <w:p w14:paraId="4B52DC0F" w14:textId="77777777" w:rsidR="0077031F" w:rsidRPr="00110D6C"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Não retire a tampa da agulha da seringa pré-cheia até que lhe sejam dadas instruções para tal.</w:t>
      </w:r>
    </w:p>
    <w:p w14:paraId="44D0FA0D" w14:textId="77777777" w:rsidR="0077031F" w:rsidRDefault="00030085" w:rsidP="00D74B6E">
      <w:pPr>
        <w:pStyle w:val="Listenabsatz"/>
        <w:widowControl/>
        <w:numPr>
          <w:ilvl w:val="0"/>
          <w:numId w:val="18"/>
        </w:numPr>
        <w:ind w:left="567" w:hanging="567"/>
        <w:rPr>
          <w:rFonts w:cs="Times New Roman"/>
          <w:color w:val="auto"/>
          <w:szCs w:val="22"/>
          <w:lang w:val="pt-PT"/>
        </w:rPr>
      </w:pPr>
      <w:r w:rsidRPr="00110D6C">
        <w:rPr>
          <w:rFonts w:cs="Times New Roman"/>
          <w:color w:val="auto"/>
          <w:szCs w:val="22"/>
          <w:lang w:val="pt-PT"/>
        </w:rPr>
        <w:t xml:space="preserve">Não toque nos </w:t>
      </w:r>
      <w:r w:rsidRPr="00110D6C">
        <w:rPr>
          <w:rFonts w:cs="Times New Roman"/>
          <w:i/>
          <w:iCs/>
          <w:color w:val="auto"/>
          <w:szCs w:val="22"/>
          <w:lang w:val="pt-PT"/>
        </w:rPr>
        <w:t>clips</w:t>
      </w:r>
      <w:r w:rsidRPr="00110D6C">
        <w:rPr>
          <w:rFonts w:cs="Times New Roman"/>
          <w:color w:val="auto"/>
          <w:szCs w:val="22"/>
          <w:lang w:val="pt-PT"/>
        </w:rPr>
        <w:t xml:space="preserve"> de ativação da proteção da agulha (indicados na Figura </w:t>
      </w:r>
      <w:r w:rsidR="00B910F9" w:rsidRPr="00110D6C">
        <w:rPr>
          <w:rFonts w:cs="Times New Roman"/>
          <w:color w:val="auto"/>
          <w:szCs w:val="22"/>
          <w:lang w:val="pt-PT"/>
        </w:rPr>
        <w:t>1 </w:t>
      </w:r>
      <w:r w:rsidRPr="00110D6C">
        <w:rPr>
          <w:rFonts w:cs="Times New Roman"/>
          <w:color w:val="auto"/>
          <w:szCs w:val="22"/>
          <w:lang w:val="pt-PT"/>
        </w:rPr>
        <w:t>por um asterisco)</w:t>
      </w:r>
      <w:r w:rsidR="00920500" w:rsidRPr="00110D6C">
        <w:rPr>
          <w:rFonts w:cs="Times New Roman"/>
          <w:color w:val="auto"/>
          <w:szCs w:val="22"/>
          <w:lang w:val="pt-PT"/>
        </w:rPr>
        <w:t xml:space="preserve"> </w:t>
      </w:r>
      <w:r w:rsidRPr="00110D6C">
        <w:rPr>
          <w:rFonts w:cs="Times New Roman"/>
          <w:color w:val="auto"/>
          <w:szCs w:val="22"/>
          <w:lang w:val="pt-PT"/>
        </w:rPr>
        <w:t>para evitar a cobertura prematura da agulha pela aba de proteção da agulha.</w:t>
      </w:r>
    </w:p>
    <w:p w14:paraId="5846F956" w14:textId="406C30D2" w:rsidR="009A3897" w:rsidRPr="00492A01" w:rsidRDefault="009A3897" w:rsidP="009A3897">
      <w:pPr>
        <w:pStyle w:val="Listenabsatz"/>
        <w:widowControl/>
        <w:numPr>
          <w:ilvl w:val="0"/>
          <w:numId w:val="18"/>
        </w:numPr>
        <w:ind w:left="567" w:hanging="567"/>
        <w:rPr>
          <w:rFonts w:cs="Times New Roman"/>
          <w:color w:val="auto"/>
          <w:szCs w:val="22"/>
          <w:lang w:val="pt-PT"/>
        </w:rPr>
      </w:pPr>
      <w:r>
        <w:rPr>
          <w:rFonts w:cs="Times New Roman"/>
          <w:color w:val="auto"/>
          <w:szCs w:val="22"/>
          <w:lang w:val="pt-PT"/>
        </w:rPr>
        <w:t>Não utilize a seringa pré-cheia se esta tiver caído numa superfície dura.</w:t>
      </w:r>
    </w:p>
    <w:p w14:paraId="20158CF5" w14:textId="77777777" w:rsidR="00920500" w:rsidRPr="00110D6C" w:rsidRDefault="00920500" w:rsidP="00A17623">
      <w:pPr>
        <w:widowControl/>
        <w:rPr>
          <w:rFonts w:cs="Times New Roman"/>
          <w:color w:val="auto"/>
          <w:szCs w:val="22"/>
          <w:lang w:val="pt-PT"/>
        </w:rPr>
      </w:pPr>
    </w:p>
    <w:p w14:paraId="75CD4A5F"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Verifique a(s) seringa(s) pré-cheia(s) de modo a assegurar que:</w:t>
      </w:r>
    </w:p>
    <w:p w14:paraId="5FAB27A1"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O número de seringas pré-cheias e a dosagem estão corretos:</w:t>
      </w:r>
    </w:p>
    <w:p w14:paraId="441C34EA" w14:textId="1540F300"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Se a sua dose é de 9</w:t>
      </w:r>
      <w:r w:rsidR="00B910F9" w:rsidRPr="00110D6C">
        <w:rPr>
          <w:rFonts w:cs="Times New Roman"/>
          <w:color w:val="auto"/>
          <w:szCs w:val="22"/>
          <w:lang w:val="pt-PT"/>
        </w:rPr>
        <w:t>0 </w:t>
      </w:r>
      <w:r w:rsidRPr="00110D6C">
        <w:rPr>
          <w:rFonts w:cs="Times New Roman"/>
          <w:color w:val="auto"/>
          <w:szCs w:val="22"/>
          <w:lang w:val="pt-PT"/>
        </w:rPr>
        <w:t>mg, irá receber uma seringa pré-cheia de 9</w:t>
      </w:r>
      <w:r w:rsidR="00B910F9" w:rsidRPr="00110D6C">
        <w:rPr>
          <w:rFonts w:cs="Times New Roman"/>
          <w:color w:val="auto"/>
          <w:szCs w:val="22"/>
          <w:lang w:val="pt-PT"/>
        </w:rPr>
        <w:t>0 </w:t>
      </w:r>
      <w:r w:rsidRPr="00110D6C">
        <w:rPr>
          <w:rFonts w:cs="Times New Roman"/>
          <w:color w:val="auto"/>
          <w:szCs w:val="22"/>
          <w:lang w:val="pt-PT"/>
        </w:rPr>
        <w:t xml:space="preserve">mg de </w:t>
      </w:r>
      <w:r w:rsidR="00D50CFA">
        <w:rPr>
          <w:rFonts w:cs="Times New Roman"/>
          <w:color w:val="auto"/>
          <w:szCs w:val="22"/>
          <w:lang w:val="pt-PT"/>
        </w:rPr>
        <w:t>Fymskina</w:t>
      </w:r>
    </w:p>
    <w:p w14:paraId="0926BE4B"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O medicamento é o correto.</w:t>
      </w:r>
    </w:p>
    <w:p w14:paraId="2E5EE916"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O prazo de validade não expirou.</w:t>
      </w:r>
    </w:p>
    <w:p w14:paraId="0A20C06B"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A seringa pré-cheia não está danificada.</w:t>
      </w:r>
    </w:p>
    <w:p w14:paraId="25829107" w14:textId="419A0D28"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 xml:space="preserve">A solução na seringa pré-cheia é </w:t>
      </w:r>
      <w:r w:rsidR="009A3897">
        <w:rPr>
          <w:rFonts w:cs="Times New Roman"/>
          <w:color w:val="auto"/>
          <w:szCs w:val="22"/>
          <w:lang w:val="pt-PT"/>
        </w:rPr>
        <w:t>transparente</w:t>
      </w:r>
      <w:r w:rsidR="00920500" w:rsidRPr="00110D6C">
        <w:rPr>
          <w:rFonts w:cs="Times New Roman"/>
          <w:color w:val="auto"/>
          <w:szCs w:val="22"/>
          <w:lang w:val="pt-PT"/>
        </w:rPr>
        <w:t xml:space="preserve"> </w:t>
      </w:r>
      <w:r w:rsidRPr="00110D6C">
        <w:rPr>
          <w:rFonts w:cs="Times New Roman"/>
          <w:color w:val="auto"/>
          <w:szCs w:val="22"/>
          <w:lang w:val="pt-PT"/>
        </w:rPr>
        <w:t xml:space="preserve">e incolor a </w:t>
      </w:r>
      <w:r w:rsidR="009A3897">
        <w:rPr>
          <w:rFonts w:cs="Times New Roman"/>
          <w:color w:val="auto"/>
          <w:szCs w:val="22"/>
          <w:lang w:val="pt-PT"/>
        </w:rPr>
        <w:t xml:space="preserve">ligeiramente </w:t>
      </w:r>
      <w:r w:rsidRPr="00110D6C">
        <w:rPr>
          <w:rFonts w:cs="Times New Roman"/>
          <w:color w:val="auto"/>
          <w:szCs w:val="22"/>
          <w:lang w:val="pt-PT"/>
        </w:rPr>
        <w:t>amarel</w:t>
      </w:r>
      <w:r w:rsidR="009A3897">
        <w:rPr>
          <w:rFonts w:cs="Times New Roman"/>
          <w:color w:val="auto"/>
          <w:szCs w:val="22"/>
          <w:lang w:val="pt-PT"/>
        </w:rPr>
        <w:t>o-acasta</w:t>
      </w:r>
      <w:r w:rsidR="00844DFB">
        <w:rPr>
          <w:rFonts w:cs="Times New Roman"/>
          <w:color w:val="auto"/>
          <w:szCs w:val="22"/>
          <w:lang w:val="pt-PT"/>
        </w:rPr>
        <w:t>n</w:t>
      </w:r>
      <w:r w:rsidR="009A3897">
        <w:rPr>
          <w:rFonts w:cs="Times New Roman"/>
          <w:color w:val="auto"/>
          <w:szCs w:val="22"/>
          <w:lang w:val="pt-PT"/>
        </w:rPr>
        <w:t>hada</w:t>
      </w:r>
      <w:r w:rsidRPr="00110D6C">
        <w:rPr>
          <w:rFonts w:cs="Times New Roman"/>
          <w:color w:val="auto"/>
          <w:szCs w:val="22"/>
          <w:lang w:val="pt-PT"/>
        </w:rPr>
        <w:t>.</w:t>
      </w:r>
    </w:p>
    <w:p w14:paraId="1D029050"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A solução na seringa pré-cheia não está descolorada ou turva e que não contém nenhumas</w:t>
      </w:r>
      <w:r w:rsidR="00920500" w:rsidRPr="00110D6C">
        <w:rPr>
          <w:rFonts w:cs="Times New Roman"/>
          <w:color w:val="auto"/>
          <w:szCs w:val="22"/>
          <w:lang w:val="pt-PT"/>
        </w:rPr>
        <w:t xml:space="preserve"> </w:t>
      </w:r>
      <w:r w:rsidRPr="00110D6C">
        <w:rPr>
          <w:rFonts w:cs="Times New Roman"/>
          <w:color w:val="auto"/>
          <w:szCs w:val="22"/>
          <w:lang w:val="pt-PT"/>
        </w:rPr>
        <w:t>partículas estranhas.</w:t>
      </w:r>
    </w:p>
    <w:p w14:paraId="06670D94"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A solução na seringa pré-cheia não está congelada.</w:t>
      </w:r>
    </w:p>
    <w:p w14:paraId="3A80A94D" w14:textId="77777777" w:rsidR="00920500" w:rsidRPr="00110D6C" w:rsidRDefault="00920500" w:rsidP="00A17623">
      <w:pPr>
        <w:widowControl/>
        <w:rPr>
          <w:rFonts w:cs="Times New Roman"/>
          <w:color w:val="auto"/>
          <w:szCs w:val="22"/>
          <w:lang w:val="pt-PT"/>
        </w:rPr>
      </w:pPr>
    </w:p>
    <w:p w14:paraId="74EBD433"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Junte todo o material que necessita e coloque-o sobre uma superfície limpa. Este inclui toalhetes antissépticos, uma bola de algodão ou gaze, e um recipiente apropriado.</w:t>
      </w:r>
    </w:p>
    <w:p w14:paraId="16389194" w14:textId="77777777" w:rsidR="00920500" w:rsidRPr="00110D6C" w:rsidRDefault="00920500" w:rsidP="00A17623">
      <w:pPr>
        <w:widowControl/>
        <w:rPr>
          <w:rFonts w:cs="Times New Roman"/>
          <w:bCs/>
          <w:color w:val="auto"/>
          <w:szCs w:val="22"/>
          <w:lang w:val="pt-PT"/>
        </w:rPr>
      </w:pPr>
      <w:bookmarkStart w:id="248" w:name="bookmark412"/>
    </w:p>
    <w:p w14:paraId="1335A7B8" w14:textId="77777777" w:rsidR="00920500" w:rsidRPr="00110D6C" w:rsidRDefault="00920500" w:rsidP="00A17623">
      <w:pPr>
        <w:widowControl/>
        <w:rPr>
          <w:rFonts w:cs="Times New Roman"/>
          <w:bCs/>
          <w:color w:val="auto"/>
          <w:szCs w:val="22"/>
          <w:lang w:val="pt-PT"/>
        </w:rPr>
      </w:pPr>
    </w:p>
    <w:p w14:paraId="0C70063A" w14:textId="77777777" w:rsidR="0077031F" w:rsidRDefault="00030085" w:rsidP="00920500">
      <w:pPr>
        <w:widowControl/>
        <w:ind w:left="567" w:hanging="567"/>
        <w:rPr>
          <w:rFonts w:cs="Times New Roman"/>
          <w:b/>
          <w:bCs/>
          <w:color w:val="auto"/>
          <w:szCs w:val="22"/>
          <w:lang w:val="pt-PT"/>
        </w:rPr>
      </w:pPr>
      <w:r w:rsidRPr="00110D6C">
        <w:rPr>
          <w:rFonts w:cs="Times New Roman"/>
          <w:b/>
          <w:bCs/>
          <w:color w:val="auto"/>
          <w:szCs w:val="22"/>
          <w:lang w:val="pt-PT"/>
        </w:rPr>
        <w:t>2.</w:t>
      </w:r>
      <w:r w:rsidR="00920500" w:rsidRPr="00110D6C">
        <w:rPr>
          <w:rFonts w:cs="Times New Roman"/>
          <w:b/>
          <w:bCs/>
          <w:color w:val="auto"/>
          <w:szCs w:val="22"/>
          <w:lang w:val="pt-PT"/>
        </w:rPr>
        <w:tab/>
      </w:r>
      <w:r w:rsidRPr="00110D6C">
        <w:rPr>
          <w:rFonts w:cs="Times New Roman"/>
          <w:b/>
          <w:bCs/>
          <w:color w:val="auto"/>
          <w:szCs w:val="22"/>
          <w:lang w:val="pt-PT"/>
        </w:rPr>
        <w:t>Escolha e prepare o local de injeção:</w:t>
      </w:r>
      <w:bookmarkEnd w:id="248"/>
    </w:p>
    <w:p w14:paraId="654C33AE" w14:textId="77777777" w:rsidR="00844DFB" w:rsidRPr="00110D6C" w:rsidRDefault="00844DFB" w:rsidP="00920500">
      <w:pPr>
        <w:widowControl/>
        <w:ind w:left="567" w:hanging="567"/>
        <w:rPr>
          <w:rFonts w:cs="Times New Roman"/>
          <w:color w:val="auto"/>
          <w:szCs w:val="22"/>
          <w:lang w:val="pt-PT"/>
        </w:rPr>
      </w:pPr>
    </w:p>
    <w:p w14:paraId="40ABA461"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Escolha um local para a injeção (ver Figura 2):</w:t>
      </w:r>
    </w:p>
    <w:p w14:paraId="13CDF7C1" w14:textId="4DF78FB9" w:rsidR="0077031F" w:rsidRPr="00110D6C" w:rsidRDefault="00D50CFA" w:rsidP="00D74B6E">
      <w:pPr>
        <w:pStyle w:val="Listenabsatz"/>
        <w:widowControl/>
        <w:numPr>
          <w:ilvl w:val="0"/>
          <w:numId w:val="20"/>
        </w:numPr>
        <w:ind w:left="567" w:hanging="567"/>
        <w:rPr>
          <w:rFonts w:cs="Times New Roman"/>
          <w:color w:val="auto"/>
          <w:szCs w:val="22"/>
          <w:lang w:val="pt-PT"/>
        </w:rPr>
      </w:pPr>
      <w:r>
        <w:rPr>
          <w:rFonts w:cs="Times New Roman"/>
          <w:color w:val="auto"/>
          <w:szCs w:val="22"/>
          <w:lang w:val="pt-PT"/>
        </w:rPr>
        <w:t>Fymskina</w:t>
      </w:r>
      <w:r w:rsidR="00030085" w:rsidRPr="00110D6C">
        <w:rPr>
          <w:rFonts w:cs="Times New Roman"/>
          <w:color w:val="auto"/>
          <w:szCs w:val="22"/>
          <w:lang w:val="pt-PT"/>
        </w:rPr>
        <w:t xml:space="preserve"> é administrado por injeção por baixo da pele (“via subcutânea”).</w:t>
      </w:r>
    </w:p>
    <w:p w14:paraId="5FA66AC6"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Os melhores locais para a injeção são a parte superior da coxa ou em volta da barriga (abdómen)</w:t>
      </w:r>
      <w:r w:rsidR="00920500" w:rsidRPr="00110D6C">
        <w:rPr>
          <w:rFonts w:cs="Times New Roman"/>
          <w:color w:val="auto"/>
          <w:szCs w:val="22"/>
          <w:lang w:val="pt-PT"/>
        </w:rPr>
        <w:t xml:space="preserve"> </w:t>
      </w:r>
      <w:r w:rsidRPr="00110D6C">
        <w:rPr>
          <w:rFonts w:cs="Times New Roman"/>
          <w:color w:val="auto"/>
          <w:szCs w:val="22"/>
          <w:lang w:val="pt-PT"/>
        </w:rPr>
        <w:t xml:space="preserve">com pelo menos </w:t>
      </w:r>
      <w:r w:rsidR="00B910F9" w:rsidRPr="00110D6C">
        <w:rPr>
          <w:rFonts w:cs="Times New Roman"/>
          <w:color w:val="auto"/>
          <w:szCs w:val="22"/>
          <w:lang w:val="pt-PT"/>
        </w:rPr>
        <w:t>5 </w:t>
      </w:r>
      <w:r w:rsidRPr="00110D6C">
        <w:rPr>
          <w:rFonts w:cs="Times New Roman"/>
          <w:color w:val="auto"/>
          <w:szCs w:val="22"/>
          <w:lang w:val="pt-PT"/>
        </w:rPr>
        <w:t>cm de distância do umbigo.</w:t>
      </w:r>
    </w:p>
    <w:p w14:paraId="0E5B0899"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Se possível, não utilize áreas da pele que mostrem sinais de psoríase.</w:t>
      </w:r>
    </w:p>
    <w:p w14:paraId="556580D1"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Se alguém o ajudar a administrar a injeção, essa pessoa também poderá escolher a parte superior</w:t>
      </w:r>
      <w:r w:rsidR="00920500" w:rsidRPr="00110D6C">
        <w:rPr>
          <w:rFonts w:cs="Times New Roman"/>
          <w:color w:val="auto"/>
          <w:szCs w:val="22"/>
          <w:lang w:val="pt-PT"/>
        </w:rPr>
        <w:t xml:space="preserve"> </w:t>
      </w:r>
      <w:r w:rsidRPr="00110D6C">
        <w:rPr>
          <w:rFonts w:cs="Times New Roman"/>
          <w:color w:val="auto"/>
          <w:szCs w:val="22"/>
          <w:lang w:val="pt-PT"/>
        </w:rPr>
        <w:t>dos braços como um local de injeção.</w:t>
      </w:r>
    </w:p>
    <w:p w14:paraId="320BA459" w14:textId="77777777" w:rsidR="00920500" w:rsidRPr="00110D6C" w:rsidRDefault="00920500" w:rsidP="00920500">
      <w:pPr>
        <w:widowControl/>
        <w:jc w:val="center"/>
        <w:rPr>
          <w:rFonts w:cs="Times New Roman"/>
          <w:color w:val="auto"/>
          <w:szCs w:val="22"/>
          <w:lang w:val="pt-PT"/>
        </w:rPr>
      </w:pPr>
    </w:p>
    <w:p w14:paraId="03ACBCAF" w14:textId="2D517E08" w:rsidR="0077031F" w:rsidRPr="00110D6C" w:rsidRDefault="009A3897" w:rsidP="00920500">
      <w:pPr>
        <w:widowControl/>
        <w:jc w:val="center"/>
        <w:rPr>
          <w:rFonts w:cs="Times New Roman"/>
          <w:color w:val="auto"/>
          <w:szCs w:val="22"/>
          <w:lang w:val="pt-PT"/>
        </w:rPr>
      </w:pPr>
      <w:r w:rsidRPr="00A9610F">
        <w:rPr>
          <w:noProof/>
          <w:lang w:val="en-GB" w:eastAsia="en-GB"/>
        </w:rPr>
        <w:drawing>
          <wp:inline distT="0" distB="0" distL="0" distR="0" wp14:anchorId="5C671627" wp14:editId="79C9CE6D">
            <wp:extent cx="3993515" cy="1969135"/>
            <wp:effectExtent l="0" t="0" r="6985"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93515" cy="1969135"/>
                    </a:xfrm>
                    <a:prstGeom prst="rect">
                      <a:avLst/>
                    </a:prstGeom>
                    <a:noFill/>
                  </pic:spPr>
                </pic:pic>
              </a:graphicData>
            </a:graphic>
          </wp:inline>
        </w:drawing>
      </w:r>
    </w:p>
    <w:p w14:paraId="14CF2A97" w14:textId="77777777" w:rsidR="00920500" w:rsidRPr="00110D6C" w:rsidRDefault="00920500" w:rsidP="00920500">
      <w:pPr>
        <w:widowControl/>
        <w:jc w:val="center"/>
        <w:rPr>
          <w:rFonts w:cs="Times New Roman"/>
          <w:color w:val="auto"/>
          <w:szCs w:val="22"/>
          <w:lang w:val="pt-PT"/>
        </w:rPr>
      </w:pPr>
    </w:p>
    <w:p w14:paraId="6AA1B25A" w14:textId="2C919A24" w:rsidR="0077031F" w:rsidRPr="00110D6C" w:rsidRDefault="009A3897" w:rsidP="00920500">
      <w:pPr>
        <w:widowControl/>
        <w:jc w:val="center"/>
        <w:rPr>
          <w:rFonts w:cs="Times New Roman"/>
          <w:color w:val="auto"/>
          <w:szCs w:val="22"/>
          <w:lang w:val="pt-PT"/>
        </w:rPr>
      </w:pPr>
      <w:r>
        <w:rPr>
          <w:rFonts w:cs="Times New Roman"/>
          <w:color w:val="auto"/>
          <w:szCs w:val="22"/>
          <w:lang w:val="pt-PT"/>
        </w:rPr>
        <w:t>Figura 2:</w:t>
      </w:r>
      <w:r w:rsidR="00030085" w:rsidRPr="00110D6C">
        <w:rPr>
          <w:rFonts w:cs="Times New Roman"/>
          <w:color w:val="auto"/>
          <w:szCs w:val="22"/>
          <w:lang w:val="pt-PT"/>
        </w:rPr>
        <w:t xml:space="preserve"> Áreas a cinzento são locais de injeção recomendados</w:t>
      </w:r>
    </w:p>
    <w:p w14:paraId="5E53BF18" w14:textId="77777777" w:rsidR="00920500" w:rsidRPr="00110D6C" w:rsidRDefault="00920500" w:rsidP="00920500">
      <w:pPr>
        <w:widowControl/>
        <w:jc w:val="center"/>
        <w:rPr>
          <w:rFonts w:cs="Times New Roman"/>
          <w:color w:val="auto"/>
          <w:szCs w:val="22"/>
          <w:lang w:val="pt-PT"/>
        </w:rPr>
      </w:pPr>
    </w:p>
    <w:p w14:paraId="4DD6E119" w14:textId="77777777" w:rsidR="0077031F" w:rsidRPr="00110D6C" w:rsidRDefault="00030085" w:rsidP="00A17623">
      <w:pPr>
        <w:widowControl/>
        <w:rPr>
          <w:rFonts w:cs="Times New Roman"/>
          <w:color w:val="auto"/>
          <w:szCs w:val="22"/>
          <w:lang w:val="pt-PT"/>
        </w:rPr>
      </w:pPr>
      <w:r w:rsidRPr="00110D6C">
        <w:rPr>
          <w:rFonts w:cs="Times New Roman"/>
          <w:color w:val="auto"/>
          <w:szCs w:val="22"/>
          <w:lang w:val="pt-PT"/>
        </w:rPr>
        <w:t>Prepare o local de injeção:</w:t>
      </w:r>
    </w:p>
    <w:p w14:paraId="47864CB4"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Lave muito bem as suas mãos com sabão e água morna.</w:t>
      </w:r>
    </w:p>
    <w:p w14:paraId="06398051"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Limpe a pele no local de injeção, com um toalhete antisséptico.</w:t>
      </w:r>
    </w:p>
    <w:p w14:paraId="66FC5E9E"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b/>
          <w:bCs/>
          <w:color w:val="auto"/>
          <w:szCs w:val="22"/>
          <w:lang w:val="pt-PT"/>
        </w:rPr>
        <w:t xml:space="preserve">Não </w:t>
      </w:r>
      <w:r w:rsidRPr="00110D6C">
        <w:rPr>
          <w:rFonts w:cs="Times New Roman"/>
          <w:color w:val="auto"/>
          <w:szCs w:val="22"/>
          <w:lang w:val="pt-PT"/>
        </w:rPr>
        <w:t>toque novamente nesta área antes de administrar a injeção.</w:t>
      </w:r>
    </w:p>
    <w:p w14:paraId="7AC6C044" w14:textId="77777777" w:rsidR="00920500" w:rsidRPr="00110D6C" w:rsidRDefault="00920500" w:rsidP="00A17623">
      <w:pPr>
        <w:widowControl/>
        <w:rPr>
          <w:rFonts w:cs="Times New Roman"/>
          <w:bCs/>
          <w:color w:val="auto"/>
          <w:szCs w:val="22"/>
          <w:lang w:val="pt-PT"/>
        </w:rPr>
      </w:pPr>
      <w:bookmarkStart w:id="249" w:name="bookmark414"/>
    </w:p>
    <w:p w14:paraId="35CAEDFC" w14:textId="77777777" w:rsidR="00920500" w:rsidRPr="00110D6C" w:rsidRDefault="00920500" w:rsidP="00A17623">
      <w:pPr>
        <w:widowControl/>
        <w:rPr>
          <w:rFonts w:cs="Times New Roman"/>
          <w:bCs/>
          <w:color w:val="auto"/>
          <w:szCs w:val="22"/>
          <w:lang w:val="pt-PT"/>
        </w:rPr>
      </w:pPr>
    </w:p>
    <w:p w14:paraId="4518AAFF" w14:textId="5CFC1ABF" w:rsidR="0077031F" w:rsidRDefault="00030085" w:rsidP="00920500">
      <w:pPr>
        <w:widowControl/>
        <w:ind w:left="567" w:hanging="567"/>
        <w:rPr>
          <w:rFonts w:cs="Times New Roman"/>
          <w:b/>
          <w:bCs/>
          <w:color w:val="auto"/>
          <w:szCs w:val="22"/>
          <w:lang w:val="pt-PT"/>
        </w:rPr>
      </w:pPr>
      <w:r w:rsidRPr="00110D6C">
        <w:rPr>
          <w:rFonts w:cs="Times New Roman"/>
          <w:b/>
          <w:bCs/>
          <w:color w:val="auto"/>
          <w:szCs w:val="22"/>
          <w:lang w:val="pt-PT"/>
        </w:rPr>
        <w:t>3.</w:t>
      </w:r>
      <w:r w:rsidR="00920500" w:rsidRPr="00110D6C">
        <w:rPr>
          <w:rFonts w:cs="Times New Roman"/>
          <w:b/>
          <w:bCs/>
          <w:color w:val="auto"/>
          <w:szCs w:val="22"/>
          <w:lang w:val="pt-PT"/>
        </w:rPr>
        <w:tab/>
      </w:r>
      <w:r w:rsidRPr="00110D6C">
        <w:rPr>
          <w:rFonts w:cs="Times New Roman"/>
          <w:b/>
          <w:bCs/>
          <w:color w:val="auto"/>
          <w:szCs w:val="22"/>
          <w:lang w:val="pt-PT"/>
        </w:rPr>
        <w:t>Retire a tampa da agulha (Figura</w:t>
      </w:r>
      <w:r w:rsidR="00CB5F83" w:rsidRPr="00110D6C">
        <w:rPr>
          <w:rFonts w:cs="Times New Roman"/>
          <w:b/>
          <w:bCs/>
          <w:color w:val="auto"/>
          <w:szCs w:val="22"/>
          <w:lang w:val="pt-PT"/>
        </w:rPr>
        <w:t> </w:t>
      </w:r>
      <w:r w:rsidRPr="00110D6C">
        <w:rPr>
          <w:rFonts w:cs="Times New Roman"/>
          <w:b/>
          <w:bCs/>
          <w:color w:val="auto"/>
          <w:szCs w:val="22"/>
          <w:lang w:val="pt-PT"/>
        </w:rPr>
        <w:t>3)</w:t>
      </w:r>
      <w:bookmarkEnd w:id="249"/>
      <w:r w:rsidR="009A3897">
        <w:rPr>
          <w:rFonts w:cs="Times New Roman"/>
          <w:b/>
          <w:bCs/>
          <w:color w:val="auto"/>
          <w:szCs w:val="22"/>
          <w:lang w:val="pt-PT"/>
        </w:rPr>
        <w:t>:</w:t>
      </w:r>
    </w:p>
    <w:p w14:paraId="49C6920E" w14:textId="77777777" w:rsidR="00844DFB" w:rsidRPr="00110D6C" w:rsidRDefault="00844DFB" w:rsidP="00920500">
      <w:pPr>
        <w:widowControl/>
        <w:ind w:left="567" w:hanging="567"/>
        <w:rPr>
          <w:rFonts w:cs="Times New Roman"/>
          <w:color w:val="auto"/>
          <w:szCs w:val="22"/>
          <w:lang w:val="pt-PT"/>
        </w:rPr>
      </w:pPr>
    </w:p>
    <w:p w14:paraId="5E64D94B"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 xml:space="preserve">A tampa da agulha </w:t>
      </w:r>
      <w:r w:rsidRPr="00110D6C">
        <w:rPr>
          <w:rFonts w:cs="Times New Roman"/>
          <w:b/>
          <w:bCs/>
          <w:color w:val="auto"/>
          <w:szCs w:val="22"/>
          <w:lang w:val="pt-PT"/>
        </w:rPr>
        <w:t xml:space="preserve">não </w:t>
      </w:r>
      <w:r w:rsidRPr="00110D6C">
        <w:rPr>
          <w:rFonts w:cs="Times New Roman"/>
          <w:color w:val="auto"/>
          <w:szCs w:val="22"/>
          <w:lang w:val="pt-PT"/>
        </w:rPr>
        <w:t>deve ser retirada até que esteja pronto para injetar a dose</w:t>
      </w:r>
    </w:p>
    <w:p w14:paraId="5DF0F839"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Pegue na seringa pré-cheia, segure no corpo da seringa com uma mão</w:t>
      </w:r>
    </w:p>
    <w:p w14:paraId="006F84B8"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Puxe a tampa da agulha na horizontal e deite-a fora. Não toque no êmbolo enquanto retira a</w:t>
      </w:r>
      <w:r w:rsidR="00920500" w:rsidRPr="00110D6C">
        <w:rPr>
          <w:rFonts w:cs="Times New Roman"/>
          <w:color w:val="auto"/>
          <w:szCs w:val="22"/>
          <w:lang w:val="pt-PT"/>
        </w:rPr>
        <w:t xml:space="preserve"> </w:t>
      </w:r>
      <w:r w:rsidRPr="00110D6C">
        <w:rPr>
          <w:rFonts w:cs="Times New Roman"/>
          <w:color w:val="auto"/>
          <w:szCs w:val="22"/>
          <w:lang w:val="pt-PT"/>
        </w:rPr>
        <w:t>tampa.</w:t>
      </w:r>
    </w:p>
    <w:p w14:paraId="51432A6F" w14:textId="77777777" w:rsidR="00920500" w:rsidRPr="00110D6C" w:rsidRDefault="00920500" w:rsidP="00920500">
      <w:pPr>
        <w:widowControl/>
        <w:jc w:val="center"/>
        <w:rPr>
          <w:rFonts w:cs="Times New Roman"/>
          <w:color w:val="auto"/>
          <w:szCs w:val="22"/>
          <w:lang w:val="pt-PT"/>
        </w:rPr>
      </w:pPr>
    </w:p>
    <w:p w14:paraId="18BFC8E2" w14:textId="28BAC0CD" w:rsidR="0077031F" w:rsidRPr="00110D6C" w:rsidRDefault="009A3897" w:rsidP="00920500">
      <w:pPr>
        <w:widowControl/>
        <w:jc w:val="center"/>
        <w:rPr>
          <w:rFonts w:cs="Times New Roman"/>
          <w:color w:val="auto"/>
          <w:szCs w:val="22"/>
          <w:lang w:val="pt-PT"/>
        </w:rPr>
      </w:pPr>
      <w:r w:rsidRPr="00A9610F">
        <w:rPr>
          <w:noProof/>
          <w:lang w:val="en-GB" w:eastAsia="en-GB"/>
        </w:rPr>
        <w:drawing>
          <wp:inline distT="0" distB="0" distL="0" distR="0" wp14:anchorId="4FDEBF3D" wp14:editId="2F5B61E6">
            <wp:extent cx="3760868" cy="1854013"/>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79734" cy="1863313"/>
                    </a:xfrm>
                    <a:prstGeom prst="rect">
                      <a:avLst/>
                    </a:prstGeom>
                    <a:noFill/>
                  </pic:spPr>
                </pic:pic>
              </a:graphicData>
            </a:graphic>
          </wp:inline>
        </w:drawing>
      </w:r>
    </w:p>
    <w:p w14:paraId="108A3BE7" w14:textId="77777777" w:rsidR="00920500" w:rsidRPr="00110D6C" w:rsidRDefault="00920500" w:rsidP="00920500">
      <w:pPr>
        <w:widowControl/>
        <w:jc w:val="center"/>
        <w:rPr>
          <w:rFonts w:cs="Times New Roman"/>
          <w:color w:val="auto"/>
          <w:szCs w:val="22"/>
          <w:lang w:val="pt-PT"/>
        </w:rPr>
      </w:pPr>
    </w:p>
    <w:p w14:paraId="2228D06E" w14:textId="77777777" w:rsidR="0077031F" w:rsidRPr="00110D6C" w:rsidRDefault="00030085" w:rsidP="00920500">
      <w:pPr>
        <w:widowControl/>
        <w:jc w:val="center"/>
        <w:rPr>
          <w:rFonts w:cs="Times New Roman"/>
          <w:color w:val="auto"/>
          <w:szCs w:val="22"/>
          <w:lang w:val="pt-PT"/>
        </w:rPr>
      </w:pPr>
      <w:r w:rsidRPr="00110D6C">
        <w:rPr>
          <w:rFonts w:cs="Times New Roman"/>
          <w:color w:val="auto"/>
          <w:szCs w:val="22"/>
          <w:lang w:val="pt-PT"/>
        </w:rPr>
        <w:t>Figura</w:t>
      </w:r>
      <w:r w:rsidR="00CB5F83" w:rsidRPr="00110D6C">
        <w:rPr>
          <w:rFonts w:cs="Times New Roman"/>
          <w:color w:val="auto"/>
          <w:szCs w:val="22"/>
          <w:lang w:val="pt-PT"/>
        </w:rPr>
        <w:t> </w:t>
      </w:r>
      <w:r w:rsidRPr="00110D6C">
        <w:rPr>
          <w:rFonts w:cs="Times New Roman"/>
          <w:color w:val="auto"/>
          <w:szCs w:val="22"/>
          <w:lang w:val="pt-PT"/>
        </w:rPr>
        <w:t>3</w:t>
      </w:r>
    </w:p>
    <w:p w14:paraId="12D0D8B1" w14:textId="77777777" w:rsidR="00920500" w:rsidRPr="00110D6C" w:rsidRDefault="00920500" w:rsidP="00920500">
      <w:pPr>
        <w:widowControl/>
        <w:jc w:val="center"/>
        <w:rPr>
          <w:rFonts w:cs="Times New Roman"/>
          <w:color w:val="auto"/>
          <w:szCs w:val="22"/>
          <w:lang w:val="pt-PT"/>
        </w:rPr>
      </w:pPr>
    </w:p>
    <w:p w14:paraId="7115B1C6"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Pode notar uma bolha de ar na seringa pré-cheia ou uma gota de líquido no final da agulha. Isto</w:t>
      </w:r>
      <w:r w:rsidR="00920500" w:rsidRPr="00110D6C">
        <w:rPr>
          <w:rFonts w:cs="Times New Roman"/>
          <w:color w:val="auto"/>
          <w:szCs w:val="22"/>
          <w:lang w:val="pt-PT"/>
        </w:rPr>
        <w:t xml:space="preserve"> </w:t>
      </w:r>
      <w:r w:rsidRPr="00110D6C">
        <w:rPr>
          <w:rFonts w:cs="Times New Roman"/>
          <w:color w:val="auto"/>
          <w:szCs w:val="22"/>
          <w:lang w:val="pt-PT"/>
        </w:rPr>
        <w:t>é normal e não necessita de removê-las.</w:t>
      </w:r>
    </w:p>
    <w:p w14:paraId="6851F0F6"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Não toque na agulha nem permita que esta toque em nenhuma superfície.</w:t>
      </w:r>
    </w:p>
    <w:p w14:paraId="2A960D45"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Não utilize a seringa pré-cheia se a deixar cair sem a tampa da agulha. Se isto acontecer,</w:t>
      </w:r>
      <w:r w:rsidR="00920500" w:rsidRPr="00110D6C">
        <w:rPr>
          <w:rFonts w:cs="Times New Roman"/>
          <w:color w:val="auto"/>
          <w:szCs w:val="22"/>
          <w:lang w:val="pt-PT"/>
        </w:rPr>
        <w:t xml:space="preserve"> </w:t>
      </w:r>
      <w:r w:rsidRPr="00110D6C">
        <w:rPr>
          <w:rFonts w:cs="Times New Roman"/>
          <w:color w:val="auto"/>
          <w:szCs w:val="22"/>
          <w:lang w:val="pt-PT"/>
        </w:rPr>
        <w:t>contacte, por favor, o seu médico ou farmacêutico.</w:t>
      </w:r>
    </w:p>
    <w:p w14:paraId="5987EC3A"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Injete a dose imediatamente após ter retirado a tampa da agulha.</w:t>
      </w:r>
    </w:p>
    <w:p w14:paraId="4E7E56F2" w14:textId="77777777" w:rsidR="00920500" w:rsidRPr="00110D6C" w:rsidRDefault="00920500" w:rsidP="00A17623">
      <w:pPr>
        <w:widowControl/>
        <w:rPr>
          <w:rFonts w:cs="Times New Roman"/>
          <w:bCs/>
          <w:color w:val="auto"/>
          <w:szCs w:val="22"/>
          <w:lang w:val="pt-PT"/>
        </w:rPr>
      </w:pPr>
      <w:bookmarkStart w:id="250" w:name="bookmark416"/>
    </w:p>
    <w:p w14:paraId="5FDA4EA4" w14:textId="77777777" w:rsidR="00920500" w:rsidRPr="00110D6C" w:rsidRDefault="00920500" w:rsidP="00A17623">
      <w:pPr>
        <w:widowControl/>
        <w:rPr>
          <w:rFonts w:cs="Times New Roman"/>
          <w:bCs/>
          <w:color w:val="auto"/>
          <w:szCs w:val="22"/>
          <w:lang w:val="pt-PT"/>
        </w:rPr>
      </w:pPr>
    </w:p>
    <w:p w14:paraId="5507C36B" w14:textId="0FAC52D6" w:rsidR="0077031F" w:rsidRDefault="00030085" w:rsidP="00920500">
      <w:pPr>
        <w:keepNext/>
        <w:keepLines/>
        <w:widowControl/>
        <w:ind w:left="567" w:hanging="567"/>
        <w:rPr>
          <w:rFonts w:cs="Times New Roman"/>
          <w:b/>
          <w:bCs/>
          <w:color w:val="auto"/>
          <w:szCs w:val="22"/>
          <w:lang w:val="pt-PT"/>
        </w:rPr>
      </w:pPr>
      <w:r w:rsidRPr="00110D6C">
        <w:rPr>
          <w:rFonts w:cs="Times New Roman"/>
          <w:b/>
          <w:bCs/>
          <w:color w:val="auto"/>
          <w:szCs w:val="22"/>
          <w:lang w:val="pt-PT"/>
        </w:rPr>
        <w:t>4.</w:t>
      </w:r>
      <w:r w:rsidR="00920500" w:rsidRPr="00110D6C">
        <w:rPr>
          <w:rFonts w:cs="Times New Roman"/>
          <w:b/>
          <w:bCs/>
          <w:color w:val="auto"/>
          <w:szCs w:val="22"/>
          <w:lang w:val="pt-PT"/>
        </w:rPr>
        <w:tab/>
      </w:r>
      <w:r w:rsidRPr="00110D6C">
        <w:rPr>
          <w:rFonts w:cs="Times New Roman"/>
          <w:b/>
          <w:bCs/>
          <w:color w:val="auto"/>
          <w:szCs w:val="22"/>
          <w:lang w:val="pt-PT"/>
        </w:rPr>
        <w:t>Injete a dose</w:t>
      </w:r>
      <w:bookmarkEnd w:id="250"/>
      <w:r w:rsidR="009A3897">
        <w:rPr>
          <w:rFonts w:cs="Times New Roman"/>
          <w:b/>
          <w:bCs/>
          <w:color w:val="auto"/>
          <w:szCs w:val="22"/>
          <w:lang w:val="pt-PT"/>
        </w:rPr>
        <w:t>:</w:t>
      </w:r>
    </w:p>
    <w:p w14:paraId="0141C05A" w14:textId="77777777" w:rsidR="00844DFB" w:rsidRPr="00110D6C" w:rsidRDefault="00844DFB" w:rsidP="00920500">
      <w:pPr>
        <w:keepNext/>
        <w:keepLines/>
        <w:widowControl/>
        <w:ind w:left="567" w:hanging="567"/>
        <w:rPr>
          <w:rFonts w:cs="Times New Roman"/>
          <w:color w:val="auto"/>
          <w:szCs w:val="22"/>
          <w:lang w:val="pt-PT"/>
        </w:rPr>
      </w:pPr>
    </w:p>
    <w:p w14:paraId="25E0B18B"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Segure a seringa pré-cheia com uma mão entre o dedo médio e o indicador e coloque o dedo</w:t>
      </w:r>
      <w:r w:rsidR="00920500" w:rsidRPr="00110D6C">
        <w:rPr>
          <w:rFonts w:cs="Times New Roman"/>
          <w:color w:val="auto"/>
          <w:szCs w:val="22"/>
          <w:lang w:val="pt-PT"/>
        </w:rPr>
        <w:t xml:space="preserve"> </w:t>
      </w:r>
      <w:r w:rsidRPr="00110D6C">
        <w:rPr>
          <w:rFonts w:cs="Times New Roman"/>
          <w:color w:val="auto"/>
          <w:szCs w:val="22"/>
          <w:lang w:val="pt-PT"/>
        </w:rPr>
        <w:t>polegar no topo da cabeça do êmbolo e utilize a outra mão para apertar suavemente a pele limpa entre o dedo indicador e o polegar. Não aperte firmemente.</w:t>
      </w:r>
    </w:p>
    <w:p w14:paraId="3807FAE3"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Não puxe o êmbolo em momento algum.</w:t>
      </w:r>
    </w:p>
    <w:p w14:paraId="2530A4B1"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Num movimento único e rápido, insira a agulha através da pele até ao final (ver</w:t>
      </w:r>
      <w:r w:rsidR="00CB5F83" w:rsidRPr="00110D6C">
        <w:rPr>
          <w:rFonts w:cs="Times New Roman"/>
          <w:color w:val="auto"/>
          <w:szCs w:val="22"/>
          <w:lang w:val="pt-PT"/>
        </w:rPr>
        <w:t> </w:t>
      </w:r>
      <w:r w:rsidRPr="00110D6C">
        <w:rPr>
          <w:rFonts w:cs="Times New Roman"/>
          <w:color w:val="auto"/>
          <w:szCs w:val="22"/>
          <w:lang w:val="pt-PT"/>
        </w:rPr>
        <w:t>Figura</w:t>
      </w:r>
      <w:r w:rsidR="00CB5F83" w:rsidRPr="00110D6C">
        <w:rPr>
          <w:rFonts w:cs="Times New Roman"/>
          <w:color w:val="auto"/>
          <w:szCs w:val="22"/>
          <w:lang w:val="pt-PT"/>
        </w:rPr>
        <w:t> </w:t>
      </w:r>
      <w:r w:rsidRPr="00110D6C">
        <w:rPr>
          <w:rFonts w:cs="Times New Roman"/>
          <w:color w:val="auto"/>
          <w:szCs w:val="22"/>
          <w:lang w:val="pt-PT"/>
        </w:rPr>
        <w:t>4).</w:t>
      </w:r>
    </w:p>
    <w:p w14:paraId="562AE60D" w14:textId="77777777" w:rsidR="00920500" w:rsidRPr="00110D6C" w:rsidRDefault="00920500" w:rsidP="00920500">
      <w:pPr>
        <w:widowControl/>
        <w:jc w:val="center"/>
        <w:rPr>
          <w:rFonts w:cs="Times New Roman"/>
          <w:color w:val="auto"/>
          <w:szCs w:val="22"/>
          <w:lang w:val="pt-PT"/>
        </w:rPr>
      </w:pPr>
    </w:p>
    <w:p w14:paraId="46C87310" w14:textId="31878AD2" w:rsidR="0077031F" w:rsidRPr="00110D6C" w:rsidRDefault="009A3897" w:rsidP="00920500">
      <w:pPr>
        <w:widowControl/>
        <w:jc w:val="center"/>
        <w:rPr>
          <w:rFonts w:cs="Times New Roman"/>
          <w:color w:val="auto"/>
          <w:szCs w:val="22"/>
          <w:lang w:val="pt-PT"/>
        </w:rPr>
      </w:pPr>
      <w:r w:rsidRPr="00A9610F">
        <w:rPr>
          <w:noProof/>
          <w:lang w:val="en-GB" w:eastAsia="en-GB"/>
        </w:rPr>
        <w:drawing>
          <wp:inline distT="0" distB="0" distL="0" distR="0" wp14:anchorId="0B2EE3A8" wp14:editId="20E05423">
            <wp:extent cx="3958883" cy="1960331"/>
            <wp:effectExtent l="0" t="0" r="3810" b="1905"/>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81478" cy="1971519"/>
                    </a:xfrm>
                    <a:prstGeom prst="rect">
                      <a:avLst/>
                    </a:prstGeom>
                    <a:noFill/>
                  </pic:spPr>
                </pic:pic>
              </a:graphicData>
            </a:graphic>
          </wp:inline>
        </w:drawing>
      </w:r>
    </w:p>
    <w:p w14:paraId="12F30DB3" w14:textId="77777777" w:rsidR="00920500" w:rsidRPr="00110D6C" w:rsidRDefault="00920500" w:rsidP="00920500">
      <w:pPr>
        <w:widowControl/>
        <w:jc w:val="center"/>
        <w:rPr>
          <w:rFonts w:cs="Times New Roman"/>
          <w:color w:val="auto"/>
          <w:szCs w:val="22"/>
          <w:lang w:val="pt-PT"/>
        </w:rPr>
      </w:pPr>
    </w:p>
    <w:p w14:paraId="11613A30" w14:textId="77777777" w:rsidR="0077031F" w:rsidRPr="00110D6C" w:rsidRDefault="00030085" w:rsidP="00920500">
      <w:pPr>
        <w:widowControl/>
        <w:jc w:val="center"/>
        <w:rPr>
          <w:rFonts w:cs="Times New Roman"/>
          <w:color w:val="auto"/>
          <w:szCs w:val="22"/>
          <w:lang w:val="pt-PT"/>
        </w:rPr>
      </w:pPr>
      <w:r w:rsidRPr="00110D6C">
        <w:rPr>
          <w:rFonts w:cs="Times New Roman"/>
          <w:color w:val="auto"/>
          <w:szCs w:val="22"/>
          <w:lang w:val="pt-PT"/>
        </w:rPr>
        <w:t>Figura</w:t>
      </w:r>
      <w:r w:rsidR="00CB5F83" w:rsidRPr="00110D6C">
        <w:rPr>
          <w:rFonts w:cs="Times New Roman"/>
          <w:color w:val="auto"/>
          <w:szCs w:val="22"/>
          <w:lang w:val="pt-PT"/>
        </w:rPr>
        <w:t> </w:t>
      </w:r>
      <w:r w:rsidRPr="00110D6C">
        <w:rPr>
          <w:rFonts w:cs="Times New Roman"/>
          <w:color w:val="auto"/>
          <w:szCs w:val="22"/>
          <w:lang w:val="pt-PT"/>
        </w:rPr>
        <w:t>4</w:t>
      </w:r>
    </w:p>
    <w:p w14:paraId="5A01F2B7" w14:textId="77777777" w:rsidR="00920500" w:rsidRPr="00110D6C" w:rsidRDefault="00920500" w:rsidP="00920500">
      <w:pPr>
        <w:widowControl/>
        <w:jc w:val="center"/>
        <w:rPr>
          <w:rFonts w:cs="Times New Roman"/>
          <w:color w:val="auto"/>
          <w:szCs w:val="22"/>
          <w:lang w:val="pt-PT"/>
        </w:rPr>
      </w:pPr>
    </w:p>
    <w:p w14:paraId="17C947ED"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Injete todo o medicamento empurrando o êmbolo, até que a cabeça do êmbolo esteja</w:t>
      </w:r>
      <w:r w:rsidR="00920500" w:rsidRPr="00110D6C">
        <w:rPr>
          <w:rFonts w:cs="Times New Roman"/>
          <w:color w:val="auto"/>
          <w:szCs w:val="22"/>
          <w:lang w:val="pt-PT"/>
        </w:rPr>
        <w:t xml:space="preserve"> </w:t>
      </w:r>
      <w:r w:rsidRPr="00110D6C">
        <w:rPr>
          <w:rFonts w:cs="Times New Roman"/>
          <w:color w:val="auto"/>
          <w:szCs w:val="22"/>
          <w:lang w:val="pt-PT"/>
        </w:rPr>
        <w:t>completamente entre as abas de proteção da agulha (ver</w:t>
      </w:r>
      <w:r w:rsidR="00CB5F83" w:rsidRPr="00110D6C">
        <w:rPr>
          <w:rFonts w:cs="Times New Roman"/>
          <w:color w:val="auto"/>
          <w:szCs w:val="22"/>
          <w:lang w:val="pt-PT"/>
        </w:rPr>
        <w:t> </w:t>
      </w:r>
      <w:r w:rsidRPr="00110D6C">
        <w:rPr>
          <w:rFonts w:cs="Times New Roman"/>
          <w:color w:val="auto"/>
          <w:szCs w:val="22"/>
          <w:lang w:val="pt-PT"/>
        </w:rPr>
        <w:t>Figura</w:t>
      </w:r>
      <w:r w:rsidR="00CB5F83" w:rsidRPr="00110D6C">
        <w:rPr>
          <w:rFonts w:cs="Times New Roman"/>
          <w:color w:val="auto"/>
          <w:szCs w:val="22"/>
          <w:lang w:val="pt-PT"/>
        </w:rPr>
        <w:t> </w:t>
      </w:r>
      <w:r w:rsidRPr="00110D6C">
        <w:rPr>
          <w:rFonts w:cs="Times New Roman"/>
          <w:color w:val="auto"/>
          <w:szCs w:val="22"/>
          <w:lang w:val="pt-PT"/>
        </w:rPr>
        <w:t>5).</w:t>
      </w:r>
    </w:p>
    <w:p w14:paraId="1FD902BA" w14:textId="77777777" w:rsidR="00920500" w:rsidRPr="00110D6C" w:rsidRDefault="00920500" w:rsidP="00920500">
      <w:pPr>
        <w:widowControl/>
        <w:jc w:val="center"/>
        <w:rPr>
          <w:rFonts w:cs="Times New Roman"/>
          <w:color w:val="auto"/>
          <w:szCs w:val="22"/>
          <w:lang w:val="pt-PT"/>
        </w:rPr>
      </w:pPr>
    </w:p>
    <w:p w14:paraId="634A52D0" w14:textId="3A4E4503" w:rsidR="0077031F" w:rsidRPr="00110D6C" w:rsidRDefault="00133412" w:rsidP="00920500">
      <w:pPr>
        <w:widowControl/>
        <w:jc w:val="center"/>
        <w:rPr>
          <w:rFonts w:cs="Times New Roman"/>
          <w:color w:val="auto"/>
          <w:szCs w:val="22"/>
          <w:lang w:val="pt-PT"/>
        </w:rPr>
      </w:pPr>
      <w:r>
        <w:rPr>
          <w:noProof/>
        </w:rPr>
        <mc:AlternateContent>
          <mc:Choice Requires="wps">
            <w:drawing>
              <wp:anchor distT="45720" distB="45720" distL="114300" distR="114300" simplePos="0" relativeHeight="251681792" behindDoc="0" locked="0" layoutInCell="1" allowOverlap="1" wp14:anchorId="0D0BD8EA" wp14:editId="7EA2B700">
                <wp:simplePos x="0" y="0"/>
                <wp:positionH relativeFrom="margin">
                  <wp:posOffset>1729105</wp:posOffset>
                </wp:positionH>
                <wp:positionV relativeFrom="paragraph">
                  <wp:posOffset>210185</wp:posOffset>
                </wp:positionV>
                <wp:extent cx="839470" cy="447675"/>
                <wp:effectExtent l="0" t="0" r="0" b="9525"/>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9470" cy="447675"/>
                        </a:xfrm>
                        <a:prstGeom prst="rect">
                          <a:avLst/>
                        </a:prstGeom>
                        <a:noFill/>
                        <a:ln w="9525">
                          <a:noFill/>
                          <a:miter lim="800000"/>
                          <a:headEnd/>
                          <a:tailEnd/>
                        </a:ln>
                      </wps:spPr>
                      <wps:txbx>
                        <w:txbxContent>
                          <w:p w14:paraId="2177CF34" w14:textId="4F4A32B7" w:rsidR="009C3A83" w:rsidRPr="001452E7" w:rsidRDefault="009C3A83" w:rsidP="009A3897">
                            <w:pPr>
                              <w:rPr>
                                <w:rFonts w:asciiTheme="minorBidi" w:hAnsiTheme="minorBidi" w:cstheme="minorBidi"/>
                                <w:sz w:val="17"/>
                                <w:szCs w:val="17"/>
                              </w:rPr>
                            </w:pPr>
                            <w:r>
                              <w:rPr>
                                <w:rFonts w:asciiTheme="minorBidi" w:hAnsiTheme="minorBidi" w:cstheme="minorBidi"/>
                                <w:sz w:val="17"/>
                                <w:szCs w:val="17"/>
                              </w:rPr>
                              <w:t>Abas da proteção da agulha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D0BD8EA" id="Caixa de texto 4" o:spid="_x0000_s1046" type="#_x0000_t202" style="position:absolute;left:0;text-align:left;margin-left:136.15pt;margin-top:16.55pt;width:66.1pt;height:35.2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" filled="f" stroked="f">
                <v:textbox inset="0,0,0,0">
                  <w:txbxContent>
                    <w:p w14:paraId="2177CF34" w14:textId="4F4A32B7" w:rsidR="009C3A83" w:rsidRPr="001452E7" w:rsidRDefault="009C3A83" w:rsidP="009A3897">
                      <w:pPr>
                        <w:rPr>
                          <w:rFonts w:asciiTheme="minorBidi" w:hAnsiTheme="minorBidi" w:cstheme="minorBidi"/>
                          <w:sz w:val="17"/>
                          <w:szCs w:val="17"/>
                        </w:rPr>
                      </w:pPr>
                      <w:r>
                        <w:rPr>
                          <w:rFonts w:asciiTheme="minorBidi" w:hAnsiTheme="minorBidi" w:cstheme="minorBidi"/>
                          <w:sz w:val="17"/>
                          <w:szCs w:val="17"/>
                        </w:rPr>
                        <w:t>Abas da proteção da agulha</w:t>
                      </w:r>
                    </w:p>
                  </w:txbxContent>
                </v:textbox>
                <w10:wrap anchorx="margin"/>
              </v:shape>
            </w:pict>
          </mc:Fallback>
        </mc:AlternateContent>
      </w:r>
      <w:r w:rsidR="009A3897">
        <w:rPr>
          <w:bCs/>
          <w:noProof/>
        </w:rPr>
        <w:drawing>
          <wp:inline distT="0" distB="0" distL="0" distR="0" wp14:anchorId="6EF527B3" wp14:editId="4E00E5E1">
            <wp:extent cx="2133481" cy="1965600"/>
            <wp:effectExtent l="0" t="0" r="635"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_2.png"/>
                    <pic:cNvPicPr/>
                  </pic:nvPicPr>
                  <pic:blipFill>
                    <a:blip r:embed="rId24">
                      <a:extLst>
                        <a:ext uri="{28A0092B-C50C-407E-A947-70E740481C1C}">
                          <a14:useLocalDpi xmlns:a14="http://schemas.microsoft.com/office/drawing/2010/main" val="0"/>
                        </a:ext>
                      </a:extLst>
                    </a:blip>
                    <a:stretch>
                      <a:fillRect/>
                    </a:stretch>
                  </pic:blipFill>
                  <pic:spPr>
                    <a:xfrm>
                      <a:off x="0" y="0"/>
                      <a:ext cx="2133481" cy="1965600"/>
                    </a:xfrm>
                    <a:prstGeom prst="rect">
                      <a:avLst/>
                    </a:prstGeom>
                  </pic:spPr>
                </pic:pic>
              </a:graphicData>
            </a:graphic>
          </wp:inline>
        </w:drawing>
      </w:r>
    </w:p>
    <w:p w14:paraId="3557ED13" w14:textId="77777777" w:rsidR="00920500" w:rsidRPr="00110D6C" w:rsidRDefault="00920500" w:rsidP="00920500">
      <w:pPr>
        <w:widowControl/>
        <w:jc w:val="center"/>
        <w:rPr>
          <w:rFonts w:cs="Times New Roman"/>
          <w:color w:val="auto"/>
          <w:szCs w:val="22"/>
          <w:lang w:val="pt-PT"/>
        </w:rPr>
      </w:pPr>
    </w:p>
    <w:p w14:paraId="092EC0E1" w14:textId="77777777" w:rsidR="0077031F" w:rsidRPr="00110D6C" w:rsidRDefault="00030085" w:rsidP="00920500">
      <w:pPr>
        <w:widowControl/>
        <w:jc w:val="center"/>
        <w:rPr>
          <w:rFonts w:cs="Times New Roman"/>
          <w:color w:val="auto"/>
          <w:szCs w:val="22"/>
          <w:lang w:val="pt-PT"/>
        </w:rPr>
      </w:pPr>
      <w:r w:rsidRPr="00110D6C">
        <w:rPr>
          <w:rFonts w:cs="Times New Roman"/>
          <w:color w:val="auto"/>
          <w:szCs w:val="22"/>
          <w:lang w:val="pt-PT"/>
        </w:rPr>
        <w:t>Figura</w:t>
      </w:r>
      <w:r w:rsidR="00CB5F83" w:rsidRPr="00110D6C">
        <w:rPr>
          <w:rFonts w:cs="Times New Roman"/>
          <w:color w:val="auto"/>
          <w:szCs w:val="22"/>
          <w:lang w:val="pt-PT"/>
        </w:rPr>
        <w:t> </w:t>
      </w:r>
      <w:r w:rsidRPr="00110D6C">
        <w:rPr>
          <w:rFonts w:cs="Times New Roman"/>
          <w:color w:val="auto"/>
          <w:szCs w:val="22"/>
          <w:lang w:val="pt-PT"/>
        </w:rPr>
        <w:t>5</w:t>
      </w:r>
    </w:p>
    <w:p w14:paraId="61AA3C72" w14:textId="77777777" w:rsidR="00920500" w:rsidRPr="00110D6C" w:rsidRDefault="00920500" w:rsidP="00920500">
      <w:pPr>
        <w:widowControl/>
        <w:jc w:val="center"/>
        <w:rPr>
          <w:rFonts w:cs="Times New Roman"/>
          <w:color w:val="auto"/>
          <w:szCs w:val="22"/>
          <w:lang w:val="pt-PT"/>
        </w:rPr>
      </w:pPr>
    </w:p>
    <w:p w14:paraId="5ADDD0E8"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Quando o êmbolo tiver sido empurrado até à posição máxima, continue a fazer pressão na</w:t>
      </w:r>
      <w:r w:rsidR="00920500" w:rsidRPr="00110D6C">
        <w:rPr>
          <w:rFonts w:cs="Times New Roman"/>
          <w:color w:val="auto"/>
          <w:szCs w:val="22"/>
          <w:lang w:val="pt-PT"/>
        </w:rPr>
        <w:t xml:space="preserve"> </w:t>
      </w:r>
      <w:r w:rsidRPr="00110D6C">
        <w:rPr>
          <w:rFonts w:cs="Times New Roman"/>
          <w:color w:val="auto"/>
          <w:szCs w:val="22"/>
          <w:lang w:val="pt-PT"/>
        </w:rPr>
        <w:t>cabeça do êmbolo, retire a agulha da pele (ver</w:t>
      </w:r>
      <w:r w:rsidR="00CB5F83" w:rsidRPr="00110D6C">
        <w:rPr>
          <w:rFonts w:cs="Times New Roman"/>
          <w:color w:val="auto"/>
          <w:szCs w:val="22"/>
          <w:lang w:val="pt-PT"/>
        </w:rPr>
        <w:t> </w:t>
      </w:r>
      <w:r w:rsidRPr="00110D6C">
        <w:rPr>
          <w:rFonts w:cs="Times New Roman"/>
          <w:color w:val="auto"/>
          <w:szCs w:val="22"/>
          <w:lang w:val="pt-PT"/>
        </w:rPr>
        <w:t>Figura</w:t>
      </w:r>
      <w:r w:rsidR="00CB5F83" w:rsidRPr="00110D6C">
        <w:rPr>
          <w:rFonts w:cs="Times New Roman"/>
          <w:color w:val="auto"/>
          <w:szCs w:val="22"/>
          <w:lang w:val="pt-PT"/>
        </w:rPr>
        <w:t> </w:t>
      </w:r>
      <w:r w:rsidRPr="00110D6C">
        <w:rPr>
          <w:rFonts w:cs="Times New Roman"/>
          <w:color w:val="auto"/>
          <w:szCs w:val="22"/>
          <w:lang w:val="pt-PT"/>
        </w:rPr>
        <w:t>6).</w:t>
      </w:r>
    </w:p>
    <w:p w14:paraId="0AA438EA" w14:textId="77777777" w:rsidR="00920500" w:rsidRPr="00110D6C" w:rsidRDefault="00920500" w:rsidP="00920500">
      <w:pPr>
        <w:widowControl/>
        <w:jc w:val="center"/>
        <w:rPr>
          <w:rFonts w:cs="Times New Roman"/>
          <w:color w:val="auto"/>
          <w:szCs w:val="22"/>
          <w:lang w:val="pt-PT"/>
        </w:rPr>
      </w:pPr>
    </w:p>
    <w:p w14:paraId="59281A4F" w14:textId="69CFC073" w:rsidR="0077031F" w:rsidRPr="00110D6C" w:rsidRDefault="009A3897" w:rsidP="00920500">
      <w:pPr>
        <w:widowControl/>
        <w:jc w:val="center"/>
        <w:rPr>
          <w:rFonts w:cs="Times New Roman"/>
          <w:color w:val="auto"/>
          <w:szCs w:val="22"/>
          <w:lang w:val="pt-PT"/>
        </w:rPr>
      </w:pPr>
      <w:r w:rsidRPr="00A9610F">
        <w:rPr>
          <w:noProof/>
          <w:lang w:val="en-GB" w:eastAsia="en-GB"/>
        </w:rPr>
        <w:lastRenderedPageBreak/>
        <w:drawing>
          <wp:inline distT="0" distB="0" distL="0" distR="0" wp14:anchorId="74F6CBAE" wp14:editId="3AF0D8EF">
            <wp:extent cx="2424545" cy="2381869"/>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36370" cy="2393486"/>
                    </a:xfrm>
                    <a:prstGeom prst="rect">
                      <a:avLst/>
                    </a:prstGeom>
                    <a:noFill/>
                  </pic:spPr>
                </pic:pic>
              </a:graphicData>
            </a:graphic>
          </wp:inline>
        </w:drawing>
      </w:r>
    </w:p>
    <w:p w14:paraId="72863677" w14:textId="77777777" w:rsidR="00920500" w:rsidRPr="00110D6C" w:rsidRDefault="00920500" w:rsidP="00920500">
      <w:pPr>
        <w:widowControl/>
        <w:jc w:val="center"/>
        <w:rPr>
          <w:rFonts w:cs="Times New Roman"/>
          <w:color w:val="auto"/>
          <w:szCs w:val="22"/>
          <w:lang w:val="pt-PT"/>
        </w:rPr>
      </w:pPr>
    </w:p>
    <w:p w14:paraId="21E47768" w14:textId="77777777" w:rsidR="0077031F" w:rsidRPr="00110D6C" w:rsidRDefault="00030085" w:rsidP="00920500">
      <w:pPr>
        <w:widowControl/>
        <w:jc w:val="center"/>
        <w:rPr>
          <w:rFonts w:cs="Times New Roman"/>
          <w:color w:val="auto"/>
          <w:szCs w:val="22"/>
          <w:lang w:val="pt-PT"/>
        </w:rPr>
      </w:pPr>
      <w:r w:rsidRPr="00110D6C">
        <w:rPr>
          <w:rFonts w:cs="Times New Roman"/>
          <w:color w:val="auto"/>
          <w:szCs w:val="22"/>
          <w:lang w:val="pt-PT"/>
        </w:rPr>
        <w:t>Figura</w:t>
      </w:r>
      <w:r w:rsidR="00CB5F83" w:rsidRPr="00110D6C">
        <w:rPr>
          <w:rFonts w:cs="Times New Roman"/>
          <w:color w:val="auto"/>
          <w:szCs w:val="22"/>
          <w:lang w:val="pt-PT"/>
        </w:rPr>
        <w:t> </w:t>
      </w:r>
      <w:r w:rsidRPr="00110D6C">
        <w:rPr>
          <w:rFonts w:cs="Times New Roman"/>
          <w:color w:val="auto"/>
          <w:szCs w:val="22"/>
          <w:lang w:val="pt-PT"/>
        </w:rPr>
        <w:t>6</w:t>
      </w:r>
    </w:p>
    <w:p w14:paraId="54C59424" w14:textId="77777777" w:rsidR="00920500" w:rsidRPr="00110D6C" w:rsidRDefault="00920500" w:rsidP="00920500">
      <w:pPr>
        <w:widowControl/>
        <w:jc w:val="center"/>
        <w:rPr>
          <w:rFonts w:cs="Times New Roman"/>
          <w:color w:val="auto"/>
          <w:szCs w:val="22"/>
          <w:lang w:val="pt-PT"/>
        </w:rPr>
      </w:pPr>
    </w:p>
    <w:p w14:paraId="3AD10E3B"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Retire, lentamente, o seu polegar da cabeça do êmbolo para permitir que a seringa vazia se</w:t>
      </w:r>
      <w:r w:rsidR="00920500" w:rsidRPr="00110D6C">
        <w:rPr>
          <w:rFonts w:cs="Times New Roman"/>
          <w:color w:val="auto"/>
          <w:szCs w:val="22"/>
          <w:lang w:val="pt-PT"/>
        </w:rPr>
        <w:t xml:space="preserve"> </w:t>
      </w:r>
      <w:r w:rsidRPr="00110D6C">
        <w:rPr>
          <w:rFonts w:cs="Times New Roman"/>
          <w:color w:val="auto"/>
          <w:szCs w:val="22"/>
          <w:lang w:val="pt-PT"/>
        </w:rPr>
        <w:t>desloque até que toda a agulha esteja coberta pela proteção da agulha, como mostra a Figura</w:t>
      </w:r>
      <w:r w:rsidR="00CB5F83" w:rsidRPr="00110D6C">
        <w:rPr>
          <w:rFonts w:cs="Times New Roman"/>
          <w:color w:val="auto"/>
          <w:szCs w:val="22"/>
          <w:lang w:val="pt-PT"/>
        </w:rPr>
        <w:t> </w:t>
      </w:r>
      <w:r w:rsidRPr="00110D6C">
        <w:rPr>
          <w:rFonts w:cs="Times New Roman"/>
          <w:color w:val="auto"/>
          <w:szCs w:val="22"/>
          <w:lang w:val="pt-PT"/>
        </w:rPr>
        <w:t>7.</w:t>
      </w:r>
    </w:p>
    <w:p w14:paraId="011BCF85" w14:textId="7F3CCB38" w:rsidR="0077031F" w:rsidRPr="00110D6C" w:rsidRDefault="009A3897" w:rsidP="00920500">
      <w:pPr>
        <w:widowControl/>
        <w:jc w:val="center"/>
        <w:rPr>
          <w:rFonts w:cs="Times New Roman"/>
          <w:color w:val="auto"/>
          <w:szCs w:val="22"/>
          <w:lang w:val="pt-PT"/>
        </w:rPr>
      </w:pPr>
      <w:r w:rsidRPr="00A9610F">
        <w:rPr>
          <w:noProof/>
          <w:lang w:val="en-GB" w:eastAsia="en-GB"/>
        </w:rPr>
        <w:drawing>
          <wp:inline distT="0" distB="0" distL="0" distR="0" wp14:anchorId="2BDA22E9" wp14:editId="6A7A102C">
            <wp:extent cx="2646218" cy="2602554"/>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54656" cy="2610853"/>
                    </a:xfrm>
                    <a:prstGeom prst="rect">
                      <a:avLst/>
                    </a:prstGeom>
                    <a:noFill/>
                  </pic:spPr>
                </pic:pic>
              </a:graphicData>
            </a:graphic>
          </wp:inline>
        </w:drawing>
      </w:r>
    </w:p>
    <w:p w14:paraId="22F4CBE1" w14:textId="77777777" w:rsidR="00920500" w:rsidRPr="00110D6C" w:rsidRDefault="00920500" w:rsidP="00920500">
      <w:pPr>
        <w:widowControl/>
        <w:jc w:val="center"/>
        <w:rPr>
          <w:rFonts w:cs="Times New Roman"/>
          <w:color w:val="auto"/>
          <w:szCs w:val="22"/>
          <w:lang w:val="pt-PT"/>
        </w:rPr>
      </w:pPr>
    </w:p>
    <w:p w14:paraId="243E30D0" w14:textId="77777777" w:rsidR="0077031F" w:rsidRPr="00110D6C" w:rsidRDefault="00030085" w:rsidP="00920500">
      <w:pPr>
        <w:widowControl/>
        <w:jc w:val="center"/>
        <w:rPr>
          <w:rFonts w:cs="Times New Roman"/>
          <w:color w:val="auto"/>
          <w:szCs w:val="22"/>
          <w:lang w:val="pt-PT"/>
        </w:rPr>
      </w:pPr>
      <w:r w:rsidRPr="00110D6C">
        <w:rPr>
          <w:rFonts w:cs="Times New Roman"/>
          <w:color w:val="auto"/>
          <w:szCs w:val="22"/>
          <w:lang w:val="pt-PT"/>
        </w:rPr>
        <w:t>Figura</w:t>
      </w:r>
      <w:r w:rsidR="00CB5F83" w:rsidRPr="00110D6C">
        <w:rPr>
          <w:rFonts w:cs="Times New Roman"/>
          <w:color w:val="auto"/>
          <w:szCs w:val="22"/>
          <w:lang w:val="pt-PT"/>
        </w:rPr>
        <w:t> </w:t>
      </w:r>
      <w:r w:rsidRPr="00110D6C">
        <w:rPr>
          <w:rFonts w:cs="Times New Roman"/>
          <w:color w:val="auto"/>
          <w:szCs w:val="22"/>
          <w:lang w:val="pt-PT"/>
        </w:rPr>
        <w:t>7</w:t>
      </w:r>
    </w:p>
    <w:p w14:paraId="00E351C7" w14:textId="77777777" w:rsidR="00920500" w:rsidRPr="00110D6C" w:rsidRDefault="00920500" w:rsidP="00920500">
      <w:pPr>
        <w:widowControl/>
        <w:rPr>
          <w:rFonts w:cs="Times New Roman"/>
          <w:color w:val="auto"/>
          <w:szCs w:val="22"/>
          <w:lang w:val="pt-PT"/>
        </w:rPr>
      </w:pPr>
    </w:p>
    <w:p w14:paraId="2BC4EF96" w14:textId="77777777" w:rsidR="00920500" w:rsidRPr="00110D6C" w:rsidRDefault="00920500" w:rsidP="00920500">
      <w:pPr>
        <w:widowControl/>
        <w:rPr>
          <w:rFonts w:cs="Times New Roman"/>
          <w:color w:val="auto"/>
          <w:szCs w:val="22"/>
          <w:lang w:val="pt-PT"/>
        </w:rPr>
      </w:pPr>
    </w:p>
    <w:p w14:paraId="3D2816BC" w14:textId="712702CA" w:rsidR="0077031F" w:rsidRDefault="00CB5F83" w:rsidP="00A17623">
      <w:pPr>
        <w:widowControl/>
        <w:ind w:left="567" w:hanging="567"/>
        <w:rPr>
          <w:rFonts w:cs="Times New Roman"/>
          <w:b/>
          <w:bCs/>
          <w:color w:val="auto"/>
          <w:szCs w:val="22"/>
          <w:lang w:val="pt-PT"/>
        </w:rPr>
      </w:pPr>
      <w:bookmarkStart w:id="251" w:name="bookmark418"/>
      <w:r w:rsidRPr="00110D6C">
        <w:rPr>
          <w:rFonts w:cs="Times New Roman"/>
          <w:b/>
          <w:bCs/>
          <w:color w:val="auto"/>
          <w:szCs w:val="22"/>
          <w:lang w:val="pt-PT"/>
        </w:rPr>
        <w:t>5.</w:t>
      </w:r>
      <w:r w:rsidR="009A3897">
        <w:rPr>
          <w:rFonts w:cs="Times New Roman"/>
          <w:b/>
          <w:bCs/>
          <w:color w:val="auto"/>
          <w:szCs w:val="22"/>
          <w:lang w:val="pt-PT"/>
        </w:rPr>
        <w:tab/>
      </w:r>
      <w:r w:rsidR="00030085" w:rsidRPr="00110D6C">
        <w:rPr>
          <w:rFonts w:cs="Times New Roman"/>
          <w:b/>
          <w:bCs/>
          <w:color w:val="auto"/>
          <w:szCs w:val="22"/>
          <w:lang w:val="pt-PT"/>
        </w:rPr>
        <w:t>Após a injeção:</w:t>
      </w:r>
      <w:bookmarkEnd w:id="251"/>
    </w:p>
    <w:p w14:paraId="2DF84666" w14:textId="77777777" w:rsidR="0060317A" w:rsidRPr="00110D6C" w:rsidRDefault="0060317A" w:rsidP="00A17623">
      <w:pPr>
        <w:widowControl/>
        <w:ind w:left="567" w:hanging="567"/>
        <w:rPr>
          <w:rFonts w:cs="Times New Roman"/>
          <w:color w:val="auto"/>
          <w:szCs w:val="22"/>
          <w:lang w:val="pt-PT"/>
        </w:rPr>
      </w:pPr>
    </w:p>
    <w:p w14:paraId="45FD11B3"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Pressione o local de injeção com um toalhete antisséptico durante alguns segundos após a</w:t>
      </w:r>
      <w:r w:rsidR="00920500" w:rsidRPr="00110D6C">
        <w:rPr>
          <w:rFonts w:cs="Times New Roman"/>
          <w:color w:val="auto"/>
          <w:szCs w:val="22"/>
          <w:lang w:val="pt-PT"/>
        </w:rPr>
        <w:t xml:space="preserve"> </w:t>
      </w:r>
      <w:r w:rsidRPr="00110D6C">
        <w:rPr>
          <w:rFonts w:cs="Times New Roman"/>
          <w:color w:val="auto"/>
          <w:szCs w:val="22"/>
          <w:lang w:val="pt-PT"/>
        </w:rPr>
        <w:t>injeção.</w:t>
      </w:r>
    </w:p>
    <w:p w14:paraId="189CCCFB"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Pode existir uma pequena quantidade de sangue ou líquido no local de injeção. Isto é normal.</w:t>
      </w:r>
    </w:p>
    <w:p w14:paraId="52708190"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Pode pressionar o local de injeção com uma bola de algodão ou gaze durante 1</w:t>
      </w:r>
      <w:r w:rsidR="00B910F9" w:rsidRPr="00110D6C">
        <w:rPr>
          <w:rFonts w:cs="Times New Roman"/>
          <w:color w:val="auto"/>
          <w:szCs w:val="22"/>
          <w:lang w:val="pt-PT"/>
        </w:rPr>
        <w:t>0 </w:t>
      </w:r>
      <w:r w:rsidRPr="00110D6C">
        <w:rPr>
          <w:rFonts w:cs="Times New Roman"/>
          <w:color w:val="auto"/>
          <w:szCs w:val="22"/>
          <w:lang w:val="pt-PT"/>
        </w:rPr>
        <w:t>segundos.</w:t>
      </w:r>
    </w:p>
    <w:p w14:paraId="41275CFC"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Não esfregue a pele no local de injeção. Pode cobrir o local de injeção com uma pequena banda</w:t>
      </w:r>
      <w:r w:rsidR="00920500" w:rsidRPr="00110D6C">
        <w:rPr>
          <w:rFonts w:cs="Times New Roman"/>
          <w:color w:val="auto"/>
          <w:szCs w:val="22"/>
          <w:lang w:val="pt-PT"/>
        </w:rPr>
        <w:t xml:space="preserve"> </w:t>
      </w:r>
      <w:r w:rsidRPr="00110D6C">
        <w:rPr>
          <w:rFonts w:cs="Times New Roman"/>
          <w:color w:val="auto"/>
          <w:szCs w:val="22"/>
          <w:lang w:val="pt-PT"/>
        </w:rPr>
        <w:t>de adesivo, se necessário.</w:t>
      </w:r>
    </w:p>
    <w:p w14:paraId="1E270A10" w14:textId="77777777" w:rsidR="00920500" w:rsidRPr="00110D6C" w:rsidRDefault="00920500" w:rsidP="00A17623">
      <w:pPr>
        <w:widowControl/>
        <w:ind w:left="567" w:hanging="567"/>
        <w:rPr>
          <w:rFonts w:cs="Times New Roman"/>
          <w:bCs/>
          <w:color w:val="auto"/>
          <w:szCs w:val="22"/>
          <w:lang w:val="pt-PT"/>
        </w:rPr>
      </w:pPr>
      <w:bookmarkStart w:id="252" w:name="bookmark420"/>
    </w:p>
    <w:p w14:paraId="5AB9CB79" w14:textId="77777777" w:rsidR="00920500" w:rsidRPr="00110D6C" w:rsidRDefault="00920500" w:rsidP="00A17623">
      <w:pPr>
        <w:widowControl/>
        <w:ind w:left="567" w:hanging="567"/>
        <w:rPr>
          <w:rFonts w:cs="Times New Roman"/>
          <w:bCs/>
          <w:color w:val="auto"/>
          <w:szCs w:val="22"/>
          <w:lang w:val="pt-PT"/>
        </w:rPr>
      </w:pPr>
    </w:p>
    <w:p w14:paraId="24BFBB9F" w14:textId="42B073C9" w:rsidR="0077031F" w:rsidRDefault="00CB5F83" w:rsidP="00A17623">
      <w:pPr>
        <w:widowControl/>
        <w:ind w:left="567" w:hanging="567"/>
        <w:rPr>
          <w:rFonts w:cs="Times New Roman"/>
          <w:b/>
          <w:bCs/>
          <w:color w:val="auto"/>
          <w:szCs w:val="22"/>
          <w:lang w:val="pt-PT"/>
        </w:rPr>
      </w:pPr>
      <w:r w:rsidRPr="00110D6C">
        <w:rPr>
          <w:rFonts w:cs="Times New Roman"/>
          <w:b/>
          <w:bCs/>
          <w:color w:val="auto"/>
          <w:szCs w:val="22"/>
          <w:lang w:val="pt-PT"/>
        </w:rPr>
        <w:t>6.</w:t>
      </w:r>
      <w:r w:rsidR="009A3897">
        <w:rPr>
          <w:rFonts w:cs="Times New Roman"/>
          <w:b/>
          <w:bCs/>
          <w:color w:val="auto"/>
          <w:szCs w:val="22"/>
          <w:lang w:val="pt-PT"/>
        </w:rPr>
        <w:tab/>
      </w:r>
      <w:r w:rsidR="00030085" w:rsidRPr="00110D6C">
        <w:rPr>
          <w:rFonts w:cs="Times New Roman"/>
          <w:b/>
          <w:bCs/>
          <w:color w:val="auto"/>
          <w:szCs w:val="22"/>
          <w:lang w:val="pt-PT"/>
        </w:rPr>
        <w:t>Eliminação:</w:t>
      </w:r>
      <w:bookmarkEnd w:id="252"/>
    </w:p>
    <w:p w14:paraId="10591296" w14:textId="77777777" w:rsidR="0060317A" w:rsidRPr="00110D6C" w:rsidRDefault="0060317A" w:rsidP="00A17623">
      <w:pPr>
        <w:widowControl/>
        <w:ind w:left="567" w:hanging="567"/>
        <w:rPr>
          <w:rFonts w:cs="Times New Roman"/>
          <w:color w:val="auto"/>
          <w:szCs w:val="22"/>
          <w:lang w:val="pt-PT"/>
        </w:rPr>
      </w:pPr>
    </w:p>
    <w:p w14:paraId="6A8D945B"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As seringas usadas devem ser colocadas num recipiente resistente a perfurações, como por</w:t>
      </w:r>
      <w:r w:rsidR="00920500" w:rsidRPr="00110D6C">
        <w:rPr>
          <w:rFonts w:cs="Times New Roman"/>
          <w:color w:val="auto"/>
          <w:szCs w:val="22"/>
          <w:lang w:val="pt-PT"/>
        </w:rPr>
        <w:t xml:space="preserve"> </w:t>
      </w:r>
      <w:r w:rsidRPr="00110D6C">
        <w:rPr>
          <w:rFonts w:cs="Times New Roman"/>
          <w:color w:val="auto"/>
          <w:szCs w:val="22"/>
          <w:lang w:val="pt-PT"/>
        </w:rPr>
        <w:t>exemplo contentores para objetos cortantes (ver Figura 8). Para a sua segurança e saúde e para a segurança dos outros, nunca reutilize seringas. A eliminação dos contentores para objetos cortantes é efetuada de acordo com os requisitos locais.</w:t>
      </w:r>
    </w:p>
    <w:p w14:paraId="54815FD8" w14:textId="77777777" w:rsidR="0077031F" w:rsidRPr="00110D6C" w:rsidRDefault="00030085" w:rsidP="00D74B6E">
      <w:pPr>
        <w:pStyle w:val="Listenabsatz"/>
        <w:widowControl/>
        <w:numPr>
          <w:ilvl w:val="0"/>
          <w:numId w:val="20"/>
        </w:numPr>
        <w:ind w:left="567" w:hanging="567"/>
        <w:rPr>
          <w:rFonts w:cs="Times New Roman"/>
          <w:color w:val="auto"/>
          <w:szCs w:val="22"/>
          <w:lang w:val="pt-PT"/>
        </w:rPr>
      </w:pPr>
      <w:r w:rsidRPr="00110D6C">
        <w:rPr>
          <w:rFonts w:cs="Times New Roman"/>
          <w:color w:val="auto"/>
          <w:szCs w:val="22"/>
          <w:lang w:val="pt-PT"/>
        </w:rPr>
        <w:t>Toalhetes antissépticos e outros aprovisionamentos podem ser eliminados no lixo doméstico.</w:t>
      </w:r>
    </w:p>
    <w:p w14:paraId="0246B3D2" w14:textId="77777777" w:rsidR="00920500" w:rsidRPr="00110D6C" w:rsidRDefault="00920500" w:rsidP="00920500">
      <w:pPr>
        <w:widowControl/>
        <w:jc w:val="center"/>
        <w:rPr>
          <w:rFonts w:cs="Times New Roman"/>
          <w:color w:val="auto"/>
          <w:szCs w:val="22"/>
          <w:lang w:val="pt-PT"/>
        </w:rPr>
      </w:pPr>
    </w:p>
    <w:p w14:paraId="6D6D244D" w14:textId="333826E2" w:rsidR="0077031F" w:rsidRPr="00110D6C" w:rsidRDefault="00133412" w:rsidP="00920500">
      <w:pPr>
        <w:widowControl/>
        <w:jc w:val="center"/>
        <w:rPr>
          <w:rFonts w:cs="Times New Roman"/>
          <w:color w:val="auto"/>
          <w:szCs w:val="22"/>
          <w:lang w:val="pt-PT"/>
        </w:rPr>
      </w:pPr>
      <w:r>
        <w:rPr>
          <w:noProof/>
        </w:rPr>
        <mc:AlternateContent>
          <mc:Choice Requires="wps">
            <w:drawing>
              <wp:anchor distT="45720" distB="45720" distL="114300" distR="114300" simplePos="0" relativeHeight="251685888" behindDoc="0" locked="0" layoutInCell="1" allowOverlap="1" wp14:anchorId="340B17D1" wp14:editId="7D835A9D">
                <wp:simplePos x="0" y="0"/>
                <wp:positionH relativeFrom="margin">
                  <wp:posOffset>2954655</wp:posOffset>
                </wp:positionH>
                <wp:positionV relativeFrom="paragraph">
                  <wp:posOffset>2527935</wp:posOffset>
                </wp:positionV>
                <wp:extent cx="1129665" cy="305435"/>
                <wp:effectExtent l="0" t="0" r="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665" cy="305435"/>
                        </a:xfrm>
                        <a:prstGeom prst="rect">
                          <a:avLst/>
                        </a:prstGeom>
                        <a:noFill/>
                        <a:ln w="9525">
                          <a:noFill/>
                          <a:miter lim="800000"/>
                          <a:headEnd/>
                          <a:tailEnd/>
                        </a:ln>
                      </wps:spPr>
                      <wps:txbx>
                        <w:txbxContent>
                          <w:p w14:paraId="6D1CF75F" w14:textId="6C563B08" w:rsidR="009C3A83" w:rsidRDefault="009C3A83" w:rsidP="004A2381">
                            <w:pPr>
                              <w:jc w:val="center"/>
                              <w:rPr>
                                <w:rFonts w:asciiTheme="minorBidi" w:hAnsiTheme="minorBidi" w:cstheme="minorBidi"/>
                                <w:b/>
                                <w:bCs/>
                                <w:sz w:val="12"/>
                                <w:szCs w:val="12"/>
                              </w:rPr>
                            </w:pPr>
                            <w:r>
                              <w:rPr>
                                <w:rFonts w:asciiTheme="minorBidi" w:hAnsiTheme="minorBidi" w:cstheme="minorBidi"/>
                                <w:b/>
                                <w:bCs/>
                                <w:sz w:val="12"/>
                                <w:szCs w:val="12"/>
                              </w:rPr>
                              <w:t>RISCO</w:t>
                            </w:r>
                          </w:p>
                          <w:p w14:paraId="480C38C3" w14:textId="0B76F18A" w:rsidR="009C3A83" w:rsidRPr="00C1147E" w:rsidRDefault="009C3A83" w:rsidP="004A2381">
                            <w:pPr>
                              <w:jc w:val="center"/>
                              <w:rPr>
                                <w:rFonts w:asciiTheme="minorBidi" w:hAnsiTheme="minorBidi" w:cstheme="minorBidi"/>
                                <w:b/>
                                <w:bCs/>
                                <w:sz w:val="12"/>
                                <w:szCs w:val="12"/>
                              </w:rPr>
                            </w:pPr>
                            <w:r>
                              <w:rPr>
                                <w:rFonts w:asciiTheme="minorBidi" w:hAnsiTheme="minorBidi" w:cstheme="minorBidi"/>
                                <w:b/>
                                <w:bCs/>
                                <w:sz w:val="12"/>
                                <w:szCs w:val="12"/>
                              </w:rPr>
                              <w:t>BIOLÓGICO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40B17D1" id="Caixa de texto 1" o:spid="_x0000_s1047" type="#_x0000_t202" style="position:absolute;left:0;text-align:left;margin-left:232.65pt;margin-top:199.05pt;width:88.95pt;height:24.0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" filled="f" stroked="f">
                <v:textbox inset="0,0,0,0">
                  <w:txbxContent>
                    <w:p w14:paraId="6D1CF75F" w14:textId="6C563B08" w:rsidR="009C3A83" w:rsidRDefault="009C3A83" w:rsidP="004A2381">
                      <w:pPr>
                        <w:jc w:val="center"/>
                        <w:rPr>
                          <w:rFonts w:asciiTheme="minorBidi" w:hAnsiTheme="minorBidi" w:cstheme="minorBidi"/>
                          <w:b/>
                          <w:bCs/>
                          <w:sz w:val="12"/>
                          <w:szCs w:val="12"/>
                        </w:rPr>
                      </w:pPr>
                      <w:r>
                        <w:rPr>
                          <w:rFonts w:asciiTheme="minorBidi" w:hAnsiTheme="minorBidi" w:cstheme="minorBidi"/>
                          <w:b/>
                          <w:bCs/>
                          <w:sz w:val="12"/>
                          <w:szCs w:val="12"/>
                        </w:rPr>
                        <w:t>RISCO</w:t>
                      </w:r>
                    </w:p>
                    <w:p w14:paraId="480C38C3" w14:textId="0B76F18A" w:rsidR="009C3A83" w:rsidRPr="00C1147E" w:rsidRDefault="009C3A83" w:rsidP="004A2381">
                      <w:pPr>
                        <w:jc w:val="center"/>
                        <w:rPr>
                          <w:rFonts w:asciiTheme="minorBidi" w:hAnsiTheme="minorBidi" w:cstheme="minorBidi"/>
                          <w:b/>
                          <w:bCs/>
                          <w:sz w:val="12"/>
                          <w:szCs w:val="12"/>
                        </w:rPr>
                      </w:pPr>
                      <w:r>
                        <w:rPr>
                          <w:rFonts w:asciiTheme="minorBidi" w:hAnsiTheme="minorBidi" w:cstheme="minorBidi"/>
                          <w:b/>
                          <w:bCs/>
                          <w:sz w:val="12"/>
                          <w:szCs w:val="12"/>
                        </w:rPr>
                        <w:t>BIOLÓGICO</w:t>
                      </w:r>
                    </w:p>
                  </w:txbxContent>
                </v:textbox>
                <w10:wrap anchorx="margin"/>
              </v:shape>
            </w:pict>
          </mc:Fallback>
        </mc:AlternateContent>
      </w:r>
      <w:r w:rsidR="009A3897">
        <w:rPr>
          <w:bCs/>
          <w:noProof/>
        </w:rPr>
        <w:drawing>
          <wp:inline distT="0" distB="0" distL="0" distR="0" wp14:anchorId="35C829E7" wp14:editId="5AFC606D">
            <wp:extent cx="2728959" cy="3204000"/>
            <wp:effectExtent l="0" t="0" r="0" b="0"/>
            <wp:docPr id="133" name="Grafi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F_3.png"/>
                    <pic:cNvPicPr/>
                  </pic:nvPicPr>
                  <pic:blipFill>
                    <a:blip r:embed="rId27">
                      <a:extLst>
                        <a:ext uri="{28A0092B-C50C-407E-A947-70E740481C1C}">
                          <a14:useLocalDpi xmlns:a14="http://schemas.microsoft.com/office/drawing/2010/main" val="0"/>
                        </a:ext>
                      </a:extLst>
                    </a:blip>
                    <a:stretch>
                      <a:fillRect/>
                    </a:stretch>
                  </pic:blipFill>
                  <pic:spPr>
                    <a:xfrm>
                      <a:off x="0" y="0"/>
                      <a:ext cx="2728959" cy="3204000"/>
                    </a:xfrm>
                    <a:prstGeom prst="rect">
                      <a:avLst/>
                    </a:prstGeom>
                  </pic:spPr>
                </pic:pic>
              </a:graphicData>
            </a:graphic>
          </wp:inline>
        </w:drawing>
      </w:r>
    </w:p>
    <w:p w14:paraId="0F1693D7" w14:textId="77777777" w:rsidR="00920500" w:rsidRPr="00110D6C" w:rsidRDefault="00920500" w:rsidP="00920500">
      <w:pPr>
        <w:widowControl/>
        <w:jc w:val="center"/>
        <w:rPr>
          <w:rFonts w:cs="Times New Roman"/>
          <w:color w:val="auto"/>
          <w:szCs w:val="22"/>
          <w:lang w:val="pt-PT"/>
        </w:rPr>
      </w:pPr>
    </w:p>
    <w:p w14:paraId="70325EDE" w14:textId="0ADD2167" w:rsidR="00596730" w:rsidRDefault="00030085" w:rsidP="00920500">
      <w:pPr>
        <w:widowControl/>
        <w:jc w:val="center"/>
        <w:rPr>
          <w:rFonts w:cs="Times New Roman"/>
          <w:color w:val="auto"/>
          <w:szCs w:val="22"/>
          <w:lang w:val="pt-PT"/>
        </w:rPr>
      </w:pPr>
      <w:r w:rsidRPr="00110D6C">
        <w:rPr>
          <w:rFonts w:cs="Times New Roman"/>
          <w:color w:val="auto"/>
          <w:szCs w:val="22"/>
          <w:lang w:val="pt-PT"/>
        </w:rPr>
        <w:t>Figura</w:t>
      </w:r>
      <w:r w:rsidR="00CB5F83" w:rsidRPr="00110D6C">
        <w:rPr>
          <w:rFonts w:cs="Times New Roman"/>
          <w:color w:val="auto"/>
          <w:szCs w:val="22"/>
          <w:lang w:val="pt-PT"/>
        </w:rPr>
        <w:t> </w:t>
      </w:r>
      <w:r w:rsidRPr="00110D6C">
        <w:rPr>
          <w:rFonts w:cs="Times New Roman"/>
          <w:color w:val="auto"/>
          <w:szCs w:val="22"/>
          <w:lang w:val="pt-PT"/>
        </w:rPr>
        <w:t>8</w:t>
      </w:r>
    </w:p>
    <w:p w14:paraId="56AB7610" w14:textId="73017503" w:rsidR="0077031F" w:rsidRPr="00596730" w:rsidRDefault="0077031F" w:rsidP="00596730">
      <w:pPr>
        <w:widowControl/>
        <w:rPr>
          <w:rFonts w:cs="Times New Roman"/>
          <w:color w:val="auto"/>
          <w:szCs w:val="22"/>
          <w:lang w:val="pt-PT"/>
        </w:rPr>
      </w:pPr>
    </w:p>
    <w:sectPr w:rsidR="0077031F" w:rsidRPr="00596730" w:rsidSect="00B910F9">
      <w:footerReference w:type="default" r:id="rId35"/>
      <w:pgSz w:w="11906" w:h="16840"/>
      <w:pgMar w:top="1134" w:right="1417" w:bottom="1134" w:left="1417"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084E50" w14:textId="77777777" w:rsidR="0026187D" w:rsidRDefault="0026187D" w:rsidP="0077031F">
      <w:r>
        <w:separator/>
      </w:r>
    </w:p>
  </w:endnote>
  <w:endnote w:type="continuationSeparator" w:id="0">
    <w:p w14:paraId="06F44A7C" w14:textId="77777777" w:rsidR="0026187D" w:rsidRDefault="0026187D" w:rsidP="00770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E5C62" w14:textId="77777777" w:rsidR="009C3A83" w:rsidRPr="00E9507C" w:rsidRDefault="009C3A83" w:rsidP="00E9507C">
    <w:pPr>
      <w:pStyle w:val="Fuzeile"/>
      <w:jc w:val="center"/>
      <w:rPr>
        <w:rFonts w:ascii="Arial" w:hAnsi="Arial" w:cs="Arial"/>
        <w:sz w:val="16"/>
        <w:szCs w:val="16"/>
      </w:rPr>
    </w:pPr>
    <w:r w:rsidRPr="00E9507C">
      <w:rPr>
        <w:rFonts w:ascii="Arial" w:hAnsi="Arial" w:cs="Arial"/>
        <w:sz w:val="16"/>
        <w:szCs w:val="16"/>
      </w:rPr>
      <w:fldChar w:fldCharType="begin"/>
    </w:r>
    <w:r w:rsidRPr="00E9507C">
      <w:rPr>
        <w:rFonts w:ascii="Arial" w:hAnsi="Arial" w:cs="Arial"/>
        <w:sz w:val="16"/>
        <w:szCs w:val="16"/>
      </w:rPr>
      <w:instrText xml:space="preserve"> PAGE   \* MERGEFORMAT </w:instrText>
    </w:r>
    <w:r w:rsidRPr="00E9507C">
      <w:rPr>
        <w:rFonts w:ascii="Arial" w:hAnsi="Arial" w:cs="Arial"/>
        <w:sz w:val="16"/>
        <w:szCs w:val="16"/>
      </w:rPr>
      <w:fldChar w:fldCharType="separate"/>
    </w:r>
    <w:r>
      <w:rPr>
        <w:rFonts w:ascii="Arial" w:hAnsi="Arial" w:cs="Arial"/>
        <w:noProof/>
        <w:sz w:val="16"/>
        <w:szCs w:val="16"/>
      </w:rPr>
      <w:t>61</w:t>
    </w:r>
    <w:r w:rsidRPr="00E9507C">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B8CC84" w14:textId="77777777" w:rsidR="0026187D" w:rsidRDefault="0026187D"/>
  </w:footnote>
  <w:footnote w:type="continuationSeparator" w:id="0">
    <w:p w14:paraId="40893E79" w14:textId="77777777" w:rsidR="0026187D" w:rsidRDefault="002618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83273340" o:spid="_x0000_i1026" type="#_x0000_t75" alt="BT_1000x858px" style="width:15.6pt;height:13.2pt;visibility:visible;mso-wrap-style:square" o:bullet="t">
        <v:imagedata r:id="rId1" o:title="BT_1000x858px"/>
      </v:shape>
    </w:pict>
  </w:numPicBullet>
  <w:abstractNum w:abstractNumId="0" w15:restartNumberingAfterBreak="0">
    <w:nsid w:val="00D63F7C"/>
    <w:multiLevelType w:val="hybridMultilevel"/>
    <w:tmpl w:val="F782E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0921CA"/>
    <w:multiLevelType w:val="hybridMultilevel"/>
    <w:tmpl w:val="F50EB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ED6EA9"/>
    <w:multiLevelType w:val="hybridMultilevel"/>
    <w:tmpl w:val="19566CF8"/>
    <w:lvl w:ilvl="0" w:tplc="BD8E7AA4">
      <w:start w:val="1"/>
      <w:numFmt w:val="decimal"/>
      <w:lvlText w:val="%1."/>
      <w:lvlJc w:val="left"/>
      <w:pPr>
        <w:ind w:left="930" w:hanging="360"/>
      </w:pPr>
      <w:rPr>
        <w:rFonts w:hint="default"/>
      </w:rPr>
    </w:lvl>
    <w:lvl w:ilvl="1" w:tplc="04090001">
      <w:start w:val="1"/>
      <w:numFmt w:val="bullet"/>
      <w:lvlText w:val=""/>
      <w:lvlJc w:val="left"/>
      <w:pPr>
        <w:ind w:left="1650" w:hanging="360"/>
      </w:pPr>
      <w:rPr>
        <w:rFonts w:ascii="Symbol" w:hAnsi="Symbol" w:hint="default"/>
      </w:rPr>
    </w:lvl>
    <w:lvl w:ilvl="2" w:tplc="0816001B" w:tentative="1">
      <w:start w:val="1"/>
      <w:numFmt w:val="lowerRoman"/>
      <w:lvlText w:val="%3."/>
      <w:lvlJc w:val="right"/>
      <w:pPr>
        <w:ind w:left="2370" w:hanging="180"/>
      </w:pPr>
    </w:lvl>
    <w:lvl w:ilvl="3" w:tplc="0816000F" w:tentative="1">
      <w:start w:val="1"/>
      <w:numFmt w:val="decimal"/>
      <w:lvlText w:val="%4."/>
      <w:lvlJc w:val="left"/>
      <w:pPr>
        <w:ind w:left="3090" w:hanging="360"/>
      </w:pPr>
    </w:lvl>
    <w:lvl w:ilvl="4" w:tplc="08160019" w:tentative="1">
      <w:start w:val="1"/>
      <w:numFmt w:val="lowerLetter"/>
      <w:lvlText w:val="%5."/>
      <w:lvlJc w:val="left"/>
      <w:pPr>
        <w:ind w:left="3810" w:hanging="360"/>
      </w:pPr>
    </w:lvl>
    <w:lvl w:ilvl="5" w:tplc="0816001B" w:tentative="1">
      <w:start w:val="1"/>
      <w:numFmt w:val="lowerRoman"/>
      <w:lvlText w:val="%6."/>
      <w:lvlJc w:val="right"/>
      <w:pPr>
        <w:ind w:left="4530" w:hanging="180"/>
      </w:pPr>
    </w:lvl>
    <w:lvl w:ilvl="6" w:tplc="0816000F" w:tentative="1">
      <w:start w:val="1"/>
      <w:numFmt w:val="decimal"/>
      <w:lvlText w:val="%7."/>
      <w:lvlJc w:val="left"/>
      <w:pPr>
        <w:ind w:left="5250" w:hanging="360"/>
      </w:pPr>
    </w:lvl>
    <w:lvl w:ilvl="7" w:tplc="08160019" w:tentative="1">
      <w:start w:val="1"/>
      <w:numFmt w:val="lowerLetter"/>
      <w:lvlText w:val="%8."/>
      <w:lvlJc w:val="left"/>
      <w:pPr>
        <w:ind w:left="5970" w:hanging="360"/>
      </w:pPr>
    </w:lvl>
    <w:lvl w:ilvl="8" w:tplc="0816001B" w:tentative="1">
      <w:start w:val="1"/>
      <w:numFmt w:val="lowerRoman"/>
      <w:lvlText w:val="%9."/>
      <w:lvlJc w:val="right"/>
      <w:pPr>
        <w:ind w:left="6690" w:hanging="180"/>
      </w:pPr>
    </w:lvl>
  </w:abstractNum>
  <w:abstractNum w:abstractNumId="3" w15:restartNumberingAfterBreak="0">
    <w:nsid w:val="155F1BD1"/>
    <w:multiLevelType w:val="hybridMultilevel"/>
    <w:tmpl w:val="17D2192E"/>
    <w:lvl w:ilvl="0" w:tplc="4E9C3B8E">
      <w:start w:val="1"/>
      <w:numFmt w:val="decimal"/>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15C84D6F"/>
    <w:multiLevelType w:val="hybridMultilevel"/>
    <w:tmpl w:val="A16AE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6E6BC9"/>
    <w:multiLevelType w:val="hybridMultilevel"/>
    <w:tmpl w:val="E7C8A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C417C4"/>
    <w:multiLevelType w:val="hybridMultilevel"/>
    <w:tmpl w:val="4EBAA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C16FEC"/>
    <w:multiLevelType w:val="hybridMultilevel"/>
    <w:tmpl w:val="14B23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C76856"/>
    <w:multiLevelType w:val="hybridMultilevel"/>
    <w:tmpl w:val="D36A328A"/>
    <w:lvl w:ilvl="0" w:tplc="A8B837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A6724D"/>
    <w:multiLevelType w:val="hybridMultilevel"/>
    <w:tmpl w:val="93549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4B4E84"/>
    <w:multiLevelType w:val="hybridMultilevel"/>
    <w:tmpl w:val="C70CD5A0"/>
    <w:lvl w:ilvl="0" w:tplc="A8B837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21474A"/>
    <w:multiLevelType w:val="hybridMultilevel"/>
    <w:tmpl w:val="4D66D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7574F8"/>
    <w:multiLevelType w:val="hybridMultilevel"/>
    <w:tmpl w:val="2D2EB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7724BB"/>
    <w:multiLevelType w:val="hybridMultilevel"/>
    <w:tmpl w:val="9014B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5832A4"/>
    <w:multiLevelType w:val="hybridMultilevel"/>
    <w:tmpl w:val="E7BCD644"/>
    <w:lvl w:ilvl="0" w:tplc="AF12C324">
      <w:start w:val="1"/>
      <w:numFmt w:val="decimal"/>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61F304CD"/>
    <w:multiLevelType w:val="hybridMultilevel"/>
    <w:tmpl w:val="4828A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1502B7"/>
    <w:multiLevelType w:val="hybridMultilevel"/>
    <w:tmpl w:val="93884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D23FAE"/>
    <w:multiLevelType w:val="hybridMultilevel"/>
    <w:tmpl w:val="584CB698"/>
    <w:lvl w:ilvl="0" w:tplc="162C0B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B416D6"/>
    <w:multiLevelType w:val="hybridMultilevel"/>
    <w:tmpl w:val="74C2A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1A28CC"/>
    <w:multiLevelType w:val="hybridMultilevel"/>
    <w:tmpl w:val="9092C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B347AE"/>
    <w:multiLevelType w:val="hybridMultilevel"/>
    <w:tmpl w:val="2EB2D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A6664A"/>
    <w:multiLevelType w:val="hybridMultilevel"/>
    <w:tmpl w:val="DED8B08E"/>
    <w:lvl w:ilvl="0" w:tplc="A8B837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5B7B75"/>
    <w:multiLevelType w:val="hybridMultilevel"/>
    <w:tmpl w:val="8F1A7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10"/>
  </w:num>
  <w:num w:numId="4">
    <w:abstractNumId w:val="1"/>
  </w:num>
  <w:num w:numId="5">
    <w:abstractNumId w:val="16"/>
  </w:num>
  <w:num w:numId="6">
    <w:abstractNumId w:val="6"/>
  </w:num>
  <w:num w:numId="7">
    <w:abstractNumId w:val="7"/>
  </w:num>
  <w:num w:numId="8">
    <w:abstractNumId w:val="8"/>
  </w:num>
  <w:num w:numId="9">
    <w:abstractNumId w:val="12"/>
  </w:num>
  <w:num w:numId="10">
    <w:abstractNumId w:val="11"/>
  </w:num>
  <w:num w:numId="11">
    <w:abstractNumId w:val="0"/>
  </w:num>
  <w:num w:numId="12">
    <w:abstractNumId w:val="9"/>
  </w:num>
  <w:num w:numId="13">
    <w:abstractNumId w:val="22"/>
  </w:num>
  <w:num w:numId="14">
    <w:abstractNumId w:val="13"/>
  </w:num>
  <w:num w:numId="15">
    <w:abstractNumId w:val="21"/>
  </w:num>
  <w:num w:numId="16">
    <w:abstractNumId w:val="4"/>
  </w:num>
  <w:num w:numId="17">
    <w:abstractNumId w:val="20"/>
  </w:num>
  <w:num w:numId="18">
    <w:abstractNumId w:val="18"/>
  </w:num>
  <w:num w:numId="19">
    <w:abstractNumId w:val="17"/>
  </w:num>
  <w:num w:numId="20">
    <w:abstractNumId w:val="15"/>
  </w:num>
  <w:num w:numId="21">
    <w:abstractNumId w:val="3"/>
  </w:num>
  <w:num w:numId="22">
    <w:abstractNumId w:val="14"/>
  </w:num>
  <w:num w:numId="23">
    <w:abstractNumId w:val="2"/>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trackedChanges" w:enforcement="0"/>
  <w:defaultTabStop w:val="567"/>
  <w:hyphenationZone w:val="425"/>
  <w:drawingGridHorizontalSpacing w:val="11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31F"/>
    <w:rsid w:val="00020149"/>
    <w:rsid w:val="00023B56"/>
    <w:rsid w:val="00030085"/>
    <w:rsid w:val="0003213A"/>
    <w:rsid w:val="00037D45"/>
    <w:rsid w:val="00042A65"/>
    <w:rsid w:val="00043C2E"/>
    <w:rsid w:val="00045F6A"/>
    <w:rsid w:val="00053F8C"/>
    <w:rsid w:val="00056B50"/>
    <w:rsid w:val="00084DEF"/>
    <w:rsid w:val="000B11F8"/>
    <w:rsid w:val="000E568D"/>
    <w:rsid w:val="00110882"/>
    <w:rsid w:val="00110D6C"/>
    <w:rsid w:val="0011378A"/>
    <w:rsid w:val="00133412"/>
    <w:rsid w:val="00144004"/>
    <w:rsid w:val="001452E7"/>
    <w:rsid w:val="00162A5F"/>
    <w:rsid w:val="001738CD"/>
    <w:rsid w:val="001763E6"/>
    <w:rsid w:val="00192EA3"/>
    <w:rsid w:val="001E646E"/>
    <w:rsid w:val="001F5180"/>
    <w:rsid w:val="001F6CEF"/>
    <w:rsid w:val="00203E85"/>
    <w:rsid w:val="002057DA"/>
    <w:rsid w:val="0026187D"/>
    <w:rsid w:val="00272769"/>
    <w:rsid w:val="00277492"/>
    <w:rsid w:val="00287AC2"/>
    <w:rsid w:val="00291A38"/>
    <w:rsid w:val="00297D5C"/>
    <w:rsid w:val="002A5409"/>
    <w:rsid w:val="002B784E"/>
    <w:rsid w:val="002B7F8B"/>
    <w:rsid w:val="002D0A8E"/>
    <w:rsid w:val="002E2E47"/>
    <w:rsid w:val="002F58DB"/>
    <w:rsid w:val="002F6714"/>
    <w:rsid w:val="00302FF1"/>
    <w:rsid w:val="00324B0C"/>
    <w:rsid w:val="00332F3D"/>
    <w:rsid w:val="00342AAE"/>
    <w:rsid w:val="00343B0C"/>
    <w:rsid w:val="003508E1"/>
    <w:rsid w:val="00352CA0"/>
    <w:rsid w:val="00354886"/>
    <w:rsid w:val="003579ED"/>
    <w:rsid w:val="00364282"/>
    <w:rsid w:val="003722FB"/>
    <w:rsid w:val="00373B63"/>
    <w:rsid w:val="00374E4C"/>
    <w:rsid w:val="003913B4"/>
    <w:rsid w:val="003A5D75"/>
    <w:rsid w:val="003E435E"/>
    <w:rsid w:val="00403A3C"/>
    <w:rsid w:val="00403B13"/>
    <w:rsid w:val="00413928"/>
    <w:rsid w:val="0043129A"/>
    <w:rsid w:val="00446C13"/>
    <w:rsid w:val="00450C97"/>
    <w:rsid w:val="00453667"/>
    <w:rsid w:val="00461B50"/>
    <w:rsid w:val="00464112"/>
    <w:rsid w:val="00476C89"/>
    <w:rsid w:val="00491395"/>
    <w:rsid w:val="00492A01"/>
    <w:rsid w:val="004978E3"/>
    <w:rsid w:val="004A077C"/>
    <w:rsid w:val="004A2381"/>
    <w:rsid w:val="004A7F8C"/>
    <w:rsid w:val="004B41EE"/>
    <w:rsid w:val="004C29E8"/>
    <w:rsid w:val="004D3ABD"/>
    <w:rsid w:val="004D7229"/>
    <w:rsid w:val="005354A4"/>
    <w:rsid w:val="0053717D"/>
    <w:rsid w:val="00544254"/>
    <w:rsid w:val="0054433B"/>
    <w:rsid w:val="0055574C"/>
    <w:rsid w:val="005562CC"/>
    <w:rsid w:val="005568FB"/>
    <w:rsid w:val="00560640"/>
    <w:rsid w:val="00560D03"/>
    <w:rsid w:val="00587D68"/>
    <w:rsid w:val="00590204"/>
    <w:rsid w:val="00590835"/>
    <w:rsid w:val="00596730"/>
    <w:rsid w:val="005B2D5C"/>
    <w:rsid w:val="005B4050"/>
    <w:rsid w:val="005B7CFE"/>
    <w:rsid w:val="005C15B5"/>
    <w:rsid w:val="005C68E7"/>
    <w:rsid w:val="005D1C5B"/>
    <w:rsid w:val="005D4036"/>
    <w:rsid w:val="005E5EB1"/>
    <w:rsid w:val="0060317A"/>
    <w:rsid w:val="00603E97"/>
    <w:rsid w:val="00614B4E"/>
    <w:rsid w:val="00627B02"/>
    <w:rsid w:val="00640D00"/>
    <w:rsid w:val="00655946"/>
    <w:rsid w:val="0068685B"/>
    <w:rsid w:val="00686A2C"/>
    <w:rsid w:val="00690DA1"/>
    <w:rsid w:val="00694418"/>
    <w:rsid w:val="006A79E5"/>
    <w:rsid w:val="006A7BCA"/>
    <w:rsid w:val="006C5332"/>
    <w:rsid w:val="006F3CD8"/>
    <w:rsid w:val="006F5AF8"/>
    <w:rsid w:val="006F753B"/>
    <w:rsid w:val="006F7F0F"/>
    <w:rsid w:val="00743CB1"/>
    <w:rsid w:val="0074505B"/>
    <w:rsid w:val="0074772A"/>
    <w:rsid w:val="007548CA"/>
    <w:rsid w:val="00755567"/>
    <w:rsid w:val="0077031F"/>
    <w:rsid w:val="00776675"/>
    <w:rsid w:val="00777558"/>
    <w:rsid w:val="00782A26"/>
    <w:rsid w:val="007D5E72"/>
    <w:rsid w:val="007F20B3"/>
    <w:rsid w:val="007F2291"/>
    <w:rsid w:val="00817074"/>
    <w:rsid w:val="008214CB"/>
    <w:rsid w:val="0084477A"/>
    <w:rsid w:val="00844DFB"/>
    <w:rsid w:val="00846DC5"/>
    <w:rsid w:val="00847D13"/>
    <w:rsid w:val="008752C4"/>
    <w:rsid w:val="0089076D"/>
    <w:rsid w:val="0089078E"/>
    <w:rsid w:val="008B0F32"/>
    <w:rsid w:val="008D1ADD"/>
    <w:rsid w:val="008D3859"/>
    <w:rsid w:val="008F4014"/>
    <w:rsid w:val="008F6292"/>
    <w:rsid w:val="008F68FE"/>
    <w:rsid w:val="009002D4"/>
    <w:rsid w:val="00904C0C"/>
    <w:rsid w:val="00920500"/>
    <w:rsid w:val="00934223"/>
    <w:rsid w:val="009428F5"/>
    <w:rsid w:val="0094463A"/>
    <w:rsid w:val="0097727A"/>
    <w:rsid w:val="00982985"/>
    <w:rsid w:val="00996337"/>
    <w:rsid w:val="009A3897"/>
    <w:rsid w:val="009A7415"/>
    <w:rsid w:val="009A77E4"/>
    <w:rsid w:val="009B49BA"/>
    <w:rsid w:val="009C3A83"/>
    <w:rsid w:val="009D4816"/>
    <w:rsid w:val="009E0064"/>
    <w:rsid w:val="009E653C"/>
    <w:rsid w:val="00A121D2"/>
    <w:rsid w:val="00A17623"/>
    <w:rsid w:val="00A22FCE"/>
    <w:rsid w:val="00A26B23"/>
    <w:rsid w:val="00A465E5"/>
    <w:rsid w:val="00A51F4B"/>
    <w:rsid w:val="00A53EAE"/>
    <w:rsid w:val="00A615C0"/>
    <w:rsid w:val="00A81C07"/>
    <w:rsid w:val="00A84CAE"/>
    <w:rsid w:val="00A96517"/>
    <w:rsid w:val="00AA5C87"/>
    <w:rsid w:val="00AB1957"/>
    <w:rsid w:val="00AD79FE"/>
    <w:rsid w:val="00AE6759"/>
    <w:rsid w:val="00B1731D"/>
    <w:rsid w:val="00B24676"/>
    <w:rsid w:val="00B24AAC"/>
    <w:rsid w:val="00B26451"/>
    <w:rsid w:val="00B378DD"/>
    <w:rsid w:val="00B50AF7"/>
    <w:rsid w:val="00B55BFF"/>
    <w:rsid w:val="00B836B6"/>
    <w:rsid w:val="00B86293"/>
    <w:rsid w:val="00B910F9"/>
    <w:rsid w:val="00BA4119"/>
    <w:rsid w:val="00BB1D62"/>
    <w:rsid w:val="00BB3454"/>
    <w:rsid w:val="00BB4577"/>
    <w:rsid w:val="00BC70CD"/>
    <w:rsid w:val="00BF4C97"/>
    <w:rsid w:val="00BF6C5D"/>
    <w:rsid w:val="00C0690A"/>
    <w:rsid w:val="00C17935"/>
    <w:rsid w:val="00C32550"/>
    <w:rsid w:val="00C421D7"/>
    <w:rsid w:val="00C57076"/>
    <w:rsid w:val="00C73501"/>
    <w:rsid w:val="00CA509F"/>
    <w:rsid w:val="00CB222F"/>
    <w:rsid w:val="00CB5F83"/>
    <w:rsid w:val="00CC046B"/>
    <w:rsid w:val="00CC0C9B"/>
    <w:rsid w:val="00CC14F5"/>
    <w:rsid w:val="00CC4F60"/>
    <w:rsid w:val="00CD35A4"/>
    <w:rsid w:val="00CD7627"/>
    <w:rsid w:val="00CE6188"/>
    <w:rsid w:val="00D05FE6"/>
    <w:rsid w:val="00D10811"/>
    <w:rsid w:val="00D1581E"/>
    <w:rsid w:val="00D257A1"/>
    <w:rsid w:val="00D4002A"/>
    <w:rsid w:val="00D50CFA"/>
    <w:rsid w:val="00D5307E"/>
    <w:rsid w:val="00D61844"/>
    <w:rsid w:val="00D63C7F"/>
    <w:rsid w:val="00D65893"/>
    <w:rsid w:val="00D74B6E"/>
    <w:rsid w:val="00D8013F"/>
    <w:rsid w:val="00D8498A"/>
    <w:rsid w:val="00DA211B"/>
    <w:rsid w:val="00DA496F"/>
    <w:rsid w:val="00DA7FFC"/>
    <w:rsid w:val="00DB58CD"/>
    <w:rsid w:val="00DC18B8"/>
    <w:rsid w:val="00DC3C01"/>
    <w:rsid w:val="00DD54FC"/>
    <w:rsid w:val="00DE1D74"/>
    <w:rsid w:val="00E02645"/>
    <w:rsid w:val="00E03ECE"/>
    <w:rsid w:val="00E15739"/>
    <w:rsid w:val="00E2467D"/>
    <w:rsid w:val="00E24C63"/>
    <w:rsid w:val="00E415E7"/>
    <w:rsid w:val="00E45A61"/>
    <w:rsid w:val="00E64861"/>
    <w:rsid w:val="00E77794"/>
    <w:rsid w:val="00E8183A"/>
    <w:rsid w:val="00E82752"/>
    <w:rsid w:val="00E9043B"/>
    <w:rsid w:val="00E9507C"/>
    <w:rsid w:val="00EA3686"/>
    <w:rsid w:val="00EA5C42"/>
    <w:rsid w:val="00ED3E03"/>
    <w:rsid w:val="00EE0E3F"/>
    <w:rsid w:val="00EE597D"/>
    <w:rsid w:val="00F01627"/>
    <w:rsid w:val="00F026D6"/>
    <w:rsid w:val="00F07000"/>
    <w:rsid w:val="00F133CE"/>
    <w:rsid w:val="00F17850"/>
    <w:rsid w:val="00F20393"/>
    <w:rsid w:val="00F212C9"/>
    <w:rsid w:val="00F33E42"/>
    <w:rsid w:val="00F468E7"/>
    <w:rsid w:val="00F5387C"/>
    <w:rsid w:val="00F639D3"/>
    <w:rsid w:val="00F6501B"/>
    <w:rsid w:val="00F708A1"/>
    <w:rsid w:val="00F71BED"/>
    <w:rsid w:val="00F75FA4"/>
    <w:rsid w:val="00F93229"/>
    <w:rsid w:val="00FC06C0"/>
    <w:rsid w:val="00FD3B47"/>
    <w:rsid w:val="00FF56BE"/>
    <w:rsid w:val="00FF5E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0303DE8"/>
  <w15:docId w15:val="{19007242-DDF6-43A1-92E6-A03665F1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pt-BR" w:eastAsia="pt-BR" w:bidi="pt-BR"/>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EA3686"/>
    <w:rPr>
      <w:rFonts w:ascii="Times New Roman" w:hAnsi="Times New Roman"/>
      <w:color w:val="000000"/>
      <w:sz w:val="22"/>
    </w:rPr>
  </w:style>
  <w:style w:type="paragraph" w:styleId="berschrift1">
    <w:name w:val="heading 1"/>
    <w:basedOn w:val="Standard"/>
    <w:next w:val="Standard"/>
    <w:link w:val="berschrift1Zchn"/>
    <w:uiPriority w:val="9"/>
    <w:qFormat/>
    <w:rsid w:val="0035488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semiHidden/>
    <w:unhideWhenUsed/>
    <w:qFormat/>
    <w:rsid w:val="0035488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354886"/>
    <w:pPr>
      <w:keepNext/>
      <w:keepLines/>
      <w:spacing w:before="40"/>
      <w:outlineLvl w:val="2"/>
    </w:pPr>
    <w:rPr>
      <w:rFonts w:asciiTheme="majorHAnsi" w:eastAsiaTheme="majorEastAsia" w:hAnsiTheme="majorHAnsi" w:cstheme="majorBidi"/>
      <w:color w:val="243F60" w:themeColor="accent1" w:themeShade="7F"/>
      <w:sz w:val="24"/>
    </w:rPr>
  </w:style>
  <w:style w:type="paragraph" w:styleId="berschrift4">
    <w:name w:val="heading 4"/>
    <w:basedOn w:val="Standard"/>
    <w:next w:val="Standard"/>
    <w:link w:val="berschrift4Zchn"/>
    <w:uiPriority w:val="9"/>
    <w:semiHidden/>
    <w:unhideWhenUsed/>
    <w:qFormat/>
    <w:rsid w:val="00354886"/>
    <w:pPr>
      <w:keepNext/>
      <w:keepLines/>
      <w:spacing w:before="4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354886"/>
    <w:pPr>
      <w:keepNext/>
      <w:keepLines/>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354886"/>
    <w:pPr>
      <w:keepNext/>
      <w:keepLines/>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354886"/>
    <w:pPr>
      <w:keepNext/>
      <w:keepLines/>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35488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5488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unhideWhenUsed/>
    <w:rsid w:val="00E9507C"/>
    <w:pPr>
      <w:tabs>
        <w:tab w:val="center" w:pos="4680"/>
        <w:tab w:val="right" w:pos="9360"/>
      </w:tabs>
    </w:pPr>
  </w:style>
  <w:style w:type="character" w:customStyle="1" w:styleId="KopfzeileZchn">
    <w:name w:val="Kopfzeile Zchn"/>
    <w:basedOn w:val="Absatz-Standardschriftart"/>
    <w:link w:val="Kopfzeile"/>
    <w:uiPriority w:val="99"/>
    <w:semiHidden/>
    <w:rsid w:val="00E9507C"/>
    <w:rPr>
      <w:rFonts w:ascii="Times New Roman" w:hAnsi="Times New Roman"/>
      <w:color w:val="000000"/>
      <w:sz w:val="22"/>
    </w:rPr>
  </w:style>
  <w:style w:type="paragraph" w:styleId="Fuzeile">
    <w:name w:val="footer"/>
    <w:basedOn w:val="Standard"/>
    <w:link w:val="FuzeileZchn"/>
    <w:uiPriority w:val="99"/>
    <w:semiHidden/>
    <w:unhideWhenUsed/>
    <w:rsid w:val="00E9507C"/>
    <w:pPr>
      <w:tabs>
        <w:tab w:val="center" w:pos="4680"/>
        <w:tab w:val="right" w:pos="9360"/>
      </w:tabs>
    </w:pPr>
  </w:style>
  <w:style w:type="character" w:customStyle="1" w:styleId="FuzeileZchn">
    <w:name w:val="Fußzeile Zchn"/>
    <w:basedOn w:val="Absatz-Standardschriftart"/>
    <w:link w:val="Fuzeile"/>
    <w:uiPriority w:val="99"/>
    <w:semiHidden/>
    <w:rsid w:val="00E9507C"/>
    <w:rPr>
      <w:rFonts w:ascii="Times New Roman" w:hAnsi="Times New Roman"/>
      <w:color w:val="000000"/>
      <w:sz w:val="22"/>
    </w:rPr>
  </w:style>
  <w:style w:type="paragraph" w:styleId="Sprechblasentext">
    <w:name w:val="Balloon Text"/>
    <w:basedOn w:val="Standard"/>
    <w:link w:val="SprechblasentextZchn"/>
    <w:uiPriority w:val="99"/>
    <w:semiHidden/>
    <w:unhideWhenUsed/>
    <w:rsid w:val="00DC3C0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C3C01"/>
    <w:rPr>
      <w:rFonts w:ascii="Tahoma" w:hAnsi="Tahoma" w:cs="Tahoma"/>
      <w:color w:val="000000"/>
      <w:sz w:val="16"/>
      <w:szCs w:val="16"/>
    </w:rPr>
  </w:style>
  <w:style w:type="paragraph" w:styleId="Listenabsatz">
    <w:name w:val="List Paragraph"/>
    <w:basedOn w:val="Standard"/>
    <w:uiPriority w:val="34"/>
    <w:qFormat/>
    <w:rsid w:val="00030085"/>
    <w:pPr>
      <w:ind w:left="720"/>
      <w:contextualSpacing/>
    </w:pPr>
  </w:style>
  <w:style w:type="character" w:styleId="Platzhaltertext">
    <w:name w:val="Placeholder Text"/>
    <w:basedOn w:val="Absatz-Standardschriftart"/>
    <w:uiPriority w:val="99"/>
    <w:semiHidden/>
    <w:rsid w:val="00A17623"/>
    <w:rPr>
      <w:color w:val="808080"/>
    </w:rPr>
  </w:style>
  <w:style w:type="paragraph" w:styleId="berarbeitung">
    <w:name w:val="Revision"/>
    <w:hidden/>
    <w:uiPriority w:val="99"/>
    <w:semiHidden/>
    <w:rsid w:val="00D05FE6"/>
    <w:pPr>
      <w:widowControl/>
    </w:pPr>
    <w:rPr>
      <w:rFonts w:ascii="Times New Roman" w:hAnsi="Times New Roman"/>
      <w:color w:val="000000"/>
      <w:sz w:val="22"/>
    </w:rPr>
  </w:style>
  <w:style w:type="character" w:styleId="Kommentarzeichen">
    <w:name w:val="annotation reference"/>
    <w:basedOn w:val="Absatz-Standardschriftart"/>
    <w:uiPriority w:val="99"/>
    <w:semiHidden/>
    <w:unhideWhenUsed/>
    <w:rsid w:val="00D05FE6"/>
    <w:rPr>
      <w:sz w:val="16"/>
      <w:szCs w:val="16"/>
    </w:rPr>
  </w:style>
  <w:style w:type="paragraph" w:styleId="Kommentartext">
    <w:name w:val="annotation text"/>
    <w:basedOn w:val="Standard"/>
    <w:link w:val="KommentartextZchn"/>
    <w:uiPriority w:val="99"/>
    <w:unhideWhenUsed/>
    <w:rsid w:val="00D05FE6"/>
    <w:rPr>
      <w:sz w:val="20"/>
      <w:szCs w:val="20"/>
    </w:rPr>
  </w:style>
  <w:style w:type="character" w:customStyle="1" w:styleId="KommentartextZchn">
    <w:name w:val="Kommentartext Zchn"/>
    <w:basedOn w:val="Absatz-Standardschriftart"/>
    <w:link w:val="Kommentartext"/>
    <w:uiPriority w:val="99"/>
    <w:rsid w:val="00D05FE6"/>
    <w:rPr>
      <w:rFonts w:ascii="Times New Roman" w:hAnsi="Times New Roman"/>
      <w:color w:val="000000"/>
      <w:sz w:val="20"/>
      <w:szCs w:val="20"/>
    </w:rPr>
  </w:style>
  <w:style w:type="paragraph" w:styleId="Kommentarthema">
    <w:name w:val="annotation subject"/>
    <w:basedOn w:val="Kommentartext"/>
    <w:next w:val="Kommentartext"/>
    <w:link w:val="KommentarthemaZchn"/>
    <w:uiPriority w:val="99"/>
    <w:semiHidden/>
    <w:unhideWhenUsed/>
    <w:rsid w:val="00D05FE6"/>
    <w:rPr>
      <w:b/>
      <w:bCs/>
    </w:rPr>
  </w:style>
  <w:style w:type="character" w:customStyle="1" w:styleId="KommentarthemaZchn">
    <w:name w:val="Kommentarthema Zchn"/>
    <w:basedOn w:val="KommentartextZchn"/>
    <w:link w:val="Kommentarthema"/>
    <w:uiPriority w:val="99"/>
    <w:semiHidden/>
    <w:rsid w:val="00D05FE6"/>
    <w:rPr>
      <w:rFonts w:ascii="Times New Roman" w:hAnsi="Times New Roman"/>
      <w:b/>
      <w:bCs/>
      <w:color w:val="000000"/>
      <w:sz w:val="20"/>
      <w:szCs w:val="20"/>
    </w:rPr>
  </w:style>
  <w:style w:type="character" w:styleId="Hyperlink">
    <w:name w:val="Hyperlink"/>
    <w:basedOn w:val="Absatz-Standardschriftart"/>
    <w:uiPriority w:val="99"/>
    <w:unhideWhenUsed/>
    <w:rsid w:val="00110D6C"/>
    <w:rPr>
      <w:color w:val="0000FF" w:themeColor="hyperlink"/>
      <w:u w:val="single"/>
    </w:rPr>
  </w:style>
  <w:style w:type="character" w:styleId="NichtaufgelsteErwhnung">
    <w:name w:val="Unresolved Mention"/>
    <w:basedOn w:val="Absatz-Standardschriftart"/>
    <w:uiPriority w:val="99"/>
    <w:semiHidden/>
    <w:unhideWhenUsed/>
    <w:rsid w:val="00110D6C"/>
    <w:rPr>
      <w:color w:val="605E5C"/>
      <w:shd w:val="clear" w:color="auto" w:fill="E1DFDD"/>
    </w:rPr>
  </w:style>
  <w:style w:type="paragraph" w:styleId="Textkrper">
    <w:name w:val="Body Text"/>
    <w:basedOn w:val="Standard"/>
    <w:link w:val="TextkrperZchn"/>
    <w:uiPriority w:val="1"/>
    <w:qFormat/>
    <w:rsid w:val="00C73501"/>
    <w:pPr>
      <w:autoSpaceDE w:val="0"/>
      <w:autoSpaceDN w:val="0"/>
    </w:pPr>
    <w:rPr>
      <w:rFonts w:eastAsia="Times New Roman" w:cs="Times New Roman"/>
      <w:color w:val="auto"/>
      <w:szCs w:val="22"/>
      <w:lang w:val="en-US" w:eastAsia="en-US" w:bidi="ar-SA"/>
    </w:rPr>
  </w:style>
  <w:style w:type="character" w:customStyle="1" w:styleId="TextkrperZchn">
    <w:name w:val="Textkörper Zchn"/>
    <w:basedOn w:val="Absatz-Standardschriftart"/>
    <w:link w:val="Textkrper"/>
    <w:uiPriority w:val="1"/>
    <w:rsid w:val="00C73501"/>
    <w:rPr>
      <w:rFonts w:ascii="Times New Roman" w:eastAsia="Times New Roman" w:hAnsi="Times New Roman" w:cs="Times New Roman"/>
      <w:sz w:val="22"/>
      <w:szCs w:val="22"/>
      <w:lang w:val="en-US" w:eastAsia="en-US" w:bidi="ar-SA"/>
    </w:rPr>
  </w:style>
  <w:style w:type="paragraph" w:styleId="Endnotentext">
    <w:name w:val="endnote text"/>
    <w:basedOn w:val="Standard"/>
    <w:link w:val="EndnotentextZchn"/>
    <w:uiPriority w:val="99"/>
    <w:semiHidden/>
    <w:rsid w:val="002F6714"/>
    <w:pPr>
      <w:widowControl/>
      <w:tabs>
        <w:tab w:val="left" w:pos="567"/>
      </w:tabs>
    </w:pPr>
    <w:rPr>
      <w:rFonts w:eastAsia="Times New Roman" w:cs="Times New Roman"/>
      <w:color w:val="auto"/>
      <w:szCs w:val="20"/>
      <w:lang w:val="pt-PT" w:eastAsia="en-US" w:bidi="ar-SA"/>
    </w:rPr>
  </w:style>
  <w:style w:type="character" w:customStyle="1" w:styleId="EndnotentextZchn">
    <w:name w:val="Endnotentext Zchn"/>
    <w:basedOn w:val="Absatz-Standardschriftart"/>
    <w:link w:val="Endnotentext"/>
    <w:uiPriority w:val="99"/>
    <w:semiHidden/>
    <w:rsid w:val="002F6714"/>
    <w:rPr>
      <w:rFonts w:ascii="Times New Roman" w:eastAsia="Times New Roman" w:hAnsi="Times New Roman" w:cs="Times New Roman"/>
      <w:sz w:val="22"/>
      <w:szCs w:val="20"/>
      <w:lang w:val="pt-PT" w:eastAsia="en-US" w:bidi="ar-SA"/>
    </w:rPr>
  </w:style>
  <w:style w:type="paragraph" w:customStyle="1" w:styleId="TitleA">
    <w:name w:val="Title A"/>
    <w:basedOn w:val="Standard"/>
    <w:qFormat/>
    <w:rsid w:val="001763E6"/>
    <w:pPr>
      <w:widowControl/>
      <w:tabs>
        <w:tab w:val="left" w:pos="567"/>
      </w:tabs>
      <w:jc w:val="center"/>
      <w:outlineLvl w:val="0"/>
    </w:pPr>
    <w:rPr>
      <w:rFonts w:eastAsia="Times New Roman" w:cs="Times New Roman"/>
      <w:b/>
      <w:noProof/>
      <w:color w:val="auto"/>
      <w:szCs w:val="20"/>
      <w:lang w:val="pt-PT" w:eastAsia="en-US" w:bidi="ar-SA"/>
    </w:rPr>
  </w:style>
  <w:style w:type="paragraph" w:customStyle="1" w:styleId="TitleB">
    <w:name w:val="Title B"/>
    <w:basedOn w:val="Listenabsatz"/>
    <w:qFormat/>
    <w:rsid w:val="005E5EB1"/>
    <w:pPr>
      <w:tabs>
        <w:tab w:val="left" w:pos="784"/>
        <w:tab w:val="left" w:pos="785"/>
      </w:tabs>
      <w:autoSpaceDE w:val="0"/>
      <w:autoSpaceDN w:val="0"/>
      <w:spacing w:before="75"/>
      <w:ind w:left="0" w:right="1515"/>
      <w:contextualSpacing w:val="0"/>
    </w:pPr>
    <w:rPr>
      <w:rFonts w:eastAsia="Times New Roman" w:cs="Times New Roman"/>
      <w:b/>
      <w:color w:val="auto"/>
      <w:szCs w:val="22"/>
      <w:lang w:val="pt-PT" w:eastAsia="en-US" w:bidi="ar-SA"/>
    </w:rPr>
  </w:style>
  <w:style w:type="character" w:customStyle="1" w:styleId="berschrift1Zchn">
    <w:name w:val="Überschrift 1 Zchn"/>
    <w:basedOn w:val="Absatz-Standardschriftart"/>
    <w:link w:val="berschrift1"/>
    <w:uiPriority w:val="9"/>
    <w:rsid w:val="00354886"/>
    <w:rPr>
      <w:rFonts w:asciiTheme="majorHAnsi" w:eastAsiaTheme="majorEastAsia" w:hAnsiTheme="majorHAnsi" w:cstheme="majorBidi"/>
      <w:color w:val="365F91" w:themeColor="accent1" w:themeShade="BF"/>
      <w:sz w:val="32"/>
      <w:szCs w:val="32"/>
    </w:rPr>
  </w:style>
  <w:style w:type="character" w:customStyle="1" w:styleId="berschrift2Zchn">
    <w:name w:val="Überschrift 2 Zchn"/>
    <w:basedOn w:val="Absatz-Standardschriftart"/>
    <w:link w:val="berschrift2"/>
    <w:uiPriority w:val="9"/>
    <w:semiHidden/>
    <w:rsid w:val="00354886"/>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semiHidden/>
    <w:rsid w:val="00354886"/>
    <w:rPr>
      <w:rFonts w:asciiTheme="majorHAnsi" w:eastAsiaTheme="majorEastAsia" w:hAnsiTheme="majorHAnsi" w:cstheme="majorBidi"/>
      <w:color w:val="243F60" w:themeColor="accent1" w:themeShade="7F"/>
    </w:rPr>
  </w:style>
  <w:style w:type="character" w:customStyle="1" w:styleId="berschrift4Zchn">
    <w:name w:val="Überschrift 4 Zchn"/>
    <w:basedOn w:val="Absatz-Standardschriftart"/>
    <w:link w:val="berschrift4"/>
    <w:uiPriority w:val="9"/>
    <w:semiHidden/>
    <w:rsid w:val="00354886"/>
    <w:rPr>
      <w:rFonts w:asciiTheme="majorHAnsi" w:eastAsiaTheme="majorEastAsia" w:hAnsiTheme="majorHAnsi" w:cstheme="majorBidi"/>
      <w:i/>
      <w:iCs/>
      <w:color w:val="365F91" w:themeColor="accent1" w:themeShade="BF"/>
      <w:sz w:val="22"/>
    </w:rPr>
  </w:style>
  <w:style w:type="character" w:customStyle="1" w:styleId="berschrift5Zchn">
    <w:name w:val="Überschrift 5 Zchn"/>
    <w:basedOn w:val="Absatz-Standardschriftart"/>
    <w:link w:val="berschrift5"/>
    <w:uiPriority w:val="9"/>
    <w:semiHidden/>
    <w:rsid w:val="00354886"/>
    <w:rPr>
      <w:rFonts w:asciiTheme="majorHAnsi" w:eastAsiaTheme="majorEastAsia" w:hAnsiTheme="majorHAnsi" w:cstheme="majorBidi"/>
      <w:color w:val="365F91" w:themeColor="accent1" w:themeShade="BF"/>
      <w:sz w:val="22"/>
    </w:rPr>
  </w:style>
  <w:style w:type="character" w:customStyle="1" w:styleId="berschrift6Zchn">
    <w:name w:val="Überschrift 6 Zchn"/>
    <w:basedOn w:val="Absatz-Standardschriftart"/>
    <w:link w:val="berschrift6"/>
    <w:uiPriority w:val="9"/>
    <w:semiHidden/>
    <w:rsid w:val="00354886"/>
    <w:rPr>
      <w:rFonts w:asciiTheme="majorHAnsi" w:eastAsiaTheme="majorEastAsia" w:hAnsiTheme="majorHAnsi" w:cstheme="majorBidi"/>
      <w:color w:val="243F60" w:themeColor="accent1" w:themeShade="7F"/>
      <w:sz w:val="22"/>
    </w:rPr>
  </w:style>
  <w:style w:type="character" w:customStyle="1" w:styleId="berschrift7Zchn">
    <w:name w:val="Überschrift 7 Zchn"/>
    <w:basedOn w:val="Absatz-Standardschriftart"/>
    <w:link w:val="berschrift7"/>
    <w:uiPriority w:val="9"/>
    <w:semiHidden/>
    <w:rsid w:val="00354886"/>
    <w:rPr>
      <w:rFonts w:asciiTheme="majorHAnsi" w:eastAsiaTheme="majorEastAsia" w:hAnsiTheme="majorHAnsi" w:cstheme="majorBidi"/>
      <w:i/>
      <w:iCs/>
      <w:color w:val="243F60" w:themeColor="accent1" w:themeShade="7F"/>
      <w:sz w:val="22"/>
    </w:rPr>
  </w:style>
  <w:style w:type="character" w:customStyle="1" w:styleId="berschrift8Zchn">
    <w:name w:val="Überschrift 8 Zchn"/>
    <w:basedOn w:val="Absatz-Standardschriftart"/>
    <w:link w:val="berschrift8"/>
    <w:uiPriority w:val="9"/>
    <w:semiHidden/>
    <w:rsid w:val="0035488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54886"/>
    <w:rPr>
      <w:rFonts w:asciiTheme="majorHAnsi" w:eastAsiaTheme="majorEastAsia" w:hAnsiTheme="majorHAnsi" w:cstheme="majorBidi"/>
      <w:i/>
      <w:iCs/>
      <w:color w:val="272727" w:themeColor="text1" w:themeTint="D8"/>
      <w:sz w:val="21"/>
      <w:szCs w:val="21"/>
    </w:rPr>
  </w:style>
  <w:style w:type="paragraph" w:customStyle="1" w:styleId="BodytextAgency">
    <w:name w:val="Body text (Agency)"/>
    <w:basedOn w:val="Standard"/>
    <w:link w:val="BodytextAgencyChar"/>
    <w:qFormat/>
    <w:rsid w:val="00596730"/>
    <w:pPr>
      <w:widowControl/>
      <w:spacing w:after="140" w:line="280" w:lineRule="atLeast"/>
    </w:pPr>
    <w:rPr>
      <w:rFonts w:ascii="Verdana" w:eastAsia="Verdana" w:hAnsi="Verdana" w:cs="Times New Roman"/>
      <w:color w:val="auto"/>
      <w:sz w:val="18"/>
      <w:szCs w:val="18"/>
      <w:lang w:val="x-none" w:eastAsia="x-none" w:bidi="ar-SA"/>
    </w:rPr>
  </w:style>
  <w:style w:type="paragraph" w:customStyle="1" w:styleId="No-numheading3Agency">
    <w:name w:val="No-num heading 3 (Agency)"/>
    <w:basedOn w:val="Standard"/>
    <w:next w:val="BodytextAgency"/>
    <w:link w:val="No-numheading3AgencyChar"/>
    <w:rsid w:val="00596730"/>
    <w:pPr>
      <w:keepNext/>
      <w:widowControl/>
      <w:spacing w:before="280" w:after="220"/>
      <w:outlineLvl w:val="2"/>
    </w:pPr>
    <w:rPr>
      <w:rFonts w:ascii="Verdana" w:eastAsia="Verdana" w:hAnsi="Verdana" w:cs="Times New Roman"/>
      <w:b/>
      <w:bCs/>
      <w:color w:val="auto"/>
      <w:kern w:val="32"/>
      <w:szCs w:val="22"/>
      <w:lang w:val="x-none" w:eastAsia="x-none" w:bidi="ar-SA"/>
    </w:rPr>
  </w:style>
  <w:style w:type="character" w:customStyle="1" w:styleId="BodytextAgencyChar">
    <w:name w:val="Body text (Agency) Char"/>
    <w:link w:val="BodytextAgency"/>
    <w:rsid w:val="00596730"/>
    <w:rPr>
      <w:rFonts w:ascii="Verdana" w:eastAsia="Verdana" w:hAnsi="Verdana" w:cs="Times New Roman"/>
      <w:sz w:val="18"/>
      <w:szCs w:val="18"/>
      <w:lang w:val="x-none" w:eastAsia="x-none" w:bidi="ar-SA"/>
    </w:rPr>
  </w:style>
  <w:style w:type="character" w:customStyle="1" w:styleId="No-numheading3AgencyChar">
    <w:name w:val="No-num heading 3 (Agency) Char"/>
    <w:link w:val="No-numheading3Agency"/>
    <w:rsid w:val="00596730"/>
    <w:rPr>
      <w:rFonts w:ascii="Verdana" w:eastAsia="Verdana" w:hAnsi="Verdana" w:cs="Times New Roman"/>
      <w:b/>
      <w:bCs/>
      <w:kern w:val="32"/>
      <w:sz w:val="22"/>
      <w:szCs w:val="22"/>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image" Target="media/image9.jpeg"/><Relationship Id="rId39" Type="http://schemas.openxmlformats.org/officeDocument/2006/relationships/customXml" Target="../customXml/item2.xml"/><Relationship Id="rId21" Type="http://schemas.openxmlformats.org/officeDocument/2006/relationships/image" Target="media/image4.jpeg"/><Relationship Id="rId34" Type="http://schemas.openxmlformats.org/officeDocument/2006/relationships/image" Target="media/image15.png"/><Relationship Id="rId42" Type="http://schemas.openxmlformats.org/officeDocument/2006/relationships/customXml" Target="../customXml/item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image" Target="media/image3.jpg"/><Relationship Id="rId29" Type="http://schemas.openxmlformats.org/officeDocument/2006/relationships/hyperlink" Target="https://www.ema.europa.eu" TargetMode="External"/><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image" Target="media/image7.png"/><Relationship Id="rId32" Type="http://schemas.openxmlformats.org/officeDocument/2006/relationships/image" Target="media/image13.png"/><Relationship Id="rId37" Type="http://schemas.microsoft.com/office/2011/relationships/people" Target="people.xml"/><Relationship Id="rId40"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image" Target="media/image6.png"/><Relationship Id="rId28" Type="http://schemas.openxmlformats.org/officeDocument/2006/relationships/hyperlink" Target="https://www.ema.europa.eu/documents/template-form/qrd-appendix-v-adverse-drug-reaction-reporting-details_en.docx" TargetMode="External"/><Relationship Id="rId36" Type="http://schemas.openxmlformats.org/officeDocument/2006/relationships/fontTable" Target="fontTable.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https://www.ema.europa.eu" TargetMode="Externa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ma.europa.eu"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1.png"/><Relationship Id="rId35" Type="http://schemas.openxmlformats.org/officeDocument/2006/relationships/footer" Target="footer1.xml"/><Relationship Id="rId8" Type="http://schemas.openxmlformats.org/officeDocument/2006/relationships/hyperlink" Target="https://www.ema.europa.eu/en/medicines/human/epar/Fymskina" TargetMode="External"/><Relationship Id="rId3" Type="http://schemas.openxmlformats.org/officeDocument/2006/relationships/styles" Target="styles.xml"/><Relationship Id="rId12" Type="http://schemas.openxmlformats.org/officeDocument/2006/relationships/hyperlink" Target="https://www.ema.europa.eu" TargetMode="External"/><Relationship Id="rId17" Type="http://schemas.openxmlformats.org/officeDocument/2006/relationships/hyperlink" Target="https://www.ema.europa.eu" TargetMode="External"/><Relationship Id="rId25" Type="http://schemas.openxmlformats.org/officeDocument/2006/relationships/image" Target="media/image8.jpeg"/><Relationship Id="rId33" Type="http://schemas.openxmlformats.org/officeDocument/2006/relationships/image" Target="media/image14.png"/><Relationship Id="rId38"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EMADOC-1700519818-2280887</_dlc_DocId>
    <_dlc_DocIdUrl xmlns="a034c160-bfb7-45f5-8632-2eb7e0508071">
      <Url>https://euema.sharepoint.com/sites/CRM/_layouts/15/DocIdRedir.aspx?ID=EMADOC-1700519818-2280887</Url>
      <Description>EMADOC-1700519818-2280887</Description>
    </_dlc_DocIdUrl>
  </documentManagement>
</p:properties>
</file>

<file path=customXml/itemProps1.xml><?xml version="1.0" encoding="utf-8"?>
<ds:datastoreItem xmlns:ds="http://schemas.openxmlformats.org/officeDocument/2006/customXml" ds:itemID="{8E63A72F-34FF-49B3-952C-86579BC051B6}">
  <ds:schemaRefs>
    <ds:schemaRef ds:uri="http://schemas.openxmlformats.org/officeDocument/2006/bibliography"/>
  </ds:schemaRefs>
</ds:datastoreItem>
</file>

<file path=customXml/itemProps2.xml><?xml version="1.0" encoding="utf-8"?>
<ds:datastoreItem xmlns:ds="http://schemas.openxmlformats.org/officeDocument/2006/customXml" ds:itemID="{4CAD72AD-F19C-4E80-AA4C-D894B76B993D}"/>
</file>

<file path=customXml/itemProps3.xml><?xml version="1.0" encoding="utf-8"?>
<ds:datastoreItem xmlns:ds="http://schemas.openxmlformats.org/officeDocument/2006/customXml" ds:itemID="{2AC26F05-9C9F-4865-9A74-F90953570DEF}"/>
</file>

<file path=customXml/itemProps4.xml><?xml version="1.0" encoding="utf-8"?>
<ds:datastoreItem xmlns:ds="http://schemas.openxmlformats.org/officeDocument/2006/customXml" ds:itemID="{449FFA97-327F-41E1-A073-518DE737337F}"/>
</file>

<file path=customXml/itemProps5.xml><?xml version="1.0" encoding="utf-8"?>
<ds:datastoreItem xmlns:ds="http://schemas.openxmlformats.org/officeDocument/2006/customXml" ds:itemID="{C092CC48-6099-4E62-9DE7-50A3CBFC538F}"/>
</file>

<file path=docProps/app.xml><?xml version="1.0" encoding="utf-8"?>
<Properties xmlns="http://schemas.openxmlformats.org/officeDocument/2006/extended-properties" xmlns:vt="http://schemas.openxmlformats.org/officeDocument/2006/docPropsVTypes">
  <Template>Normal.dotm</Template>
  <TotalTime>0</TotalTime>
  <Pages>89</Pages>
  <Words>30313</Words>
  <Characters>190976</Characters>
  <Application>Microsoft Office Word</Application>
  <DocSecurity>0</DocSecurity>
  <Lines>1591</Lines>
  <Paragraphs>441</Paragraphs>
  <ScaleCrop>false</ScaleCrop>
  <HeadingPairs>
    <vt:vector size="6" baseType="variant">
      <vt:variant>
        <vt:lpstr>Titel</vt:lpstr>
      </vt:variant>
      <vt:variant>
        <vt:i4>1</vt:i4>
      </vt:variant>
      <vt:variant>
        <vt:lpstr>Título</vt:lpstr>
      </vt:variant>
      <vt:variant>
        <vt:i4>1</vt:i4>
      </vt:variant>
      <vt:variant>
        <vt:lpstr>Title</vt:lpstr>
      </vt:variant>
      <vt:variant>
        <vt:i4>1</vt:i4>
      </vt:variant>
    </vt:vector>
  </HeadingPairs>
  <TitlesOfParts>
    <vt:vector size="3" baseType="lpstr">
      <vt:lpstr>Fymskina, INN-ustekinumab</vt:lpstr>
      <vt:lpstr>Fymskina, INN-ustekinumab</vt:lpstr>
      <vt:lpstr>Stelara, INN-ustekinumab</vt:lpstr>
    </vt:vector>
  </TitlesOfParts>
  <Manager/>
  <Company/>
  <LinksUpToDate>false</LinksUpToDate>
  <CharactersWithSpaces>220848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Fymskina, EPAR - Product Information - tracked changes</dc:title>
  <dc:subject>EPAR</dc:subject>
  <dc:creator>CHMP</dc:creator>
  <cp:keywords>Fymskina, INN-ustekinumab</cp:keywords>
  <dc:description/>
  <cp:lastModifiedBy>translator</cp:lastModifiedBy>
  <cp:revision>8</cp:revision>
  <dcterms:created xsi:type="dcterms:W3CDTF">2025-05-02T13:00:00Z</dcterms:created>
  <dcterms:modified xsi:type="dcterms:W3CDTF">2025-06-27T09:21:00Z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62788c5d-6afd-4334-9219-de112d20f49c</vt:lpwstr>
  </property>
</Properties>
</file>